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997" w:rsidP="00202997">
      <w:pPr>
        <w:pStyle w:val="Title"/>
      </w:pPr>
      <w:bookmarkStart w:id="0" w:name="_GoBack"/>
      <w:bookmarkEnd w:id="0"/>
      <w:r>
        <w:fldChar w:fldCharType="begin"/>
      </w:r>
      <w:r>
        <w:instrText xml:space="preserve"> TITLE   \* MERGEFORMAT </w:instrText>
      </w:r>
      <w:r>
        <w:fldChar w:fldCharType="separate"/>
      </w:r>
      <w:r>
        <w:t>PSPREG412A Gather and manage evidence</w:t>
      </w:r>
      <w:r>
        <w:fldChar w:fldCharType="end"/>
      </w:r>
    </w:p>
    <w:p w:rsidR="00202997" w:rsidP="00202997">
      <w:pPr>
        <w:pStyle w:val="Version"/>
        <w:sectPr w:rsidSect="005709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570962" w:rsidP="00570962">
      <w:pPr>
        <w:pStyle w:val="SuperHeading"/>
      </w:pPr>
      <w:r w:rsidRPr="00570962">
        <w:t>PSPREG412A Gather and manage evidence</w:t>
      </w:r>
    </w:p>
    <w:p w:rsidR="00000000" w:rsidRPr="00570962" w:rsidP="00570962">
      <w:pPr>
        <w:pStyle w:val="SuperHeading"/>
      </w:pPr>
    </w:p>
    <w:p w:rsidR="00000000" w:rsidRPr="00570962" w:rsidP="00570962">
      <w:pPr>
        <w:pStyle w:val="Heading1"/>
      </w:pPr>
      <w:bookmarkStart w:id="1" w:name="O_498506"/>
      <w:bookmarkEnd w:id="1"/>
      <w:r w:rsidRPr="00570962">
        <w:t>Modification History</w:t>
      </w:r>
    </w:p>
    <w:tbl>
      <w:tblPr>
        <w:tblW w:w="0" w:type="auto"/>
        <w:tblLayout w:type="fixed"/>
        <w:tblCellMar>
          <w:left w:w="62" w:type="dxa"/>
          <w:right w:w="62" w:type="dxa"/>
        </w:tblCellMar>
        <w:tblLook w:val="0000"/>
      </w:tblPr>
      <w:tblGrid>
        <w:gridCol w:w="3052"/>
        <w:gridCol w:w="3052"/>
        <w:gridCol w:w="3052"/>
      </w:tblGrid>
      <w:tr w:rsidTr="0020299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962" w:rsidP="00570962">
            <w:pPr>
              <w:pStyle w:val="BodyText"/>
            </w:pPr>
            <w:r w:rsidRPr="00570962">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962" w:rsidP="00570962">
            <w:pPr>
              <w:pStyle w:val="BodyText"/>
            </w:pPr>
            <w:r w:rsidRPr="00570962">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962">
            <w:pPr>
              <w:pStyle w:val="BodyText"/>
              <w:rPr>
                <w:lang w:val="en-NZ"/>
              </w:rPr>
            </w:pPr>
            <w:r w:rsidRPr="00570962">
              <w:rPr>
                <w:rStyle w:val="SpecialBold"/>
              </w:rPr>
              <w:t>Comments</w:t>
            </w:r>
          </w:p>
        </w:tc>
      </w:tr>
      <w:tr w:rsidTr="0020299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962">
            <w:pPr>
              <w:pStyle w:val="BodyText"/>
              <w:rPr>
                <w:lang w:val="en-NZ"/>
              </w:rPr>
            </w:pPr>
            <w:r w:rsidRPr="00570962">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962">
            <w:pPr>
              <w:pStyle w:val="BodyText"/>
              <w:rPr>
                <w:lang w:val="en-NZ"/>
              </w:rPr>
            </w:pPr>
            <w:r w:rsidRPr="00570962">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962">
            <w:pPr>
              <w:pStyle w:val="BodyText"/>
              <w:rPr>
                <w:lang w:val="en-NZ"/>
              </w:rPr>
            </w:pPr>
            <w:r w:rsidRPr="00570962">
              <w:t>Unit descriptor, evidence guide and range statement</w:t>
            </w:r>
            <w:r w:rsidRPr="00570962">
              <w:t xml:space="preserve"> edited. </w:t>
            </w:r>
          </w:p>
        </w:tc>
      </w:tr>
      <w:tr w:rsidTr="0020299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962">
            <w:pPr>
              <w:pStyle w:val="BodyText"/>
              <w:rPr>
                <w:lang w:val="en-NZ"/>
              </w:rPr>
            </w:pPr>
            <w:r w:rsidRPr="00570962">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962">
            <w:pPr>
              <w:pStyle w:val="BodyText"/>
              <w:rPr>
                <w:lang w:val="en-NZ"/>
              </w:rPr>
            </w:pPr>
            <w:r w:rsidRPr="00570962">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962">
            <w:pPr>
              <w:pStyle w:val="BodyText"/>
              <w:rPr>
                <w:lang w:val="en-NZ"/>
              </w:rPr>
            </w:pPr>
            <w:r w:rsidRPr="00570962">
              <w:t>Layout adjusted. No changes to content.</w:t>
            </w:r>
          </w:p>
        </w:tc>
      </w:tr>
      <w:tr w:rsidTr="0020299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962">
            <w:pPr>
              <w:pStyle w:val="BodyText"/>
              <w:rPr>
                <w:lang w:val="en-NZ"/>
              </w:rPr>
            </w:pPr>
            <w:r w:rsidRPr="00570962">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962">
            <w:pPr>
              <w:pStyle w:val="BodyText"/>
              <w:rPr>
                <w:lang w:val="en-NZ"/>
              </w:rPr>
            </w:pPr>
            <w:r w:rsidRPr="00570962">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962" w:rsidP="00570962">
            <w:pPr>
              <w:pStyle w:val="BodyText"/>
            </w:pPr>
            <w:r w:rsidRPr="00570962">
              <w:t>Primary release.</w:t>
            </w:r>
          </w:p>
        </w:tc>
      </w:tr>
    </w:tbl>
    <w:p w:rsidR="00202997" w:rsidP="00570962">
      <w:pPr>
        <w:pStyle w:val="BodyText"/>
      </w:pPr>
    </w:p>
    <w:p w:rsidR="00202997" w:rsidP="00570962">
      <w:pPr>
        <w:pStyle w:val="BodyText"/>
      </w:pPr>
    </w:p>
    <w:p w:rsidR="00000000" w:rsidRPr="00570962" w:rsidP="00570962">
      <w:pPr>
        <w:pStyle w:val="Heading1"/>
      </w:pPr>
      <w:bookmarkStart w:id="2" w:name="O_498507"/>
      <w:bookmarkEnd w:id="2"/>
      <w:r w:rsidRPr="00570962">
        <w:t>Unit Descriptor</w:t>
      </w:r>
    </w:p>
    <w:p w:rsidR="00000000" w:rsidRPr="00570962" w:rsidP="00570962">
      <w:pPr>
        <w:pStyle w:val="BodyText"/>
      </w:pPr>
      <w:r w:rsidRPr="00570962">
        <w:t>This unit describes the performance outcomes, skills and kno</w:t>
      </w:r>
      <w:r w:rsidRPr="00570962">
        <w:t>wledge required to undertake all activities involved in gathering and managing evidence. It includes planning and activating evidence collection, identifying persons of interest, collecting and storing evidence, and summarising and reporting on evidence.</w:t>
      </w:r>
    </w:p>
    <w:p w:rsidR="00000000" w:rsidRPr="00570962" w:rsidP="00570962">
      <w:pPr>
        <w:pStyle w:val="BodyText"/>
      </w:pPr>
      <w:r w:rsidRPr="00570962">
        <w:t>L</w:t>
      </w:r>
      <w:r w:rsidRPr="00570962">
        <w:t>icensing, legislative, regulatory or certification requirements apply to this unit at the time of endorsement.</w:t>
      </w:r>
    </w:p>
    <w:p w:rsidR="00000000" w:rsidRPr="00570962" w:rsidP="00570962">
      <w:pPr>
        <w:pStyle w:val="AllowPageBreak"/>
      </w:pPr>
    </w:p>
    <w:p w:rsidR="00000000" w:rsidRPr="00570962" w:rsidP="00570962">
      <w:pPr>
        <w:pStyle w:val="Heading1"/>
      </w:pPr>
      <w:bookmarkStart w:id="3" w:name="O_498513"/>
      <w:bookmarkEnd w:id="3"/>
      <w:r w:rsidRPr="00570962">
        <w:t>Application of the Unit</w:t>
      </w:r>
    </w:p>
    <w:p w:rsidR="00000000" w:rsidRPr="00570962" w:rsidP="00570962">
      <w:pPr>
        <w:pStyle w:val="BodyText"/>
      </w:pPr>
      <w:r w:rsidRPr="00570962">
        <w:t>This unit applies to individuals in a range of regulatory work environments whose role includes gatherin</w:t>
      </w:r>
      <w:r w:rsidRPr="00570962">
        <w:t>g and managing physical or documentary evidence from a range of sources such as search and seizure activities, online research, interviews with persons of interest, audits</w:t>
      </w:r>
    </w:p>
    <w:p w:rsidR="00000000" w:rsidRPr="00570962" w:rsidP="00570962">
      <w:pPr>
        <w:pStyle w:val="AllowPageBreak"/>
      </w:pPr>
    </w:p>
    <w:p w:rsidR="00000000" w:rsidRPr="00570962" w:rsidP="00570962">
      <w:pPr>
        <w:pStyle w:val="Heading1"/>
      </w:pPr>
      <w:bookmarkStart w:id="4" w:name="O_498503"/>
      <w:bookmarkEnd w:id="4"/>
      <w:r w:rsidRPr="00570962">
        <w:t>Licensing/Regulatory Information</w:t>
      </w:r>
    </w:p>
    <w:p w:rsidR="00000000" w:rsidRPr="00570962" w:rsidP="00570962">
      <w:pPr>
        <w:pStyle w:val="BodyText"/>
      </w:pPr>
      <w:r w:rsidRPr="00570962">
        <w:t>Not applicable.</w:t>
      </w:r>
    </w:p>
    <w:p w:rsidR="00000000" w:rsidRPr="00570962" w:rsidP="00570962">
      <w:pPr>
        <w:pStyle w:val="AllowPageBreak"/>
      </w:pPr>
    </w:p>
    <w:p w:rsidR="00000000" w:rsidRPr="00570962" w:rsidP="00570962">
      <w:pPr>
        <w:pStyle w:val="Heading1"/>
      </w:pPr>
      <w:bookmarkStart w:id="5" w:name="O_498501"/>
      <w:bookmarkEnd w:id="5"/>
      <w:r w:rsidRPr="00570962">
        <w:t>P</w:t>
      </w:r>
      <w:r w:rsidRPr="00570962">
        <w:t>re-Requisites</w:t>
      </w:r>
    </w:p>
    <w:p w:rsidR="00000000" w:rsidRPr="00570962" w:rsidP="00570962">
      <w:pPr>
        <w:pStyle w:val="BodyText"/>
      </w:pPr>
      <w:r w:rsidRPr="00570962">
        <w:t>Not applicable.</w:t>
      </w:r>
    </w:p>
    <w:p w:rsidR="00000000" w:rsidRPr="00570962" w:rsidP="00570962">
      <w:pPr>
        <w:pStyle w:val="AllowPageBreak"/>
      </w:pPr>
    </w:p>
    <w:p w:rsidR="00000000" w:rsidRPr="00570962" w:rsidP="00570962">
      <w:pPr>
        <w:pStyle w:val="Heading1"/>
      </w:pPr>
      <w:bookmarkStart w:id="6" w:name="O_498509"/>
      <w:bookmarkEnd w:id="6"/>
      <w:r w:rsidRPr="00570962">
        <w:t>Employability Skills Information</w:t>
      </w:r>
    </w:p>
    <w:p w:rsidR="00000000" w:rsidRPr="00570962" w:rsidP="00570962">
      <w:pPr>
        <w:pStyle w:val="BodyText"/>
      </w:pPr>
      <w:r w:rsidRPr="00570962">
        <w:t>This unit contains employability skills.</w:t>
      </w:r>
    </w:p>
    <w:p w:rsidR="00000000" w:rsidRPr="00570962" w:rsidP="00570962">
      <w:pPr>
        <w:pStyle w:val="AllowPageBreak"/>
      </w:pPr>
    </w:p>
    <w:p w:rsidR="00000000" w:rsidRPr="00570962" w:rsidP="00570962">
      <w:pPr>
        <w:pStyle w:val="Heading1"/>
      </w:pPr>
      <w:bookmarkStart w:id="7" w:name="O_498510"/>
      <w:bookmarkEnd w:id="7"/>
      <w:r w:rsidRPr="00570962">
        <w:t>Elements and Performance Criteria Pre-Content</w:t>
      </w:r>
    </w:p>
    <w:tbl>
      <w:tblPr>
        <w:tblW w:w="9322" w:type="dxa"/>
        <w:tblLayout w:type="fixed"/>
        <w:tblCellMar>
          <w:left w:w="62" w:type="dxa"/>
          <w:right w:w="62" w:type="dxa"/>
        </w:tblCellMar>
        <w:tblLook w:val="0000"/>
      </w:tblPr>
      <w:tblGrid>
        <w:gridCol w:w="2660"/>
        <w:gridCol w:w="6662"/>
      </w:tblGrid>
      <w:tr w:rsidTr="0020299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70962">
            <w:pPr>
              <w:pStyle w:val="BodyText"/>
              <w:rPr>
                <w:lang w:val="en-NZ"/>
              </w:rPr>
            </w:pPr>
            <w:r w:rsidRPr="00570962">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570962" w:rsidP="00570962">
            <w:pPr>
              <w:pStyle w:val="BodyText"/>
            </w:pPr>
            <w:r w:rsidRPr="00570962">
              <w:t>Together,</w:t>
            </w:r>
            <w:r w:rsidRPr="00570962">
              <w:t xml:space="preserve"> performance criteria specify the requirements for competent performance. Text in</w:t>
            </w:r>
            <w:r w:rsidRPr="00570962">
              <w:rPr>
                <w:rStyle w:val="BoldandItalics"/>
              </w:rPr>
              <w:t xml:space="preserve"> bold italics</w:t>
            </w:r>
            <w:r w:rsidRPr="00570962">
              <w:t xml:space="preserve">  is explained in the Range Statement following.</w:t>
            </w:r>
          </w:p>
        </w:tc>
      </w:tr>
    </w:tbl>
    <w:p w:rsidR="00000000" w:rsidRPr="00570962" w:rsidP="00570962">
      <w:pPr>
        <w:pStyle w:val="BodyText"/>
      </w:pPr>
    </w:p>
    <w:p w:rsidR="00000000" w:rsidRPr="00570962" w:rsidP="00570962">
      <w:pPr>
        <w:pStyle w:val="AllowPageBreak"/>
      </w:pPr>
    </w:p>
    <w:p w:rsidR="00000000" w:rsidRPr="00570962" w:rsidP="00570962">
      <w:pPr>
        <w:pStyle w:val="Heading1"/>
      </w:pPr>
      <w:bookmarkStart w:id="8" w:name="O_498511"/>
      <w:bookmarkEnd w:id="8"/>
      <w:r w:rsidRPr="00570962">
        <w:t>Elements and Performance Criteria</w:t>
      </w:r>
    </w:p>
    <w:tbl>
      <w:tblPr>
        <w:tblW w:w="9322" w:type="dxa"/>
        <w:tblLayout w:type="fixed"/>
        <w:tblCellMar>
          <w:left w:w="62" w:type="dxa"/>
          <w:right w:w="62" w:type="dxa"/>
        </w:tblCellMar>
        <w:tblLook w:val="0000"/>
      </w:tblPr>
      <w:tblGrid>
        <w:gridCol w:w="2660"/>
        <w:gridCol w:w="6662"/>
      </w:tblGrid>
      <w:tr w:rsidTr="00202997">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570962" w:rsidP="00570962">
            <w:pPr>
              <w:pStyle w:val="BodyText"/>
            </w:pPr>
            <w:r w:rsidRPr="0057096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70962">
            <w:pPr>
              <w:pStyle w:val="BodyText"/>
              <w:rPr>
                <w:lang w:val="en-NZ"/>
              </w:rPr>
            </w:pPr>
            <w:r w:rsidRPr="00570962">
              <w:rPr>
                <w:rStyle w:val="SpecialBold"/>
              </w:rPr>
              <w:t>PERFORMANCE CRITERIA</w:t>
            </w:r>
          </w:p>
        </w:tc>
      </w:tr>
      <w:tr w:rsidTr="0020299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70962">
            <w:pPr>
              <w:pStyle w:val="List"/>
              <w:rPr>
                <w:lang w:val="en-NZ"/>
              </w:rPr>
            </w:pPr>
            <w:r w:rsidRPr="00570962">
              <w:rPr>
                <w:rStyle w:val="SpecialBold"/>
              </w:rPr>
              <w:t>1</w:t>
            </w:r>
            <w:r w:rsidRPr="00570962">
              <w:t>.</w:t>
            </w:r>
            <w:r w:rsidRPr="00570962">
              <w:tab/>
            </w:r>
            <w:r w:rsidRPr="00570962">
              <w:rPr>
                <w:rStyle w:val="SpecialBold"/>
              </w:rPr>
              <w:t>Plan and activate evidence collection</w:t>
            </w:r>
          </w:p>
        </w:tc>
        <w:tc>
          <w:tcPr>
            <w:tcW w:w="6662" w:type="dxa"/>
            <w:tcBorders>
              <w:top w:val="nil"/>
              <w:left w:val="nil"/>
              <w:bottom w:val="nil"/>
              <w:right w:val="nil"/>
            </w:tcBorders>
            <w:tcMar>
              <w:top w:w="0" w:type="dxa"/>
              <w:left w:w="62" w:type="dxa"/>
              <w:bottom w:w="0" w:type="dxa"/>
              <w:right w:w="62" w:type="dxa"/>
            </w:tcMar>
          </w:tcPr>
          <w:p w:rsidR="00000000" w:rsidRPr="00570962" w:rsidP="00570962">
            <w:pPr>
              <w:pStyle w:val="List"/>
            </w:pPr>
            <w:r w:rsidRPr="00570962">
              <w:t>1.1</w:t>
            </w:r>
            <w:r w:rsidRPr="00570962">
              <w:tab/>
            </w:r>
            <w:r w:rsidRPr="00570962">
              <w:rPr>
                <w:rStyle w:val="BoldandItalics"/>
              </w:rPr>
              <w:t xml:space="preserve">Evidence </w:t>
            </w:r>
            <w:r w:rsidRPr="00570962">
              <w:t xml:space="preserve">requirements are researched to establish the type and standard of evidence and </w:t>
            </w:r>
            <w:r w:rsidRPr="00570962">
              <w:rPr>
                <w:rStyle w:val="BoldandItalics"/>
              </w:rPr>
              <w:t xml:space="preserve">resources </w:t>
            </w:r>
            <w:r w:rsidRPr="00570962">
              <w:t>required when the size of investigation and/or type of offence/s require this.</w:t>
            </w:r>
          </w:p>
          <w:p w:rsidR="00000000" w:rsidRPr="00570962" w:rsidP="00570962">
            <w:pPr>
              <w:pStyle w:val="List"/>
            </w:pPr>
            <w:r w:rsidRPr="00570962">
              <w:t>1.2</w:t>
            </w:r>
            <w:r w:rsidRPr="00570962">
              <w:tab/>
              <w:t>Approval to commence investigatio</w:t>
            </w:r>
            <w:r w:rsidRPr="00570962">
              <w:t>n is obtained in accordance with organisational policy and procedures.</w:t>
            </w:r>
          </w:p>
          <w:p w:rsidR="00000000" w:rsidRPr="00570962" w:rsidP="00570962">
            <w:pPr>
              <w:pStyle w:val="List"/>
            </w:pPr>
            <w:r w:rsidRPr="00570962">
              <w:t>1.3</w:t>
            </w:r>
            <w:r w:rsidRPr="00570962">
              <w:tab/>
              <w:t>Plan of action is agreed in accordance with organisational policy and procedures, and communication and review processes are established.</w:t>
            </w:r>
          </w:p>
          <w:p w:rsidR="00000000" w:rsidP="00570962">
            <w:pPr>
              <w:pStyle w:val="List"/>
              <w:rPr>
                <w:lang w:val="en-NZ"/>
              </w:rPr>
            </w:pPr>
            <w:r w:rsidRPr="00570962">
              <w:t>1.4</w:t>
            </w:r>
            <w:r w:rsidRPr="00570962">
              <w:tab/>
              <w:t>Evidence recording process is put in pl</w:t>
            </w:r>
            <w:r w:rsidRPr="00570962">
              <w:t>ace in accordance with organisational guidelines and legislative requirements.</w:t>
            </w:r>
          </w:p>
        </w:tc>
      </w:tr>
      <w:tr w:rsidTr="0020299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70962">
            <w:pPr>
              <w:pStyle w:val="List"/>
              <w:rPr>
                <w:lang w:val="en-NZ"/>
              </w:rPr>
            </w:pPr>
            <w:r w:rsidRPr="00570962">
              <w:rPr>
                <w:rStyle w:val="SpecialBold"/>
              </w:rPr>
              <w:t>2</w:t>
            </w:r>
            <w:r w:rsidRPr="00570962">
              <w:t>.</w:t>
            </w:r>
            <w:r w:rsidRPr="00570962">
              <w:tab/>
            </w:r>
            <w:r w:rsidRPr="00570962">
              <w:rPr>
                <w:rStyle w:val="SpecialBold"/>
              </w:rPr>
              <w:t>Identify persons of interest</w:t>
            </w:r>
          </w:p>
        </w:tc>
        <w:tc>
          <w:tcPr>
            <w:tcW w:w="6662" w:type="dxa"/>
            <w:tcBorders>
              <w:top w:val="nil"/>
              <w:left w:val="nil"/>
              <w:bottom w:val="nil"/>
              <w:right w:val="nil"/>
            </w:tcBorders>
            <w:tcMar>
              <w:top w:w="0" w:type="dxa"/>
              <w:left w:w="62" w:type="dxa"/>
              <w:bottom w:w="0" w:type="dxa"/>
              <w:right w:w="62" w:type="dxa"/>
            </w:tcMar>
          </w:tcPr>
          <w:p w:rsidR="00000000" w:rsidRPr="00570962" w:rsidP="00570962">
            <w:pPr>
              <w:pStyle w:val="List"/>
            </w:pPr>
            <w:r w:rsidRPr="00570962">
              <w:t>2.1</w:t>
            </w:r>
            <w:r w:rsidRPr="00570962">
              <w:tab/>
              <w:t>Possible witnesses are identified, located and contacted to request that they provide information.</w:t>
            </w:r>
          </w:p>
          <w:p w:rsidR="00000000" w:rsidRPr="00570962" w:rsidP="00570962">
            <w:pPr>
              <w:pStyle w:val="List"/>
            </w:pPr>
            <w:r w:rsidRPr="00570962">
              <w:t>2.2</w:t>
            </w:r>
            <w:r w:rsidRPr="00570962">
              <w:tab/>
              <w:t>Particulars of witness/es are documen</w:t>
            </w:r>
            <w:r w:rsidRPr="00570962">
              <w:t>ted according to correct evidentiary procedures.</w:t>
            </w:r>
          </w:p>
          <w:p w:rsidR="00000000" w:rsidRPr="00570962" w:rsidP="00570962">
            <w:pPr>
              <w:pStyle w:val="List"/>
            </w:pPr>
            <w:r w:rsidRPr="00570962">
              <w:t>2.3</w:t>
            </w:r>
            <w:r w:rsidRPr="00570962">
              <w:tab/>
            </w:r>
            <w:r w:rsidRPr="00570962">
              <w:rPr>
                <w:rStyle w:val="BoldandItalics"/>
              </w:rPr>
              <w:t xml:space="preserve">Responsible parties </w:t>
            </w:r>
            <w:r w:rsidRPr="00570962">
              <w:t xml:space="preserve">are identified, located and their </w:t>
            </w:r>
            <w:r w:rsidRPr="00570962">
              <w:rPr>
                <w:rStyle w:val="BoldandItalics"/>
              </w:rPr>
              <w:t xml:space="preserve">particulars </w:t>
            </w:r>
            <w:r w:rsidRPr="00570962">
              <w:t>are recorded in accordance with correct evidentiary procedures.</w:t>
            </w:r>
          </w:p>
          <w:p w:rsidR="00000000" w:rsidP="00570962">
            <w:pPr>
              <w:pStyle w:val="List"/>
              <w:rPr>
                <w:lang w:val="en-NZ"/>
              </w:rPr>
            </w:pPr>
            <w:r w:rsidRPr="00570962">
              <w:t>2.4</w:t>
            </w:r>
            <w:r w:rsidRPr="00570962">
              <w:tab/>
            </w:r>
            <w:r w:rsidRPr="00570962">
              <w:t>Responsible parties are contacted for interview in accordance with organisational procedures and legislative requirements, and informed of the nature of the investigation, if required by law.</w:t>
            </w:r>
          </w:p>
        </w:tc>
      </w:tr>
      <w:tr w:rsidTr="0020299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70962">
            <w:pPr>
              <w:pStyle w:val="List"/>
              <w:rPr>
                <w:lang w:val="en-NZ"/>
              </w:rPr>
            </w:pPr>
            <w:r w:rsidRPr="00570962">
              <w:rPr>
                <w:rStyle w:val="SpecialBold"/>
              </w:rPr>
              <w:t>3</w:t>
            </w:r>
            <w:r w:rsidRPr="00570962">
              <w:t>.</w:t>
            </w:r>
            <w:r w:rsidRPr="00570962">
              <w:tab/>
            </w:r>
            <w:r w:rsidRPr="00570962">
              <w:rPr>
                <w:rStyle w:val="SpecialBold"/>
              </w:rPr>
              <w:t>Collect and store evidence</w:t>
            </w:r>
          </w:p>
        </w:tc>
        <w:tc>
          <w:tcPr>
            <w:tcW w:w="6662" w:type="dxa"/>
            <w:tcBorders>
              <w:top w:val="nil"/>
              <w:left w:val="nil"/>
              <w:bottom w:val="nil"/>
              <w:right w:val="nil"/>
            </w:tcBorders>
            <w:tcMar>
              <w:top w:w="0" w:type="dxa"/>
              <w:left w:w="62" w:type="dxa"/>
              <w:bottom w:w="0" w:type="dxa"/>
              <w:right w:w="62" w:type="dxa"/>
            </w:tcMar>
          </w:tcPr>
          <w:p w:rsidR="00000000" w:rsidRPr="00570962" w:rsidP="00570962">
            <w:pPr>
              <w:pStyle w:val="List"/>
            </w:pPr>
            <w:r w:rsidRPr="00570962">
              <w:t>3.1</w:t>
            </w:r>
            <w:r w:rsidRPr="00570962">
              <w:tab/>
            </w:r>
            <w:r w:rsidRPr="00570962">
              <w:rPr>
                <w:rStyle w:val="BoldandItalics"/>
              </w:rPr>
              <w:t xml:space="preserve">Authority to search </w:t>
            </w:r>
            <w:r w:rsidRPr="00570962">
              <w:t>is obtain</w:t>
            </w:r>
            <w:r w:rsidRPr="00570962">
              <w:t>ed/verified, involving other organisations where necessary.</w:t>
            </w:r>
          </w:p>
          <w:p w:rsidR="00000000" w:rsidRPr="00570962" w:rsidP="00570962">
            <w:pPr>
              <w:pStyle w:val="List"/>
            </w:pPr>
            <w:r w:rsidRPr="00570962">
              <w:t>3.2</w:t>
            </w:r>
            <w:r w:rsidRPr="00570962">
              <w:tab/>
              <w:t xml:space="preserve">Evidence is identified, </w:t>
            </w:r>
            <w:r w:rsidRPr="00570962">
              <w:rPr>
                <w:rStyle w:val="BoldandItalics"/>
              </w:rPr>
              <w:t>collected</w:t>
            </w:r>
            <w:r w:rsidRPr="00570962">
              <w:t xml:space="preserve">, </w:t>
            </w:r>
            <w:r w:rsidRPr="00570962">
              <w:rPr>
                <w:rStyle w:val="BoldandItalics"/>
              </w:rPr>
              <w:t>labelled</w:t>
            </w:r>
            <w:r w:rsidRPr="00570962">
              <w:t>, recorded and preserved according to exhibit management principles for later use in proceedings.</w:t>
            </w:r>
          </w:p>
          <w:p w:rsidR="00000000" w:rsidRPr="00570962" w:rsidP="00570962">
            <w:pPr>
              <w:pStyle w:val="List"/>
            </w:pPr>
            <w:r w:rsidRPr="00570962">
              <w:t>3.3</w:t>
            </w:r>
            <w:r w:rsidRPr="00570962">
              <w:tab/>
              <w:t xml:space="preserve">Evidence is </w:t>
            </w:r>
            <w:r w:rsidRPr="00570962">
              <w:rPr>
                <w:rStyle w:val="BoldandItalics"/>
              </w:rPr>
              <w:t xml:space="preserve">managed </w:t>
            </w:r>
            <w:r w:rsidRPr="00570962">
              <w:t>in accordance with the prin</w:t>
            </w:r>
            <w:r w:rsidRPr="00570962">
              <w:t>ciples of continuity of possession,</w:t>
            </w:r>
            <w:r w:rsidRPr="00570962">
              <w:rPr>
                <w:rStyle w:val="BoldandItalics"/>
              </w:rPr>
              <w:t xml:space="preserve"> legislation and standards</w:t>
            </w:r>
            <w:r w:rsidRPr="00570962">
              <w:rPr>
                <w:rStyle w:val="Emphasis"/>
              </w:rPr>
              <w:t>.</w:t>
            </w:r>
          </w:p>
          <w:p w:rsidR="00000000" w:rsidRPr="00570962" w:rsidP="00570962">
            <w:pPr>
              <w:pStyle w:val="List"/>
            </w:pPr>
            <w:r w:rsidRPr="00570962">
              <w:t>3.4</w:t>
            </w:r>
            <w:r w:rsidRPr="00570962">
              <w:tab/>
              <w:t>Corroboratory evidence is collected, documented and preserved.</w:t>
            </w:r>
          </w:p>
          <w:p w:rsidR="00000000" w:rsidRPr="00570962" w:rsidP="00570962">
            <w:pPr>
              <w:pStyle w:val="List"/>
            </w:pPr>
            <w:r w:rsidRPr="00570962">
              <w:t>3.5</w:t>
            </w:r>
            <w:r w:rsidRPr="00570962">
              <w:tab/>
            </w:r>
            <w:r w:rsidRPr="00570962">
              <w:rPr>
                <w:rStyle w:val="BoldandItalics"/>
              </w:rPr>
              <w:t xml:space="preserve">Expert </w:t>
            </w:r>
            <w:r w:rsidRPr="00570962">
              <w:t>skills and knowledge are accessed when necessary to further assist staff in areas where they cannot or are not auth</w:t>
            </w:r>
            <w:r w:rsidRPr="00570962">
              <w:t>orised to act.</w:t>
            </w:r>
          </w:p>
          <w:p w:rsidR="00000000" w:rsidP="00570962">
            <w:pPr>
              <w:pStyle w:val="List"/>
              <w:rPr>
                <w:lang w:val="en-NZ"/>
              </w:rPr>
            </w:pPr>
            <w:r w:rsidRPr="00570962">
              <w:t>3.6</w:t>
            </w:r>
            <w:r w:rsidRPr="00570962">
              <w:tab/>
              <w:t>Constant review is implemented during evidence collection to enable gaps and inadequacies to be addressed in accordance with organisational policy and procedures.</w:t>
            </w:r>
          </w:p>
        </w:tc>
      </w:tr>
      <w:tr w:rsidTr="0020299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70962">
            <w:pPr>
              <w:pStyle w:val="List"/>
              <w:rPr>
                <w:lang w:val="en-NZ"/>
              </w:rPr>
            </w:pPr>
            <w:r w:rsidRPr="00570962">
              <w:rPr>
                <w:rStyle w:val="SpecialBold"/>
              </w:rPr>
              <w:t>4</w:t>
            </w:r>
            <w:r w:rsidRPr="00570962">
              <w:t>.</w:t>
            </w:r>
            <w:r w:rsidRPr="00570962">
              <w:tab/>
            </w:r>
            <w:r w:rsidRPr="00570962">
              <w:rPr>
                <w:rStyle w:val="SpecialBold"/>
              </w:rPr>
              <w:t>Summarise and report on evidence</w:t>
            </w:r>
          </w:p>
        </w:tc>
        <w:tc>
          <w:tcPr>
            <w:tcW w:w="6662" w:type="dxa"/>
            <w:tcBorders>
              <w:top w:val="nil"/>
              <w:left w:val="nil"/>
              <w:bottom w:val="nil"/>
              <w:right w:val="nil"/>
            </w:tcBorders>
            <w:tcMar>
              <w:top w:w="0" w:type="dxa"/>
              <w:left w:w="62" w:type="dxa"/>
              <w:bottom w:w="0" w:type="dxa"/>
              <w:right w:w="62" w:type="dxa"/>
            </w:tcMar>
          </w:tcPr>
          <w:p w:rsidR="00000000" w:rsidRPr="00570962" w:rsidP="00570962">
            <w:pPr>
              <w:pStyle w:val="List"/>
            </w:pPr>
            <w:r w:rsidRPr="00570962">
              <w:t>4.1</w:t>
            </w:r>
            <w:r w:rsidRPr="00570962">
              <w:tab/>
              <w:t>Verbal and written summaries/</w:t>
            </w:r>
            <w:r w:rsidRPr="00570962">
              <w:rPr>
                <w:rStyle w:val="BoldandItalics"/>
              </w:rPr>
              <w:t>repo</w:t>
            </w:r>
            <w:r w:rsidRPr="00570962">
              <w:rPr>
                <w:rStyle w:val="BoldandItalics"/>
              </w:rPr>
              <w:t>rts</w:t>
            </w:r>
            <w:r w:rsidRPr="00570962">
              <w:t xml:space="preserve"> are made in accordance with legislative and organisational requirements.</w:t>
            </w:r>
          </w:p>
          <w:p w:rsidR="00000000" w:rsidRPr="00570962" w:rsidP="00570962">
            <w:pPr>
              <w:pStyle w:val="List"/>
            </w:pPr>
            <w:r w:rsidRPr="00570962">
              <w:t>4.2</w:t>
            </w:r>
            <w:r w:rsidRPr="00570962">
              <w:tab/>
              <w:t>Outcomes of investigation are entered into data management systems according to organisational guidelines.</w:t>
            </w:r>
          </w:p>
        </w:tc>
      </w:tr>
    </w:tbl>
    <w:p w:rsidR="00000000" w:rsidRPr="00570962" w:rsidP="00570962">
      <w:pPr>
        <w:pStyle w:val="BodyText"/>
      </w:pPr>
    </w:p>
    <w:p w:rsidR="00000000" w:rsidRPr="00570962" w:rsidP="00570962">
      <w:pPr>
        <w:pStyle w:val="AllowPageBreak"/>
      </w:pPr>
    </w:p>
    <w:p w:rsidR="00000000" w:rsidRPr="00570962" w:rsidP="00570962">
      <w:pPr>
        <w:pStyle w:val="Heading1"/>
      </w:pPr>
      <w:bookmarkStart w:id="9" w:name="O_498500"/>
      <w:bookmarkEnd w:id="9"/>
      <w:r w:rsidRPr="00570962">
        <w:t>Required Skills and Knowledge</w:t>
      </w:r>
    </w:p>
    <w:tbl>
      <w:tblPr>
        <w:tblW w:w="0" w:type="auto"/>
        <w:tblLayout w:type="fixed"/>
        <w:tblCellMar>
          <w:left w:w="62" w:type="dxa"/>
          <w:right w:w="62" w:type="dxa"/>
        </w:tblCellMar>
        <w:tblLook w:val="0000"/>
      </w:tblPr>
      <w:tblGrid>
        <w:gridCol w:w="8553"/>
      </w:tblGrid>
      <w:tr w:rsidTr="00202997">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570962">
            <w:pPr>
              <w:pStyle w:val="BodyText"/>
              <w:rPr>
                <w:lang w:val="en-NZ"/>
              </w:rPr>
            </w:pPr>
            <w:r w:rsidRPr="00570962">
              <w:t>This section descri</w:t>
            </w:r>
            <w:r w:rsidRPr="00570962">
              <w:t>bes the essential skills and knowledge and their level, required for this unit.</w:t>
            </w:r>
          </w:p>
        </w:tc>
      </w:tr>
      <w:tr w:rsidTr="00202997">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570962" w:rsidP="00570962">
            <w:pPr>
              <w:pStyle w:val="BodyText"/>
            </w:pPr>
            <w:r w:rsidRPr="00570962">
              <w:rPr>
                <w:rStyle w:val="SpecialBold"/>
              </w:rPr>
              <w:t>Skill requirements</w:t>
            </w:r>
          </w:p>
          <w:p w:rsidR="00000000" w:rsidRPr="00570962" w:rsidP="00570962">
            <w:pPr>
              <w:pStyle w:val="BodyText"/>
            </w:pPr>
            <w:r w:rsidRPr="00570962">
              <w:t>Look for evidence that confirms skills in:</w:t>
            </w:r>
          </w:p>
          <w:p w:rsidR="00000000" w:rsidRPr="00570962" w:rsidP="00570962">
            <w:pPr>
              <w:pStyle w:val="ListBullet2"/>
            </w:pPr>
            <w:r w:rsidRPr="00570962">
              <w:t>organising and problem solving</w:t>
            </w:r>
          </w:p>
          <w:p w:rsidR="00000000" w:rsidRPr="00570962" w:rsidP="00570962">
            <w:pPr>
              <w:pStyle w:val="ListBullet2"/>
            </w:pPr>
            <w:r w:rsidRPr="00570962">
              <w:t>liaising and negotiating</w:t>
            </w:r>
          </w:p>
          <w:p w:rsidR="00000000" w:rsidRPr="00570962" w:rsidP="00570962">
            <w:pPr>
              <w:pStyle w:val="ListBullet2"/>
            </w:pPr>
            <w:r w:rsidRPr="00570962">
              <w:t>communicating with people from diverse backgrounds</w:t>
            </w:r>
          </w:p>
          <w:p w:rsidR="00000000" w:rsidRPr="00570962" w:rsidP="00570962">
            <w:pPr>
              <w:pStyle w:val="ListBullet2"/>
            </w:pPr>
            <w:r w:rsidRPr="00570962">
              <w:t>responding to diversity, including gender and disability</w:t>
            </w:r>
          </w:p>
          <w:p w:rsidR="00000000" w:rsidRPr="00570962" w:rsidP="00570962">
            <w:pPr>
              <w:pStyle w:val="ListBullet2"/>
            </w:pPr>
            <w:r w:rsidRPr="00570962">
              <w:t>making comparisons and exercising judgment about facts in written materials</w:t>
            </w:r>
          </w:p>
          <w:p w:rsidR="00000000" w:rsidRPr="00570962" w:rsidP="00570962">
            <w:pPr>
              <w:pStyle w:val="ListBullet2"/>
            </w:pPr>
            <w:r w:rsidRPr="00570962">
              <w:t>report writing using formal structures and language</w:t>
            </w:r>
          </w:p>
          <w:p w:rsidR="00000000" w:rsidP="00570962">
            <w:pPr>
              <w:pStyle w:val="ListBullet2"/>
              <w:rPr>
                <w:lang w:val="en-NZ"/>
              </w:rPr>
            </w:pPr>
            <w:r w:rsidRPr="00570962">
              <w:t>applying public sector standards and legislation such as occupational h</w:t>
            </w:r>
            <w:r w:rsidRPr="00570962">
              <w:t>ealth and safety and environment in the context of gathering and managing evidence</w:t>
            </w:r>
          </w:p>
        </w:tc>
      </w:tr>
      <w:tr w:rsidTr="00202997">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570962" w:rsidP="00570962">
            <w:pPr>
              <w:pStyle w:val="BodyText"/>
            </w:pPr>
            <w:r w:rsidRPr="00570962">
              <w:rPr>
                <w:rStyle w:val="SpecialBold"/>
              </w:rPr>
              <w:t>Knowledge requirements</w:t>
            </w:r>
          </w:p>
          <w:p w:rsidR="00000000" w:rsidRPr="00570962" w:rsidP="00570962">
            <w:pPr>
              <w:pStyle w:val="BodyText"/>
            </w:pPr>
            <w:r w:rsidRPr="00570962">
              <w:t>Look for evidence that confirms knowledge and understanding of:</w:t>
            </w:r>
          </w:p>
          <w:p w:rsidR="00000000" w:rsidRPr="00570962" w:rsidP="00570962">
            <w:pPr>
              <w:pStyle w:val="ListBullet2"/>
            </w:pPr>
            <w:r w:rsidRPr="00570962">
              <w:t>rules of evidence relevant to the jurisdiction</w:t>
            </w:r>
          </w:p>
          <w:p w:rsidR="00000000" w:rsidRPr="00570962" w:rsidP="00570962">
            <w:pPr>
              <w:pStyle w:val="ListBullet2"/>
            </w:pPr>
            <w:r w:rsidRPr="00570962">
              <w:t xml:space="preserve">evidence legislation relevant to the </w:t>
            </w:r>
            <w:r w:rsidRPr="00570962">
              <w:t>jurisdiction</w:t>
            </w:r>
          </w:p>
          <w:p w:rsidR="00000000" w:rsidRPr="00570962" w:rsidP="00570962">
            <w:pPr>
              <w:pStyle w:val="ListBullet2"/>
            </w:pPr>
            <w:r w:rsidRPr="00570962">
              <w:t>legislation which contains the offence/s under investigation</w:t>
            </w:r>
          </w:p>
          <w:p w:rsidR="00000000" w:rsidRPr="00570962" w:rsidP="00570962">
            <w:pPr>
              <w:pStyle w:val="ListBullet2"/>
            </w:pPr>
            <w:r w:rsidRPr="00570962">
              <w:t>document management systems</w:t>
            </w:r>
          </w:p>
          <w:p w:rsidR="00000000" w:rsidRPr="00570962" w:rsidP="00570962">
            <w:pPr>
              <w:pStyle w:val="ListBullet2"/>
            </w:pPr>
            <w:r w:rsidRPr="00570962">
              <w:t>exhibit management principles</w:t>
            </w:r>
          </w:p>
          <w:p w:rsidR="00000000" w:rsidRPr="00570962" w:rsidP="00570962">
            <w:pPr>
              <w:pStyle w:val="ListBullet2"/>
            </w:pPr>
            <w:r w:rsidRPr="00570962">
              <w:t>organisational policies, guidelines and regulations</w:t>
            </w:r>
          </w:p>
          <w:p w:rsidR="00000000" w:rsidRPr="00570962" w:rsidP="00570962">
            <w:pPr>
              <w:pStyle w:val="ListBullet2"/>
            </w:pPr>
            <w:r w:rsidRPr="00570962">
              <w:t>equal employment opportunity, equity and diversity principles</w:t>
            </w:r>
          </w:p>
          <w:p w:rsidR="00000000" w:rsidRPr="00570962" w:rsidP="00570962">
            <w:pPr>
              <w:pStyle w:val="ListBullet2"/>
            </w:pPr>
            <w:r w:rsidRPr="00570962">
              <w:t>public sector legislation such as occupational health and safety and environment relating to gathering and management of evidence</w:t>
            </w:r>
          </w:p>
        </w:tc>
      </w:tr>
    </w:tbl>
    <w:p w:rsidR="00000000" w:rsidRPr="00570962" w:rsidP="00570962">
      <w:pPr>
        <w:pStyle w:val="BodyText"/>
      </w:pPr>
    </w:p>
    <w:p w:rsidR="00000000" w:rsidRPr="00570962" w:rsidP="00570962">
      <w:pPr>
        <w:pStyle w:val="AllowPageBreak"/>
      </w:pPr>
    </w:p>
    <w:p w:rsidR="00000000" w:rsidRPr="00570962" w:rsidP="00570962">
      <w:pPr>
        <w:pStyle w:val="Heading1"/>
      </w:pPr>
      <w:bookmarkStart w:id="10" w:name="O_498505"/>
      <w:bookmarkEnd w:id="10"/>
      <w:r w:rsidRPr="00570962">
        <w:t>Evidence Guide</w:t>
      </w:r>
    </w:p>
    <w:tbl>
      <w:tblPr>
        <w:tblW w:w="9322" w:type="dxa"/>
        <w:tblLayout w:type="fixed"/>
        <w:tblCellMar>
          <w:left w:w="62" w:type="dxa"/>
          <w:right w:w="62" w:type="dxa"/>
        </w:tblCellMar>
        <w:tblLook w:val="0000"/>
      </w:tblPr>
      <w:tblGrid>
        <w:gridCol w:w="2660"/>
        <w:gridCol w:w="6662"/>
      </w:tblGrid>
      <w:tr w:rsidTr="00202997">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70962">
            <w:pPr>
              <w:pStyle w:val="BodyText"/>
              <w:rPr>
                <w:lang w:val="en-NZ"/>
              </w:rPr>
            </w:pPr>
            <w:r w:rsidRPr="00570962">
              <w:t>The Evidence Guide specifies the evidence required to demonstrate achievement in the unit of</w:t>
            </w:r>
            <w:r w:rsidRPr="00570962">
              <w:t xml:space="preserve"> competency as a whole. It must be read in conjunction with the Unit descriptor, Performance Criteria, the Range Statement and the Assessment Guidelines for the Public Sector Training Package.</w:t>
            </w:r>
          </w:p>
        </w:tc>
      </w:tr>
      <w:tr w:rsidTr="0020299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70962">
            <w:pPr>
              <w:pStyle w:val="BodyText"/>
              <w:rPr>
                <w:lang w:val="en-NZ"/>
              </w:rPr>
            </w:pPr>
            <w:r w:rsidRPr="00570962">
              <w:rPr>
                <w:rStyle w:val="SpecialBold"/>
              </w:rPr>
              <w:t>Critical aspects for assessment and evidence required to demonstrate competency in this unit</w:t>
            </w:r>
          </w:p>
        </w:tc>
        <w:tc>
          <w:tcPr>
            <w:tcW w:w="6662" w:type="dxa"/>
            <w:tcBorders>
              <w:top w:val="nil"/>
              <w:left w:val="nil"/>
              <w:bottom w:val="nil"/>
              <w:right w:val="nil"/>
            </w:tcBorders>
            <w:tcMar>
              <w:top w:w="0" w:type="dxa"/>
              <w:left w:w="62" w:type="dxa"/>
              <w:bottom w:w="0" w:type="dxa"/>
              <w:right w:w="62" w:type="dxa"/>
            </w:tcMar>
          </w:tcPr>
          <w:p w:rsidR="00000000" w:rsidRPr="00570962" w:rsidP="00570962">
            <w:pPr>
              <w:pStyle w:val="BodyText"/>
            </w:pPr>
            <w:r w:rsidRPr="00570962">
              <w:t>In addition to integrated demonstration of the elements and their related performance criteria, look for evidence that confirms consistency of performance in gathe</w:t>
            </w:r>
            <w:r w:rsidRPr="00570962">
              <w:t xml:space="preserve">ring and managing evidence. </w:t>
            </w:r>
          </w:p>
          <w:p w:rsidR="00000000" w:rsidRPr="00570962" w:rsidP="00570962">
            <w:pPr>
              <w:pStyle w:val="BodyText"/>
            </w:pPr>
            <w:r w:rsidRPr="00570962">
              <w:t>This will include evidence of:</w:t>
            </w:r>
          </w:p>
          <w:p w:rsidR="00000000" w:rsidRPr="00570962" w:rsidP="00570962">
            <w:pPr>
              <w:pStyle w:val="BodyText"/>
            </w:pPr>
            <w:r w:rsidRPr="00570962">
              <w:t>planning for, collecting, storing and reporting on evidence (including through interview) for at least three actual or simulated siatuions on three separate occasions or for three different situat</w:t>
            </w:r>
            <w:r w:rsidRPr="00570962">
              <w:t>ions/contexts</w:t>
            </w:r>
          </w:p>
          <w:p w:rsidR="00000000" w:rsidP="00570962">
            <w:pPr>
              <w:pStyle w:val="BodyText"/>
              <w:rPr>
                <w:lang w:val="en-NZ"/>
              </w:rPr>
            </w:pPr>
            <w:r w:rsidRPr="00570962">
              <w:t xml:space="preserve">adhering to legal, ethical and organisational requirements relating to gathering and managing evidence. </w:t>
            </w:r>
          </w:p>
        </w:tc>
      </w:tr>
      <w:tr w:rsidTr="0020299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70962">
            <w:pPr>
              <w:pStyle w:val="BodyText"/>
              <w:rPr>
                <w:lang w:val="en-NZ"/>
              </w:rPr>
            </w:pPr>
            <w:r w:rsidRPr="00570962">
              <w:rPr>
                <w:rStyle w:val="SpecialBold"/>
              </w:rPr>
              <w:t>Context of specific resources for assessment</w:t>
            </w:r>
          </w:p>
        </w:tc>
        <w:tc>
          <w:tcPr>
            <w:tcW w:w="6662" w:type="dxa"/>
            <w:tcBorders>
              <w:top w:val="nil"/>
              <w:left w:val="nil"/>
              <w:bottom w:val="nil"/>
              <w:right w:val="nil"/>
            </w:tcBorders>
            <w:tcMar>
              <w:top w:w="0" w:type="dxa"/>
              <w:left w:w="62" w:type="dxa"/>
              <w:bottom w:w="0" w:type="dxa"/>
              <w:right w:w="62" w:type="dxa"/>
            </w:tcMar>
          </w:tcPr>
          <w:p w:rsidR="00000000" w:rsidRPr="00570962" w:rsidP="00570962">
            <w:pPr>
              <w:pStyle w:val="BodyText"/>
            </w:pPr>
            <w:r w:rsidRPr="00570962">
              <w:t>Assessment must ensure access to a real or simulated workplace environment that closely res</w:t>
            </w:r>
            <w:r w:rsidRPr="00570962">
              <w:t xml:space="preserve">embles normal work practice and replicates the range of conditions likely to be encountered while gathering and managing evidence, including coping with difficulties, irregularities and breakdowns in routine. </w:t>
            </w:r>
          </w:p>
          <w:p w:rsidR="00000000" w:rsidRPr="00570962" w:rsidP="00570962">
            <w:pPr>
              <w:pStyle w:val="BodyText"/>
            </w:pPr>
            <w:r w:rsidRPr="00570962">
              <w:t>Access is required to resources such as:</w:t>
            </w:r>
          </w:p>
          <w:p w:rsidR="00000000" w:rsidRPr="00570962" w:rsidP="00570962">
            <w:pPr>
              <w:pStyle w:val="ListBullet2"/>
            </w:pPr>
            <w:r w:rsidRPr="00570962">
              <w:t>appl</w:t>
            </w:r>
            <w:r w:rsidRPr="00570962">
              <w:t>icable legislation, policies and procedures</w:t>
            </w:r>
          </w:p>
          <w:p w:rsidR="00000000" w:rsidP="00570962">
            <w:pPr>
              <w:pStyle w:val="ListBullet2"/>
              <w:rPr>
                <w:lang w:val="en-NZ"/>
              </w:rPr>
            </w:pPr>
            <w:r w:rsidRPr="00570962">
              <w:t xml:space="preserve">case studies and workplace scenarios to capture the range of requirements for situations likely to be encountered  </w:t>
            </w:r>
          </w:p>
        </w:tc>
      </w:tr>
      <w:tr w:rsidTr="0020299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70962">
            <w:pPr>
              <w:pStyle w:val="BodyText"/>
              <w:rPr>
                <w:lang w:val="en-NZ"/>
              </w:rPr>
            </w:pPr>
            <w:r w:rsidRPr="00570962">
              <w:rPr>
                <w:rStyle w:val="SpecialBold"/>
              </w:rPr>
              <w:t>Method of assessment</w:t>
            </w:r>
          </w:p>
        </w:tc>
        <w:tc>
          <w:tcPr>
            <w:tcW w:w="6662" w:type="dxa"/>
            <w:tcBorders>
              <w:top w:val="nil"/>
              <w:left w:val="nil"/>
              <w:bottom w:val="nil"/>
              <w:right w:val="nil"/>
            </w:tcBorders>
            <w:tcMar>
              <w:top w:w="0" w:type="dxa"/>
              <w:left w:w="62" w:type="dxa"/>
              <w:bottom w:w="0" w:type="dxa"/>
              <w:right w:w="62" w:type="dxa"/>
            </w:tcMar>
          </w:tcPr>
          <w:p w:rsidR="00000000" w:rsidRPr="00570962" w:rsidP="00570962">
            <w:pPr>
              <w:pStyle w:val="BodyText"/>
            </w:pPr>
            <w:r w:rsidRPr="00570962">
              <w:t>Asse</w:t>
            </w:r>
            <w:r w:rsidRPr="00570962">
              <w:t xml:space="preserve">ssment methods suitable for valid and reliable assessment of this unit of competency may include, but are not limited to, a combination of 2 or more of: </w:t>
            </w:r>
          </w:p>
          <w:p w:rsidR="00000000" w:rsidRPr="00570962" w:rsidP="00570962">
            <w:pPr>
              <w:pStyle w:val="ListBullet2"/>
            </w:pPr>
            <w:r w:rsidRPr="00570962">
              <w:t>case studies</w:t>
            </w:r>
          </w:p>
          <w:p w:rsidR="00000000" w:rsidRPr="00570962" w:rsidP="00570962">
            <w:pPr>
              <w:pStyle w:val="ListBullet2"/>
            </w:pPr>
            <w:r w:rsidRPr="00570962">
              <w:t xml:space="preserve">demonstration </w:t>
            </w:r>
          </w:p>
          <w:p w:rsidR="00000000" w:rsidRPr="00570962" w:rsidP="00570962">
            <w:pPr>
              <w:pStyle w:val="ListBullet2"/>
            </w:pPr>
            <w:r w:rsidRPr="00570962">
              <w:t>observation</w:t>
            </w:r>
          </w:p>
          <w:p w:rsidR="00000000" w:rsidRPr="00570962" w:rsidP="00570962">
            <w:pPr>
              <w:pStyle w:val="ListBullet2"/>
            </w:pPr>
            <w:r w:rsidRPr="00570962">
              <w:t>written or oral questions</w:t>
            </w:r>
          </w:p>
          <w:p w:rsidR="00000000" w:rsidRPr="00570962" w:rsidP="00570962">
            <w:pPr>
              <w:pStyle w:val="ListBullet2"/>
            </w:pPr>
            <w:r w:rsidRPr="00570962">
              <w:t>scenarios</w:t>
            </w:r>
          </w:p>
          <w:p w:rsidR="00000000" w:rsidRPr="00570962" w:rsidP="00570962">
            <w:pPr>
              <w:pStyle w:val="ListBullet2"/>
            </w:pPr>
            <w:r w:rsidRPr="00570962">
              <w:t>simulation or role plays</w:t>
            </w:r>
          </w:p>
          <w:p w:rsidR="00000000" w:rsidP="00570962">
            <w:pPr>
              <w:pStyle w:val="ListBullet2"/>
              <w:rPr>
                <w:lang w:val="en-NZ"/>
              </w:rPr>
            </w:pPr>
            <w:r w:rsidRPr="00570962">
              <w:t>authenticated evidence from the workplace and/or training courses</w:t>
            </w:r>
          </w:p>
        </w:tc>
      </w:tr>
      <w:tr w:rsidTr="0020299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70962">
            <w:pPr>
              <w:pStyle w:val="BodyText"/>
              <w:rPr>
                <w:lang w:val="en-NZ"/>
              </w:rPr>
            </w:pPr>
            <w:r w:rsidRPr="00570962">
              <w:rPr>
                <w:rStyle w:val="SpecialBold"/>
              </w:rPr>
              <w:t>Guidance information for assessment</w:t>
            </w:r>
          </w:p>
        </w:tc>
        <w:tc>
          <w:tcPr>
            <w:tcW w:w="6662" w:type="dxa"/>
            <w:tcBorders>
              <w:top w:val="nil"/>
              <w:left w:val="nil"/>
              <w:bottom w:val="nil"/>
              <w:right w:val="nil"/>
            </w:tcBorders>
            <w:tcMar>
              <w:top w:w="0" w:type="dxa"/>
              <w:left w:w="62" w:type="dxa"/>
              <w:bottom w:w="0" w:type="dxa"/>
              <w:right w:w="62" w:type="dxa"/>
            </w:tcMar>
          </w:tcPr>
          <w:p w:rsidR="00000000" w:rsidRPr="00570962" w:rsidP="00570962">
            <w:pPr>
              <w:pStyle w:val="BodyText"/>
            </w:pPr>
            <w:r w:rsidRPr="00570962">
              <w:t>Assessment methods should reflect workplace demands, such as literacy, and the needs of particular groups, such as:</w:t>
            </w:r>
          </w:p>
          <w:p w:rsidR="00000000" w:rsidRPr="00570962" w:rsidP="00570962">
            <w:pPr>
              <w:pStyle w:val="ListBullet2"/>
            </w:pPr>
            <w:r w:rsidRPr="00570962">
              <w:t>people with disabilities</w:t>
            </w:r>
          </w:p>
          <w:p w:rsidR="00000000" w:rsidRPr="00570962" w:rsidP="00570962">
            <w:pPr>
              <w:pStyle w:val="ListBullet2"/>
            </w:pPr>
            <w:r w:rsidRPr="00570962">
              <w:t>people from culturally and linguistically diverse backgrounds</w:t>
            </w:r>
          </w:p>
          <w:p w:rsidR="00000000" w:rsidRPr="00570962" w:rsidP="00570962">
            <w:pPr>
              <w:pStyle w:val="ListBullet2"/>
            </w:pPr>
            <w:r w:rsidRPr="00570962">
              <w:t>Aboriginal and Torres Strait Islander people</w:t>
            </w:r>
          </w:p>
          <w:p w:rsidR="00000000" w:rsidRPr="00570962" w:rsidP="00570962">
            <w:pPr>
              <w:pStyle w:val="ListBullet2"/>
            </w:pPr>
            <w:r w:rsidRPr="00570962">
              <w:t>women</w:t>
            </w:r>
          </w:p>
          <w:p w:rsidR="00000000" w:rsidRPr="00570962" w:rsidP="00570962">
            <w:pPr>
              <w:pStyle w:val="ListBullet2"/>
            </w:pPr>
            <w:r w:rsidRPr="00570962">
              <w:t>young people</w:t>
            </w:r>
          </w:p>
          <w:p w:rsidR="00000000" w:rsidRPr="00570962" w:rsidP="00570962">
            <w:pPr>
              <w:pStyle w:val="ListBullet2"/>
            </w:pPr>
            <w:r w:rsidRPr="00570962">
              <w:t>older people</w:t>
            </w:r>
          </w:p>
          <w:p w:rsidR="00000000" w:rsidRPr="00570962" w:rsidP="00570962">
            <w:pPr>
              <w:pStyle w:val="ListBullet2"/>
            </w:pPr>
            <w:r w:rsidRPr="00570962">
              <w:t>people in rural and remote locations</w:t>
            </w:r>
          </w:p>
        </w:tc>
      </w:tr>
    </w:tbl>
    <w:p w:rsidR="00000000" w:rsidRPr="00570962" w:rsidP="00570962">
      <w:pPr>
        <w:pStyle w:val="BodyText"/>
      </w:pPr>
    </w:p>
    <w:p w:rsidR="00000000" w:rsidRPr="00570962" w:rsidP="00570962">
      <w:pPr>
        <w:pStyle w:val="AllowPageBreak"/>
      </w:pPr>
    </w:p>
    <w:p w:rsidR="00000000" w:rsidRPr="00570962" w:rsidP="00570962">
      <w:pPr>
        <w:pStyle w:val="Heading1"/>
      </w:pPr>
      <w:bookmarkStart w:id="11" w:name="O_498502"/>
      <w:bookmarkEnd w:id="11"/>
      <w:r w:rsidRPr="00570962">
        <w:t>Range Statement</w:t>
      </w:r>
    </w:p>
    <w:tbl>
      <w:tblPr>
        <w:tblW w:w="9322" w:type="dxa"/>
        <w:tblLayout w:type="fixed"/>
        <w:tblCellMar>
          <w:left w:w="62" w:type="dxa"/>
          <w:right w:w="62" w:type="dxa"/>
        </w:tblCellMar>
        <w:tblLook w:val="0000"/>
      </w:tblPr>
      <w:tblGrid>
        <w:gridCol w:w="2660"/>
        <w:gridCol w:w="6662"/>
      </w:tblGrid>
      <w:tr w:rsidTr="00202997">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70962">
            <w:pPr>
              <w:pStyle w:val="BodyText"/>
              <w:rPr>
                <w:lang w:val="en-NZ"/>
              </w:rPr>
            </w:pPr>
            <w:r w:rsidRPr="00570962">
              <w:t>The Range Statement provides information abou</w:t>
            </w:r>
            <w:r w:rsidRPr="00570962">
              <w:t xml:space="preserve">t the context in which the unit of competency is carried out. The variables cater for differences between States and Territories and the Commonwealth, and between organisations and workplaces. They allow for different work requirements, work practices and </w:t>
            </w:r>
            <w:r w:rsidRPr="00570962">
              <w:t xml:space="preserve">knowledge. The Range Statement also provides a focus for assessment. It relates to the unit as a whole. Text in </w:t>
            </w:r>
            <w:r w:rsidRPr="00570962">
              <w:rPr>
                <w:rStyle w:val="BoldandItalics"/>
              </w:rPr>
              <w:t>bold italics</w:t>
            </w:r>
            <w:r w:rsidRPr="00570962">
              <w:t xml:space="preserve"> in the Performance Criteria is explained here.</w:t>
            </w:r>
          </w:p>
        </w:tc>
      </w:tr>
      <w:tr w:rsidTr="0020299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70962">
            <w:pPr>
              <w:pStyle w:val="BodyText"/>
              <w:rPr>
                <w:lang w:val="en-NZ"/>
              </w:rPr>
            </w:pPr>
            <w:r w:rsidRPr="00570962">
              <w:rPr>
                <w:rStyle w:val="BoldandItalics"/>
              </w:rPr>
              <w:t xml:space="preserve">Evidence </w:t>
            </w:r>
            <w:r w:rsidRPr="00570962">
              <w:t>may include:</w:t>
            </w:r>
          </w:p>
        </w:tc>
        <w:tc>
          <w:tcPr>
            <w:tcW w:w="6662" w:type="dxa"/>
            <w:tcBorders>
              <w:top w:val="nil"/>
              <w:left w:val="nil"/>
              <w:bottom w:val="nil"/>
              <w:right w:val="nil"/>
            </w:tcBorders>
            <w:tcMar>
              <w:top w:w="0" w:type="dxa"/>
              <w:left w:w="62" w:type="dxa"/>
              <w:bottom w:w="0" w:type="dxa"/>
              <w:right w:w="62" w:type="dxa"/>
            </w:tcMar>
          </w:tcPr>
          <w:p w:rsidR="00000000" w:rsidRPr="00570962" w:rsidP="00570962">
            <w:pPr>
              <w:pStyle w:val="ListBullet2"/>
            </w:pPr>
            <w:r w:rsidRPr="00570962">
              <w:t>real, oral, computer data or documentary</w:t>
            </w:r>
          </w:p>
          <w:p w:rsidR="00000000" w:rsidRPr="00570962" w:rsidP="00570962">
            <w:pPr>
              <w:pStyle w:val="ListBullet2"/>
            </w:pPr>
            <w:r w:rsidRPr="00570962">
              <w:t>photographic or video</w:t>
            </w:r>
          </w:p>
          <w:p w:rsidR="00000000" w:rsidRPr="00570962" w:rsidP="00570962">
            <w:pPr>
              <w:pStyle w:val="ListBullet2"/>
            </w:pPr>
            <w:r w:rsidRPr="00570962">
              <w:t>new evidence which results in reopening an investigation</w:t>
            </w:r>
          </w:p>
          <w:p w:rsidR="00000000" w:rsidP="00570962">
            <w:pPr>
              <w:pStyle w:val="ListBullet2"/>
              <w:rPr>
                <w:lang w:val="en-NZ"/>
              </w:rPr>
            </w:pPr>
            <w:r w:rsidRPr="00570962">
              <w:t>requirements identified in an evidence guide or evidence matrix</w:t>
            </w:r>
          </w:p>
        </w:tc>
      </w:tr>
      <w:tr w:rsidTr="0020299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70962">
            <w:pPr>
              <w:pStyle w:val="BodyText"/>
              <w:rPr>
                <w:lang w:val="en-NZ"/>
              </w:rPr>
            </w:pPr>
            <w:r w:rsidRPr="00570962">
              <w:rPr>
                <w:rStyle w:val="BoldandItalics"/>
              </w:rPr>
              <w:t xml:space="preserve">Establishing resource requirements </w:t>
            </w:r>
            <w:r w:rsidRPr="00570962">
              <w:t xml:space="preserve">may require: </w:t>
            </w:r>
          </w:p>
        </w:tc>
        <w:tc>
          <w:tcPr>
            <w:tcW w:w="6662" w:type="dxa"/>
            <w:tcBorders>
              <w:top w:val="nil"/>
              <w:left w:val="nil"/>
              <w:bottom w:val="nil"/>
              <w:right w:val="nil"/>
            </w:tcBorders>
            <w:tcMar>
              <w:top w:w="0" w:type="dxa"/>
              <w:left w:w="62" w:type="dxa"/>
              <w:bottom w:w="0" w:type="dxa"/>
              <w:right w:w="62" w:type="dxa"/>
            </w:tcMar>
          </w:tcPr>
          <w:p w:rsidR="00000000" w:rsidP="00570962">
            <w:pPr>
              <w:pStyle w:val="ListBullet2"/>
              <w:rPr>
                <w:lang w:val="en-NZ"/>
              </w:rPr>
            </w:pPr>
            <w:r w:rsidRPr="00570962">
              <w:t>an estimate of the costs of gathering evidence</w:t>
            </w:r>
          </w:p>
        </w:tc>
      </w:tr>
      <w:tr w:rsidTr="0020299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70962">
            <w:pPr>
              <w:pStyle w:val="BodyText"/>
              <w:rPr>
                <w:lang w:val="en-NZ"/>
              </w:rPr>
            </w:pPr>
            <w:r w:rsidRPr="00570962">
              <w:rPr>
                <w:rStyle w:val="BoldandItalics"/>
              </w:rPr>
              <w:t>Responsible parties</w:t>
            </w:r>
            <w:r w:rsidRPr="0057096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70962" w:rsidP="00570962">
            <w:pPr>
              <w:pStyle w:val="ListBullet2"/>
            </w:pPr>
            <w:r w:rsidRPr="00570962">
              <w:t>suspects</w:t>
            </w:r>
          </w:p>
          <w:p w:rsidR="00000000" w:rsidRPr="00570962" w:rsidP="00570962">
            <w:pPr>
              <w:pStyle w:val="ListBullet2"/>
            </w:pPr>
            <w:r w:rsidRPr="00570962">
              <w:t xml:space="preserve">alleged offenders </w:t>
            </w:r>
          </w:p>
          <w:p w:rsidR="00000000" w:rsidRPr="00570962" w:rsidP="00570962">
            <w:pPr>
              <w:pStyle w:val="ListBullet2"/>
            </w:pPr>
            <w:r w:rsidRPr="00570962">
              <w:t>obligation holders</w:t>
            </w:r>
          </w:p>
          <w:p w:rsidR="00000000" w:rsidRPr="00570962" w:rsidP="00570962">
            <w:pPr>
              <w:pStyle w:val="ListBullet2"/>
            </w:pPr>
            <w:r w:rsidRPr="00570962">
              <w:t>employers</w:t>
            </w:r>
          </w:p>
          <w:p w:rsidR="00000000" w:rsidRPr="00570962" w:rsidP="00570962">
            <w:pPr>
              <w:pStyle w:val="ListBullet2"/>
            </w:pPr>
            <w:r w:rsidRPr="00570962">
              <w:t>principal contractors</w:t>
            </w:r>
          </w:p>
          <w:p w:rsidR="00000000" w:rsidRPr="00570962" w:rsidP="00570962">
            <w:pPr>
              <w:pStyle w:val="ListBullet2"/>
            </w:pPr>
            <w:r w:rsidRPr="00570962">
              <w:t>owners</w:t>
            </w:r>
          </w:p>
          <w:p w:rsidR="00000000" w:rsidP="00570962">
            <w:pPr>
              <w:pStyle w:val="ListBullet2"/>
              <w:rPr>
                <w:lang w:val="en-NZ"/>
              </w:rPr>
            </w:pPr>
            <w:r w:rsidRPr="00570962">
              <w:t>operators</w:t>
            </w:r>
          </w:p>
        </w:tc>
      </w:tr>
      <w:tr w:rsidTr="0020299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70962">
            <w:pPr>
              <w:pStyle w:val="BodyText"/>
              <w:rPr>
                <w:lang w:val="en-NZ"/>
              </w:rPr>
            </w:pPr>
            <w:r w:rsidRPr="00570962">
              <w:rPr>
                <w:rStyle w:val="BoldandItalics"/>
              </w:rPr>
              <w:t>Particulars of responsible parties</w:t>
            </w:r>
            <w:r w:rsidRPr="0057096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70962" w:rsidP="00570962">
            <w:pPr>
              <w:pStyle w:val="ListBullet2"/>
            </w:pPr>
            <w:r w:rsidRPr="00570962">
              <w:t>personal details</w:t>
            </w:r>
          </w:p>
          <w:p w:rsidR="00000000" w:rsidP="00570962">
            <w:pPr>
              <w:pStyle w:val="ListBullet2"/>
              <w:rPr>
                <w:lang w:val="en-NZ"/>
              </w:rPr>
            </w:pPr>
            <w:r w:rsidRPr="00570962">
              <w:t>identification of assets and entitlements for criminal or c</w:t>
            </w:r>
            <w:r w:rsidRPr="00570962">
              <w:t>ivil recovery purposes</w:t>
            </w:r>
          </w:p>
        </w:tc>
      </w:tr>
      <w:tr w:rsidTr="0020299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70962">
            <w:pPr>
              <w:pStyle w:val="BodyText"/>
              <w:rPr>
                <w:lang w:val="en-NZ"/>
              </w:rPr>
            </w:pPr>
            <w:r w:rsidRPr="00570962">
              <w:rPr>
                <w:rStyle w:val="BoldandItalics"/>
              </w:rPr>
              <w:t>Authority to search</w:t>
            </w:r>
            <w:r w:rsidRPr="0057096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70962" w:rsidP="00570962">
            <w:pPr>
              <w:pStyle w:val="ListBullet2"/>
            </w:pPr>
            <w:r w:rsidRPr="00570962">
              <w:t>warrant already issued</w:t>
            </w:r>
          </w:p>
          <w:p w:rsidR="00000000" w:rsidRPr="00570962" w:rsidP="00570962">
            <w:pPr>
              <w:pStyle w:val="ListBullet2"/>
            </w:pPr>
            <w:r w:rsidRPr="00570962">
              <w:t>no requirement for search warrant under powers of enabling legislation</w:t>
            </w:r>
          </w:p>
          <w:p w:rsidR="00000000" w:rsidRPr="00570962" w:rsidP="00570962">
            <w:pPr>
              <w:pStyle w:val="ListBullet2"/>
            </w:pPr>
            <w:r w:rsidRPr="00570962">
              <w:t>affidavit</w:t>
            </w:r>
          </w:p>
          <w:p w:rsidR="00000000" w:rsidRPr="00570962" w:rsidP="00570962">
            <w:pPr>
              <w:pStyle w:val="ListBullet2"/>
            </w:pPr>
            <w:r w:rsidRPr="00570962">
              <w:t>confirming the legal basis for the search and seizure</w:t>
            </w:r>
          </w:p>
          <w:p w:rsidR="00000000" w:rsidRPr="00570962" w:rsidP="00570962">
            <w:pPr>
              <w:pStyle w:val="ListBullet2"/>
            </w:pPr>
            <w:r w:rsidRPr="00570962">
              <w:t>appropriate information to ground a warrant</w:t>
            </w:r>
          </w:p>
          <w:p w:rsidR="00000000" w:rsidRPr="00570962" w:rsidP="00570962">
            <w:pPr>
              <w:pStyle w:val="ListBullet2"/>
            </w:pPr>
            <w:r w:rsidRPr="00570962">
              <w:t>requirement to obtain search/seizure warrant before proceeding</w:t>
            </w:r>
          </w:p>
          <w:p w:rsidR="00000000" w:rsidRPr="00570962" w:rsidP="00570962">
            <w:pPr>
              <w:pStyle w:val="ListBullet2"/>
            </w:pPr>
            <w:r w:rsidRPr="00570962">
              <w:t>organisational approval/s to undertake search and seizure</w:t>
            </w:r>
          </w:p>
          <w:p w:rsidR="00000000" w:rsidRPr="00570962" w:rsidP="00570962">
            <w:pPr>
              <w:pStyle w:val="ListBullet2"/>
            </w:pPr>
            <w:r w:rsidRPr="00570962">
              <w:t>completion/submission of organisational documents relating to planned search and seizure</w:t>
            </w:r>
          </w:p>
          <w:p w:rsidR="00000000" w:rsidRPr="00570962" w:rsidP="00570962">
            <w:pPr>
              <w:pStyle w:val="ListBullet2"/>
            </w:pPr>
            <w:r w:rsidRPr="00570962">
              <w:t>th</w:t>
            </w:r>
            <w:r w:rsidRPr="00570962">
              <w:t>e need for assistance from other agencies/jurisdictions</w:t>
            </w:r>
          </w:p>
          <w:p w:rsidR="00000000" w:rsidP="00570962">
            <w:pPr>
              <w:pStyle w:val="ListBullet2"/>
              <w:rPr>
                <w:lang w:val="en-NZ"/>
              </w:rPr>
            </w:pPr>
            <w:r w:rsidRPr="00570962">
              <w:t>referral to other agencies</w:t>
            </w:r>
          </w:p>
        </w:tc>
      </w:tr>
      <w:tr w:rsidTr="0020299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70962">
            <w:pPr>
              <w:pStyle w:val="BodyText"/>
              <w:rPr>
                <w:lang w:val="en-NZ"/>
              </w:rPr>
            </w:pPr>
            <w:r w:rsidRPr="00570962">
              <w:rPr>
                <w:rStyle w:val="BoldandItalics"/>
              </w:rPr>
              <w:t>Evidence collection</w:t>
            </w:r>
            <w:r w:rsidRPr="0057096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70962" w:rsidP="00570962">
            <w:pPr>
              <w:pStyle w:val="ListBullet2"/>
            </w:pPr>
            <w:r w:rsidRPr="00570962">
              <w:t xml:space="preserve">voluntary submission </w:t>
            </w:r>
          </w:p>
          <w:p w:rsidR="00000000" w:rsidRPr="00570962" w:rsidP="00570962">
            <w:pPr>
              <w:pStyle w:val="ListBullet2"/>
            </w:pPr>
            <w:r w:rsidRPr="00570962">
              <w:t>acquisition through legislative powers</w:t>
            </w:r>
          </w:p>
          <w:p w:rsidR="00000000" w:rsidRPr="00570962" w:rsidP="00570962">
            <w:pPr>
              <w:pStyle w:val="ListBullet2"/>
            </w:pPr>
            <w:r w:rsidRPr="00570962">
              <w:t>following new lines of inquiry suggested during the process of gathering evidence</w:t>
            </w:r>
          </w:p>
          <w:p w:rsidR="00000000" w:rsidRPr="00570962" w:rsidP="00570962">
            <w:pPr>
              <w:pStyle w:val="ListBullet2"/>
            </w:pPr>
            <w:r w:rsidRPr="00570962">
              <w:t>cautions</w:t>
            </w:r>
          </w:p>
          <w:p w:rsidR="00000000" w:rsidP="00570962">
            <w:pPr>
              <w:pStyle w:val="ListBullet2"/>
              <w:rPr>
                <w:lang w:val="en-NZ"/>
              </w:rPr>
            </w:pPr>
            <w:r w:rsidRPr="00570962">
              <w:t>safeguards</w:t>
            </w:r>
          </w:p>
        </w:tc>
      </w:tr>
      <w:tr w:rsidTr="0020299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70962">
            <w:pPr>
              <w:pStyle w:val="BodyText"/>
              <w:rPr>
                <w:lang w:val="en-NZ"/>
              </w:rPr>
            </w:pPr>
            <w:r w:rsidRPr="00570962">
              <w:rPr>
                <w:rStyle w:val="BoldandItalics"/>
              </w:rPr>
              <w:t>Labelling of evidence</w:t>
            </w:r>
            <w:r w:rsidRPr="0057096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70962" w:rsidP="00570962">
            <w:pPr>
              <w:pStyle w:val="ListBullet2"/>
            </w:pPr>
            <w:r w:rsidRPr="00570962">
              <w:t>date</w:t>
            </w:r>
          </w:p>
          <w:p w:rsidR="00000000" w:rsidRPr="00570962" w:rsidP="00570962">
            <w:pPr>
              <w:pStyle w:val="ListBullet2"/>
            </w:pPr>
            <w:r w:rsidRPr="00570962">
              <w:t>time</w:t>
            </w:r>
          </w:p>
          <w:p w:rsidR="00000000" w:rsidRPr="00570962" w:rsidP="00570962">
            <w:pPr>
              <w:pStyle w:val="ListBullet2"/>
            </w:pPr>
            <w:r w:rsidRPr="00570962">
              <w:t>location</w:t>
            </w:r>
          </w:p>
          <w:p w:rsidR="00000000" w:rsidRPr="00570962" w:rsidP="00570962">
            <w:pPr>
              <w:pStyle w:val="ListBullet2"/>
            </w:pPr>
            <w:r w:rsidRPr="00570962">
              <w:t>details of person/s giving the evidence</w:t>
            </w:r>
          </w:p>
          <w:p w:rsidR="00000000" w:rsidP="00570962">
            <w:pPr>
              <w:pStyle w:val="ListBullet2"/>
              <w:rPr>
                <w:lang w:val="en-NZ"/>
              </w:rPr>
            </w:pPr>
            <w:r w:rsidRPr="00570962">
              <w:t>person/s collecting the evidence</w:t>
            </w:r>
          </w:p>
        </w:tc>
      </w:tr>
      <w:tr w:rsidTr="0020299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70962">
            <w:pPr>
              <w:pStyle w:val="BodyText"/>
              <w:rPr>
                <w:lang w:val="en-NZ"/>
              </w:rPr>
            </w:pPr>
            <w:r w:rsidRPr="00570962">
              <w:rPr>
                <w:rStyle w:val="BoldandItalics"/>
              </w:rPr>
              <w:t>Evidence management</w:t>
            </w:r>
            <w:r w:rsidRPr="00570962">
              <w:t xml:space="preserve"> may </w:t>
            </w:r>
            <w:r w:rsidRPr="00570962">
              <w:t>include:</w:t>
            </w:r>
          </w:p>
        </w:tc>
        <w:tc>
          <w:tcPr>
            <w:tcW w:w="6662" w:type="dxa"/>
            <w:tcBorders>
              <w:top w:val="nil"/>
              <w:left w:val="nil"/>
              <w:bottom w:val="nil"/>
              <w:right w:val="nil"/>
            </w:tcBorders>
            <w:tcMar>
              <w:top w:w="0" w:type="dxa"/>
              <w:left w:w="62" w:type="dxa"/>
              <w:bottom w:w="0" w:type="dxa"/>
              <w:right w:w="62" w:type="dxa"/>
            </w:tcMar>
          </w:tcPr>
          <w:p w:rsidR="00000000" w:rsidRPr="00570962" w:rsidP="00570962">
            <w:pPr>
              <w:pStyle w:val="ListBullet2"/>
            </w:pPr>
            <w:r w:rsidRPr="00570962">
              <w:t xml:space="preserve">systematic recording (such as dating and numbering) </w:t>
            </w:r>
          </w:p>
          <w:p w:rsidR="00000000" w:rsidRPr="00570962" w:rsidP="00570962">
            <w:pPr>
              <w:pStyle w:val="ListBullet2"/>
            </w:pPr>
            <w:r w:rsidRPr="00570962">
              <w:t>indexing and labelling system</w:t>
            </w:r>
          </w:p>
          <w:p w:rsidR="00000000" w:rsidRPr="00570962" w:rsidP="00570962">
            <w:pPr>
              <w:pStyle w:val="ListBullet2"/>
            </w:pPr>
            <w:r w:rsidRPr="00570962">
              <w:t>using written or electronic database systems</w:t>
            </w:r>
          </w:p>
          <w:p w:rsidR="00000000" w:rsidRPr="00570962" w:rsidP="00570962">
            <w:pPr>
              <w:pStyle w:val="ListBullet2"/>
            </w:pPr>
            <w:r w:rsidRPr="00570962">
              <w:t>referral to prosecution organisations at any stage</w:t>
            </w:r>
          </w:p>
          <w:p w:rsidR="00000000" w:rsidRPr="00570962" w:rsidP="00570962">
            <w:pPr>
              <w:pStyle w:val="ListBullet2"/>
            </w:pPr>
            <w:r w:rsidRPr="00570962">
              <w:t>constant reviews during an investigation</w:t>
            </w:r>
          </w:p>
          <w:p w:rsidR="00000000" w:rsidRPr="00570962" w:rsidP="00570962">
            <w:pPr>
              <w:pStyle w:val="ListBullet2"/>
            </w:pPr>
            <w:r w:rsidRPr="00570962">
              <w:t>restricting access to evidence</w:t>
            </w:r>
          </w:p>
          <w:p w:rsidR="00000000" w:rsidP="00570962">
            <w:pPr>
              <w:pStyle w:val="ListBullet2"/>
              <w:rPr>
                <w:lang w:val="en-NZ"/>
              </w:rPr>
            </w:pPr>
            <w:r w:rsidRPr="00570962">
              <w:t xml:space="preserve">and must follow the principals of chain of evidence/rules of evidence </w:t>
            </w:r>
          </w:p>
        </w:tc>
      </w:tr>
      <w:tr w:rsidTr="0020299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70962">
            <w:pPr>
              <w:pStyle w:val="BodyText"/>
              <w:rPr>
                <w:lang w:val="en-NZ"/>
              </w:rPr>
            </w:pPr>
            <w:r w:rsidRPr="00570962">
              <w:rPr>
                <w:rStyle w:val="BoldandItalics"/>
              </w:rPr>
              <w:t>Legislation and standards</w:t>
            </w:r>
            <w:r w:rsidRPr="0057096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70962" w:rsidP="00570962">
            <w:pPr>
              <w:pStyle w:val="ListBullet2"/>
            </w:pPr>
            <w:r w:rsidRPr="00570962">
              <w:t>relevant Commonwealth/State/Territory legislation and guidelines</w:t>
            </w:r>
          </w:p>
          <w:p w:rsidR="00000000" w:rsidRPr="00570962" w:rsidP="00570962">
            <w:pPr>
              <w:pStyle w:val="ListBullet2"/>
            </w:pPr>
            <w:r w:rsidRPr="00570962">
              <w:t>ethical and conduct standards</w:t>
            </w:r>
          </w:p>
          <w:p w:rsidR="00000000" w:rsidRPr="00570962" w:rsidP="00570962">
            <w:pPr>
              <w:pStyle w:val="ListBullet2"/>
            </w:pPr>
            <w:r w:rsidRPr="00570962">
              <w:t>judicial standards</w:t>
            </w:r>
            <w:r w:rsidRPr="00570962">
              <w:t xml:space="preserve"> which must be followed in evidence collection to ensure the continuity of possession and admissibility of the evidence</w:t>
            </w:r>
          </w:p>
          <w:p w:rsidR="00000000" w:rsidP="00570962">
            <w:pPr>
              <w:pStyle w:val="ListBullet2"/>
              <w:rPr>
                <w:lang w:val="en-NZ"/>
              </w:rPr>
            </w:pPr>
            <w:r w:rsidRPr="00570962">
              <w:t>organisational policies and procedures</w:t>
            </w:r>
          </w:p>
        </w:tc>
      </w:tr>
      <w:tr w:rsidTr="0020299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70962">
            <w:pPr>
              <w:pStyle w:val="BodyText"/>
              <w:rPr>
                <w:lang w:val="en-NZ"/>
              </w:rPr>
            </w:pPr>
            <w:r w:rsidRPr="00570962">
              <w:rPr>
                <w:rStyle w:val="BoldandItalics"/>
              </w:rPr>
              <w:t>Expert skills and knowledge m</w:t>
            </w:r>
            <w:r w:rsidRPr="00570962">
              <w:t>ay include:</w:t>
            </w:r>
          </w:p>
        </w:tc>
        <w:tc>
          <w:tcPr>
            <w:tcW w:w="6662" w:type="dxa"/>
            <w:tcBorders>
              <w:top w:val="nil"/>
              <w:left w:val="nil"/>
              <w:bottom w:val="nil"/>
              <w:right w:val="nil"/>
            </w:tcBorders>
            <w:tcMar>
              <w:top w:w="0" w:type="dxa"/>
              <w:left w:w="62" w:type="dxa"/>
              <w:bottom w:w="0" w:type="dxa"/>
              <w:right w:w="62" w:type="dxa"/>
            </w:tcMar>
          </w:tcPr>
          <w:p w:rsidR="00000000" w:rsidRPr="00570962" w:rsidP="00570962">
            <w:pPr>
              <w:pStyle w:val="ListBullet2"/>
            </w:pPr>
            <w:r w:rsidRPr="00570962">
              <w:t>police, other law enforcement agencies</w:t>
            </w:r>
          </w:p>
          <w:p w:rsidR="00000000" w:rsidRPr="00570962" w:rsidP="00570962">
            <w:pPr>
              <w:pStyle w:val="ListBullet2"/>
            </w:pPr>
            <w:r w:rsidRPr="00570962">
              <w:t>private provider</w:t>
            </w:r>
          </w:p>
          <w:p w:rsidR="00000000" w:rsidRPr="00570962" w:rsidP="00570962">
            <w:pPr>
              <w:pStyle w:val="ListBullet2"/>
            </w:pPr>
            <w:r w:rsidRPr="00570962">
              <w:t xml:space="preserve">standards setting organisation </w:t>
            </w:r>
          </w:p>
          <w:p w:rsidR="00000000" w:rsidRPr="00570962" w:rsidP="00570962">
            <w:pPr>
              <w:pStyle w:val="ListBullet2"/>
            </w:pPr>
            <w:r w:rsidRPr="00570962">
              <w:t>input such as:</w:t>
            </w:r>
          </w:p>
          <w:p w:rsidR="00000000" w:rsidRPr="00570962" w:rsidP="00570962">
            <w:pPr>
              <w:pStyle w:val="ListBullet3"/>
            </w:pPr>
            <w:r w:rsidRPr="00570962">
              <w:t>search warrant</w:t>
            </w:r>
          </w:p>
          <w:p w:rsidR="00000000" w:rsidRPr="00570962" w:rsidP="00570962">
            <w:pPr>
              <w:pStyle w:val="ListBullet3"/>
            </w:pPr>
            <w:r w:rsidRPr="00570962">
              <w:t>surveillance</w:t>
            </w:r>
          </w:p>
          <w:p w:rsidR="00000000" w:rsidP="00570962">
            <w:pPr>
              <w:pStyle w:val="ListBullet3"/>
              <w:rPr>
                <w:lang w:val="en-NZ"/>
              </w:rPr>
            </w:pPr>
            <w:r w:rsidRPr="00570962">
              <w:t>scientific analysis</w:t>
            </w:r>
          </w:p>
        </w:tc>
      </w:tr>
      <w:tr w:rsidTr="0020299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70962">
            <w:pPr>
              <w:pStyle w:val="BodyText"/>
              <w:rPr>
                <w:lang w:val="en-NZ"/>
              </w:rPr>
            </w:pPr>
            <w:r w:rsidRPr="00570962">
              <w:rPr>
                <w:rStyle w:val="BoldandItalics"/>
              </w:rPr>
              <w:t xml:space="preserve">Reports </w:t>
            </w:r>
            <w:r w:rsidRPr="00570962">
              <w:t>may be:</w:t>
            </w:r>
          </w:p>
        </w:tc>
        <w:tc>
          <w:tcPr>
            <w:tcW w:w="6662" w:type="dxa"/>
            <w:tcBorders>
              <w:top w:val="nil"/>
              <w:left w:val="nil"/>
              <w:bottom w:val="nil"/>
              <w:right w:val="nil"/>
            </w:tcBorders>
            <w:tcMar>
              <w:top w:w="0" w:type="dxa"/>
              <w:left w:w="62" w:type="dxa"/>
              <w:bottom w:w="0" w:type="dxa"/>
              <w:right w:w="62" w:type="dxa"/>
            </w:tcMar>
          </w:tcPr>
          <w:p w:rsidR="00000000" w:rsidRPr="00570962" w:rsidP="00570962">
            <w:pPr>
              <w:pStyle w:val="ListBullet2"/>
            </w:pPr>
            <w:r w:rsidRPr="00570962">
              <w:t>to finalise case</w:t>
            </w:r>
          </w:p>
          <w:p w:rsidR="00000000" w:rsidRPr="00570962" w:rsidP="00570962">
            <w:pPr>
              <w:pStyle w:val="ListBullet2"/>
            </w:pPr>
            <w:r w:rsidRPr="00570962">
              <w:t>to inform team members and management</w:t>
            </w:r>
          </w:p>
          <w:p w:rsidR="00000000" w:rsidRPr="00570962" w:rsidP="00570962">
            <w:pPr>
              <w:pStyle w:val="ListBullet2"/>
            </w:pPr>
            <w:r w:rsidRPr="00570962">
              <w:t>to refer to other sections or organisations</w:t>
            </w:r>
          </w:p>
          <w:p w:rsidR="00000000" w:rsidRPr="00570962" w:rsidP="00570962">
            <w:pPr>
              <w:pStyle w:val="ListBullet2"/>
            </w:pPr>
            <w:r w:rsidRPr="00570962">
              <w:t>to prepare for fi</w:t>
            </w:r>
            <w:r w:rsidRPr="00570962">
              <w:t>nal summation in proceedings</w:t>
            </w:r>
          </w:p>
          <w:p w:rsidR="00000000" w:rsidRPr="00570962" w:rsidP="00570962">
            <w:pPr>
              <w:pStyle w:val="ListBullet2"/>
            </w:pPr>
            <w:r w:rsidRPr="00570962">
              <w:t>edited and security coded for a particular audience</w:t>
            </w:r>
          </w:p>
        </w:tc>
      </w:tr>
    </w:tbl>
    <w:p w:rsidR="00202997" w:rsidP="00570962">
      <w:pPr>
        <w:pStyle w:val="BodyText"/>
      </w:pPr>
    </w:p>
    <w:p w:rsidR="00202997" w:rsidP="00570962">
      <w:pPr>
        <w:pStyle w:val="BodyText"/>
      </w:pPr>
    </w:p>
    <w:p w:rsidR="00000000" w:rsidRPr="00570962" w:rsidP="00570962">
      <w:pPr>
        <w:pStyle w:val="Heading1"/>
      </w:pPr>
      <w:bookmarkStart w:id="12" w:name="O_498508"/>
      <w:bookmarkEnd w:id="12"/>
      <w:r w:rsidRPr="00570962">
        <w:t>Unit Sector(s)</w:t>
      </w:r>
    </w:p>
    <w:p w:rsidR="00000000" w:rsidRPr="00570962" w:rsidP="00570962">
      <w:pPr>
        <w:pStyle w:val="BodyText"/>
      </w:pPr>
      <w:r w:rsidRPr="00570962">
        <w:t>Not applicable.</w:t>
      </w:r>
    </w:p>
    <w:p w:rsidR="00000000" w:rsidRPr="00570962" w:rsidP="00570962">
      <w:pPr>
        <w:pStyle w:val="AllowPageBreak"/>
      </w:pPr>
    </w:p>
    <w:p w:rsidR="00000000" w:rsidRPr="00570962" w:rsidP="00570962">
      <w:pPr>
        <w:pStyle w:val="Heading1"/>
      </w:pPr>
      <w:bookmarkStart w:id="13" w:name="O_498512"/>
      <w:bookmarkEnd w:id="13"/>
      <w:r w:rsidRPr="00570962">
        <w:t>Competency field</w:t>
      </w:r>
    </w:p>
    <w:p w:rsidR="00000000" w:rsidRPr="00570962" w:rsidP="00570962">
      <w:pPr>
        <w:pStyle w:val="BodyText"/>
      </w:pPr>
      <w:r w:rsidRPr="00570962">
        <w:t>Regulatory.</w:t>
      </w:r>
    </w:p>
    <w:p w:rsidR="00000000" w:rsidRPr="00570962" w:rsidP="00570962"/>
    <w:sectPr w:rsidSect="005709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9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2997" w:rsidP="0020299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9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997" w:rsidP="0057096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02997" w:rsidP="005709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02997" w:rsidP="005709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9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962" w:rsidRPr="00202997" w:rsidP="002029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9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997" w:rsidRPr="002D2AF8" w:rsidP="00570962">
    <w:pPr>
      <w:pStyle w:val="Header"/>
      <w:framePr w:wrap="around"/>
    </w:pPr>
    <w:r>
      <w:fldChar w:fldCharType="begin"/>
    </w:r>
    <w:r>
      <w:instrText xml:space="preserve"> TITLE   \* MERGEFORMAT </w:instrText>
    </w:r>
    <w:r>
      <w:fldChar w:fldCharType="separate"/>
    </w:r>
    <w:r>
      <w:t>PSPREG412A Gather and manage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202997" w:rsidP="005709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30AA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694A95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9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0962"/>
    <w:pPr>
      <w:spacing w:before="360" w:after="60"/>
      <w:outlineLvl w:val="0"/>
    </w:pPr>
    <w:rPr>
      <w:sz w:val="32"/>
    </w:rPr>
  </w:style>
  <w:style w:type="paragraph" w:styleId="Heading2">
    <w:name w:val="heading 2"/>
    <w:basedOn w:val="HeadingBase"/>
    <w:next w:val="BodyText"/>
    <w:link w:val="Heading2Char"/>
    <w:qFormat/>
    <w:rsid w:val="00570962"/>
    <w:pPr>
      <w:keepLines/>
      <w:spacing w:before="240" w:after="120"/>
      <w:outlineLvl w:val="1"/>
    </w:pPr>
    <w:rPr>
      <w:sz w:val="28"/>
      <w:szCs w:val="40"/>
    </w:rPr>
  </w:style>
  <w:style w:type="paragraph" w:styleId="Heading3">
    <w:name w:val="heading 3"/>
    <w:basedOn w:val="HeadingBase"/>
    <w:next w:val="BodyText"/>
    <w:link w:val="Heading3Char"/>
    <w:qFormat/>
    <w:rsid w:val="00570962"/>
    <w:pPr>
      <w:spacing w:before="180" w:after="120"/>
      <w:outlineLvl w:val="2"/>
    </w:pPr>
    <w:rPr>
      <w:spacing w:val="-10"/>
      <w:kern w:val="32"/>
    </w:rPr>
  </w:style>
  <w:style w:type="paragraph" w:styleId="Heading4">
    <w:name w:val="heading 4"/>
    <w:basedOn w:val="HeadingBase"/>
    <w:next w:val="BodyText"/>
    <w:link w:val="Heading4Char"/>
    <w:qFormat/>
    <w:rsid w:val="00570962"/>
    <w:pPr>
      <w:spacing w:before="160" w:after="120"/>
      <w:outlineLvl w:val="3"/>
    </w:pPr>
    <w:rPr>
      <w:sz w:val="22"/>
    </w:rPr>
  </w:style>
  <w:style w:type="paragraph" w:styleId="Heading5">
    <w:name w:val="heading 5"/>
    <w:basedOn w:val="HeadingBase"/>
    <w:next w:val="Normal"/>
    <w:link w:val="Heading5Char"/>
    <w:qFormat/>
    <w:rsid w:val="00570962"/>
    <w:pPr>
      <w:spacing w:before="80"/>
      <w:outlineLvl w:val="4"/>
    </w:pPr>
    <w:rPr>
      <w:color w:val="918585"/>
      <w:sz w:val="20"/>
    </w:rPr>
  </w:style>
  <w:style w:type="paragraph" w:styleId="Heading6">
    <w:name w:val="heading 6"/>
    <w:basedOn w:val="HeadingBase"/>
    <w:next w:val="Normal"/>
    <w:link w:val="Heading6Char"/>
    <w:qFormat/>
    <w:rsid w:val="00570962"/>
    <w:pPr>
      <w:spacing w:before="60"/>
      <w:outlineLvl w:val="5"/>
    </w:pPr>
    <w:rPr>
      <w:color w:val="918585"/>
      <w:sz w:val="20"/>
    </w:rPr>
  </w:style>
  <w:style w:type="paragraph" w:styleId="Heading7">
    <w:name w:val="heading 7"/>
    <w:basedOn w:val="Normal"/>
    <w:next w:val="Normal"/>
    <w:link w:val="Heading7Char"/>
    <w:qFormat/>
    <w:rsid w:val="00570962"/>
    <w:pPr>
      <w:ind w:left="720"/>
      <w:outlineLvl w:val="6"/>
    </w:pPr>
    <w:rPr>
      <w:i/>
    </w:rPr>
  </w:style>
  <w:style w:type="paragraph" w:styleId="Heading8">
    <w:name w:val="heading 8"/>
    <w:basedOn w:val="Normal"/>
    <w:next w:val="Normal"/>
    <w:link w:val="Heading8Char"/>
    <w:qFormat/>
    <w:rsid w:val="00570962"/>
    <w:pPr>
      <w:ind w:left="720"/>
      <w:outlineLvl w:val="7"/>
    </w:pPr>
    <w:rPr>
      <w:i/>
    </w:rPr>
  </w:style>
  <w:style w:type="paragraph" w:styleId="Heading9">
    <w:name w:val="heading 9"/>
    <w:basedOn w:val="Normal"/>
    <w:next w:val="Normal"/>
    <w:link w:val="Heading9Char"/>
    <w:qFormat/>
    <w:rsid w:val="00570962"/>
    <w:pPr>
      <w:ind w:left="720"/>
      <w:outlineLvl w:val="8"/>
    </w:pPr>
    <w:rPr>
      <w:i/>
    </w:rPr>
  </w:style>
  <w:style w:type="character" w:default="1" w:styleId="DefaultParagraphFont">
    <w:name w:val="Default Paragraph Font"/>
    <w:uiPriority w:val="1"/>
    <w:unhideWhenUsed/>
    <w:rsid w:val="005709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962"/>
  </w:style>
  <w:style w:type="character" w:customStyle="1" w:styleId="Heading1Char">
    <w:name w:val="Heading 1 Char"/>
    <w:basedOn w:val="DefaultParagraphFont"/>
    <w:link w:val="Heading1"/>
    <w:rsid w:val="00570962"/>
    <w:rPr>
      <w:rFonts w:ascii="Times New Roman" w:eastAsia="Times New Roman" w:hAnsi="Times New Roman" w:cs="Times New Roman"/>
      <w:b/>
      <w:sz w:val="32"/>
      <w:szCs w:val="20"/>
      <w:lang w:eastAsia="en-US"/>
    </w:rPr>
  </w:style>
  <w:style w:type="paragraph" w:styleId="BodyText">
    <w:name w:val="Body Text"/>
    <w:basedOn w:val="Normal"/>
    <w:link w:val="BodyTextChar"/>
    <w:rsid w:val="005709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0962"/>
    <w:rPr>
      <w:rFonts w:ascii="Times New Roman" w:eastAsia="Times New Roman" w:hAnsi="Times New Roman" w:cs="Times New Roman"/>
      <w:sz w:val="24"/>
      <w:lang w:eastAsia="en-US"/>
    </w:rPr>
  </w:style>
  <w:style w:type="paragraph" w:styleId="Footer">
    <w:name w:val="footer"/>
    <w:basedOn w:val="Normal"/>
    <w:link w:val="FooterChar"/>
    <w:rsid w:val="005709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962"/>
    <w:rPr>
      <w:rFonts w:ascii="Times New Roman" w:eastAsia="Times New Roman" w:hAnsi="Times New Roman" w:cs="Times New Roman"/>
      <w:sz w:val="16"/>
      <w:lang w:eastAsia="en-US"/>
    </w:rPr>
  </w:style>
  <w:style w:type="paragraph" w:styleId="List">
    <w:name w:val="List"/>
    <w:basedOn w:val="BodyText"/>
    <w:next w:val="BodyText"/>
    <w:rsid w:val="00570962"/>
    <w:pPr>
      <w:tabs>
        <w:tab w:val="left" w:pos="340"/>
      </w:tabs>
      <w:spacing w:before="60" w:after="60"/>
      <w:ind w:left="340" w:hanging="340"/>
    </w:pPr>
  </w:style>
  <w:style w:type="character" w:customStyle="1" w:styleId="SpecialBold">
    <w:name w:val="Special Bold"/>
    <w:basedOn w:val="DefaultParagraphFont"/>
    <w:rsid w:val="00570962"/>
    <w:rPr>
      <w:b/>
      <w:spacing w:val="0"/>
    </w:rPr>
  </w:style>
  <w:style w:type="paragraph" w:styleId="ListBullet2">
    <w:name w:val="List Bullet 2"/>
    <w:basedOn w:val="List2"/>
    <w:rsid w:val="00570962"/>
    <w:pPr>
      <w:numPr>
        <w:numId w:val="14"/>
      </w:numPr>
      <w:tabs>
        <w:tab w:val="clear" w:pos="680"/>
      </w:tabs>
    </w:pPr>
  </w:style>
  <w:style w:type="character" w:styleId="Emphasis">
    <w:name w:val="Emphasis"/>
    <w:basedOn w:val="DefaultParagraphFont"/>
    <w:qFormat/>
    <w:rsid w:val="00570962"/>
    <w:rPr>
      <w:i/>
    </w:rPr>
  </w:style>
  <w:style w:type="paragraph" w:customStyle="1" w:styleId="SuperHeading">
    <w:name w:val="SuperHeading"/>
    <w:basedOn w:val="Normal"/>
    <w:rsid w:val="00570962"/>
    <w:pPr>
      <w:spacing w:before="240" w:after="120"/>
      <w:outlineLvl w:val="0"/>
    </w:pPr>
    <w:rPr>
      <w:rFonts w:ascii="Times New Roman" w:hAnsi="Times New Roman"/>
      <w:b/>
      <w:sz w:val="28"/>
    </w:rPr>
  </w:style>
  <w:style w:type="paragraph" w:customStyle="1" w:styleId="AllowPageBreak">
    <w:name w:val="AllowPageBreak"/>
    <w:rsid w:val="0057096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70962"/>
    <w:pPr>
      <w:numPr>
        <w:numId w:val="2"/>
      </w:numPr>
      <w:tabs>
        <w:tab w:val="clear" w:pos="1021"/>
      </w:tabs>
      <w:ind w:left="1037" w:hanging="357"/>
    </w:pPr>
  </w:style>
  <w:style w:type="character" w:customStyle="1" w:styleId="BoldandItalics">
    <w:name w:val="Bold and Italics"/>
    <w:qFormat/>
    <w:rsid w:val="00570962"/>
    <w:rPr>
      <w:b/>
      <w:i/>
      <w:u w:val="none"/>
    </w:rPr>
  </w:style>
  <w:style w:type="character" w:customStyle="1" w:styleId="Heading2Char">
    <w:name w:val="Heading 2 Char"/>
    <w:basedOn w:val="DefaultParagraphFont"/>
    <w:link w:val="Heading2"/>
    <w:rsid w:val="005709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9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9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9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9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9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09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0962"/>
    <w:rPr>
      <w:rFonts w:ascii="Courier New" w:eastAsia="Times New Roman" w:hAnsi="Courier New" w:cs="Times New Roman"/>
      <w:i/>
      <w:szCs w:val="20"/>
      <w:lang w:eastAsia="en-US"/>
    </w:rPr>
  </w:style>
  <w:style w:type="paragraph" w:customStyle="1" w:styleId="HeadingBase">
    <w:name w:val="Heading Base"/>
    <w:rsid w:val="005709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962"/>
    <w:pPr>
      <w:tabs>
        <w:tab w:val="right" w:leader="dot" w:pos="9072"/>
      </w:tabs>
      <w:ind w:left="567"/>
    </w:pPr>
    <w:rPr>
      <w:szCs w:val="22"/>
    </w:rPr>
  </w:style>
  <w:style w:type="paragraph" w:customStyle="1" w:styleId="TOCBase">
    <w:name w:val="TOC Base"/>
    <w:rsid w:val="005709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962"/>
    <w:pPr>
      <w:tabs>
        <w:tab w:val="right" w:leader="dot" w:pos="9072"/>
      </w:tabs>
      <w:spacing w:before="40" w:after="40"/>
      <w:ind w:left="284"/>
    </w:pPr>
    <w:rPr>
      <w:rFonts w:ascii="Times New Roman" w:hAnsi="Times New Roman"/>
    </w:rPr>
  </w:style>
  <w:style w:type="paragraph" w:styleId="TOC1">
    <w:name w:val="toc 1"/>
    <w:basedOn w:val="TOCBase"/>
    <w:next w:val="Normal"/>
    <w:rsid w:val="005709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0962"/>
    <w:pPr>
      <w:spacing w:before="5040"/>
      <w:jc w:val="center"/>
    </w:pPr>
    <w:rPr>
      <w:sz w:val="48"/>
      <w:szCs w:val="72"/>
      <w:lang w:val="en-US"/>
    </w:rPr>
  </w:style>
  <w:style w:type="character" w:customStyle="1" w:styleId="TitleChar">
    <w:name w:val="Title Char"/>
    <w:basedOn w:val="DefaultParagraphFont"/>
    <w:link w:val="Title"/>
    <w:rsid w:val="005709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962"/>
    <w:pPr>
      <w:tabs>
        <w:tab w:val="left" w:pos="3600"/>
        <w:tab w:val="left" w:pos="3958"/>
      </w:tabs>
    </w:pPr>
  </w:style>
  <w:style w:type="paragraph" w:styleId="ListBullet">
    <w:name w:val="List Bullet"/>
    <w:basedOn w:val="List"/>
    <w:rsid w:val="00570962"/>
    <w:pPr>
      <w:numPr>
        <w:numId w:val="13"/>
      </w:numPr>
      <w:tabs>
        <w:tab w:val="clear" w:pos="340"/>
      </w:tabs>
      <w:spacing w:before="40" w:after="40"/>
    </w:pPr>
  </w:style>
  <w:style w:type="paragraph" w:customStyle="1" w:styleId="Note">
    <w:name w:val="Note"/>
    <w:basedOn w:val="BodyText"/>
    <w:rsid w:val="005709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0962"/>
    <w:pPr>
      <w:framePr w:wrap="auto" w:hAnchor="text" w:y="6049"/>
    </w:pPr>
    <w:rPr>
      <w:color w:val="000000"/>
      <w:sz w:val="40"/>
    </w:rPr>
  </w:style>
  <w:style w:type="paragraph" w:customStyle="1" w:styleId="TOCTitle">
    <w:name w:val="TOCTitle"/>
    <w:basedOn w:val="Heading1"/>
    <w:rsid w:val="00570962"/>
    <w:pPr>
      <w:spacing w:after="240"/>
      <w:jc w:val="center"/>
      <w:outlineLvl w:val="9"/>
    </w:pPr>
    <w:rPr>
      <w:caps/>
    </w:rPr>
  </w:style>
  <w:style w:type="paragraph" w:customStyle="1" w:styleId="Version">
    <w:name w:val="Version"/>
    <w:rsid w:val="005709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0962"/>
    <w:pPr>
      <w:keepNext w:val="0"/>
      <w:tabs>
        <w:tab w:val="right" w:pos="4176"/>
      </w:tabs>
      <w:ind w:left="198" w:hanging="198"/>
    </w:pPr>
    <w:rPr>
      <w:rFonts w:ascii="Garamond" w:hAnsi="Garamond"/>
    </w:rPr>
  </w:style>
  <w:style w:type="paragraph" w:styleId="IndexHeading">
    <w:name w:val="index heading"/>
    <w:basedOn w:val="Normal"/>
    <w:next w:val="Index1"/>
    <w:semiHidden/>
    <w:rsid w:val="00570962"/>
    <w:pPr>
      <w:spacing w:before="120" w:after="120"/>
    </w:pPr>
    <w:rPr>
      <w:rFonts w:ascii="Arial" w:hAnsi="Arial"/>
      <w:b/>
      <w:color w:val="918585"/>
      <w:sz w:val="24"/>
    </w:rPr>
  </w:style>
  <w:style w:type="paragraph" w:styleId="Header">
    <w:name w:val="header"/>
    <w:basedOn w:val="Normal"/>
    <w:link w:val="HeaderChar"/>
    <w:rsid w:val="005709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962"/>
    <w:rPr>
      <w:rFonts w:ascii="Times New Roman" w:eastAsia="Times New Roman" w:hAnsi="Times New Roman" w:cs="Times New Roman"/>
      <w:sz w:val="16"/>
      <w:szCs w:val="20"/>
      <w:lang w:val="en-GB" w:eastAsia="en-US"/>
    </w:rPr>
  </w:style>
  <w:style w:type="paragraph" w:customStyle="1" w:styleId="Chapter">
    <w:name w:val="Chapter"/>
    <w:basedOn w:val="Normal"/>
    <w:rsid w:val="00570962"/>
    <w:pPr>
      <w:spacing w:before="240"/>
    </w:pPr>
    <w:rPr>
      <w:rFonts w:ascii="Times New Roman" w:hAnsi="Times New Roman"/>
      <w:smallCaps/>
      <w:spacing w:val="80"/>
      <w:sz w:val="28"/>
    </w:rPr>
  </w:style>
  <w:style w:type="paragraph" w:customStyle="1" w:styleId="InChapter">
    <w:name w:val="InChapter"/>
    <w:basedOn w:val="Heading3"/>
    <w:rsid w:val="00570962"/>
    <w:pPr>
      <w:spacing w:after="240"/>
      <w:outlineLvl w:val="9"/>
    </w:pPr>
    <w:rPr>
      <w:noProof/>
    </w:rPr>
  </w:style>
  <w:style w:type="paragraph" w:styleId="Index2">
    <w:name w:val="index 2"/>
    <w:basedOn w:val="Normal"/>
    <w:next w:val="Normal"/>
    <w:semiHidden/>
    <w:rsid w:val="00570962"/>
    <w:pPr>
      <w:tabs>
        <w:tab w:val="right" w:pos="4176"/>
      </w:tabs>
      <w:ind w:left="568" w:hanging="284"/>
    </w:pPr>
    <w:rPr>
      <w:rFonts w:ascii="Garamond" w:hAnsi="Garamond"/>
    </w:rPr>
  </w:style>
  <w:style w:type="paragraph" w:customStyle="1" w:styleId="Byline">
    <w:name w:val="Byline"/>
    <w:rsid w:val="005709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962"/>
    <w:pPr>
      <w:tabs>
        <w:tab w:val="clear" w:pos="3600"/>
        <w:tab w:val="clear" w:pos="3958"/>
      </w:tabs>
      <w:jc w:val="right"/>
    </w:pPr>
  </w:style>
  <w:style w:type="paragraph" w:styleId="Caption">
    <w:name w:val="caption"/>
    <w:basedOn w:val="BodyText"/>
    <w:next w:val="Normal"/>
    <w:qFormat/>
    <w:rsid w:val="00570962"/>
    <w:pPr>
      <w:framePr w:w="2268" w:hSpace="181" w:vSpace="181" w:wrap="around" w:vAnchor="text" w:hAnchor="page" w:x="1135" w:y="285" w:anchorLock="1"/>
    </w:pPr>
    <w:rPr>
      <w:i/>
    </w:rPr>
  </w:style>
  <w:style w:type="paragraph" w:customStyle="1" w:styleId="MiniTOCTitle">
    <w:name w:val="MiniTOCTitle"/>
    <w:basedOn w:val="Heading4"/>
    <w:rsid w:val="00570962"/>
    <w:pPr>
      <w:spacing w:before="240"/>
      <w:outlineLvl w:val="9"/>
    </w:pPr>
    <w:rPr>
      <w:noProof/>
      <w:sz w:val="24"/>
    </w:rPr>
  </w:style>
  <w:style w:type="paragraph" w:customStyle="1" w:styleId="MiniTOCItem">
    <w:name w:val="MiniTOCItem"/>
    <w:basedOn w:val="ListBullet"/>
    <w:rsid w:val="00570962"/>
    <w:pPr>
      <w:numPr>
        <w:numId w:val="0"/>
      </w:numPr>
      <w:tabs>
        <w:tab w:val="right" w:leader="dot" w:pos="6521"/>
      </w:tabs>
      <w:spacing w:before="0" w:after="0"/>
    </w:pPr>
  </w:style>
  <w:style w:type="paragraph" w:customStyle="1" w:styleId="TOFTitle">
    <w:name w:val="TOFTitle"/>
    <w:basedOn w:val="TOCTitle"/>
    <w:rsid w:val="00570962"/>
  </w:style>
  <w:style w:type="paragraph" w:styleId="TableofFigures">
    <w:name w:val="table of figures"/>
    <w:basedOn w:val="Normal"/>
    <w:next w:val="Normal"/>
    <w:semiHidden/>
    <w:rsid w:val="00570962"/>
    <w:pPr>
      <w:tabs>
        <w:tab w:val="right" w:leader="dot" w:pos="9072"/>
      </w:tabs>
      <w:ind w:left="970" w:hanging="403"/>
    </w:pPr>
    <w:rPr>
      <w:rFonts w:ascii="Times New Roman" w:hAnsi="Times New Roman"/>
      <w:b/>
    </w:rPr>
  </w:style>
  <w:style w:type="paragraph" w:styleId="ListNumber">
    <w:name w:val="List Number"/>
    <w:basedOn w:val="List"/>
    <w:rsid w:val="00570962"/>
    <w:pPr>
      <w:numPr>
        <w:numId w:val="11"/>
      </w:numPr>
    </w:pPr>
  </w:style>
  <w:style w:type="character" w:customStyle="1" w:styleId="WingdingSymbols">
    <w:name w:val="Wingding Symbols"/>
    <w:rsid w:val="00570962"/>
    <w:rPr>
      <w:rFonts w:ascii="Wingdings" w:hAnsi="Wingdings"/>
    </w:rPr>
  </w:style>
  <w:style w:type="paragraph" w:customStyle="1" w:styleId="TableHeading">
    <w:name w:val="Table Heading"/>
    <w:basedOn w:val="HeadingBase"/>
    <w:rsid w:val="00570962"/>
    <w:pPr>
      <w:keepLines/>
      <w:pBdr>
        <w:bottom w:val="single" w:sz="6" w:space="1" w:color="918585"/>
      </w:pBdr>
      <w:spacing w:before="240"/>
    </w:pPr>
  </w:style>
  <w:style w:type="character" w:customStyle="1" w:styleId="HotSpot">
    <w:name w:val="HotSpot"/>
    <w:rsid w:val="00570962"/>
    <w:rPr>
      <w:color w:val="0033CC"/>
      <w:u w:val="none"/>
    </w:rPr>
  </w:style>
  <w:style w:type="paragraph" w:customStyle="1" w:styleId="BodyTextRight">
    <w:name w:val="Body Text Right"/>
    <w:basedOn w:val="BodyText"/>
    <w:rsid w:val="00570962"/>
    <w:pPr>
      <w:spacing w:before="0" w:after="0"/>
      <w:jc w:val="right"/>
    </w:pPr>
  </w:style>
  <w:style w:type="paragraph" w:styleId="Index3">
    <w:name w:val="index 3"/>
    <w:basedOn w:val="ListNumber2"/>
    <w:next w:val="Normal"/>
    <w:semiHidden/>
    <w:rsid w:val="00570962"/>
    <w:pPr>
      <w:numPr>
        <w:numId w:val="0"/>
      </w:numPr>
      <w:tabs>
        <w:tab w:val="right" w:leader="dot" w:pos="4176"/>
      </w:tabs>
    </w:pPr>
  </w:style>
  <w:style w:type="paragraph" w:styleId="ListNumber2">
    <w:name w:val="List Number 2"/>
    <w:basedOn w:val="List2"/>
    <w:rsid w:val="00570962"/>
    <w:pPr>
      <w:numPr>
        <w:numId w:val="10"/>
      </w:numPr>
      <w:tabs>
        <w:tab w:val="clear" w:pos="1060"/>
      </w:tabs>
    </w:pPr>
  </w:style>
  <w:style w:type="paragraph" w:customStyle="1" w:styleId="MarginNote">
    <w:name w:val="Margin Note"/>
    <w:basedOn w:val="BodyText"/>
    <w:rsid w:val="005709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9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9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0962"/>
    <w:rPr>
      <w:sz w:val="32"/>
    </w:rPr>
  </w:style>
  <w:style w:type="paragraph" w:customStyle="1" w:styleId="HeadingProcedure">
    <w:name w:val="Heading Procedure"/>
    <w:basedOn w:val="HeadingBase"/>
    <w:next w:val="Normal"/>
    <w:rsid w:val="00570962"/>
    <w:pPr>
      <w:tabs>
        <w:tab w:val="left" w:pos="0"/>
      </w:tabs>
      <w:spacing w:before="120" w:after="60"/>
    </w:pPr>
    <w:rPr>
      <w:i/>
      <w:color w:val="918585"/>
      <w:sz w:val="22"/>
    </w:rPr>
  </w:style>
  <w:style w:type="paragraph" w:customStyle="1" w:styleId="TableBodyText">
    <w:name w:val="Table Body Text"/>
    <w:basedOn w:val="BodyText"/>
    <w:rsid w:val="00570962"/>
    <w:pPr>
      <w:spacing w:before="60" w:after="60"/>
    </w:pPr>
  </w:style>
  <w:style w:type="paragraph" w:styleId="ListContinue">
    <w:name w:val="List Continue"/>
    <w:basedOn w:val="List"/>
    <w:rsid w:val="00570962"/>
    <w:pPr>
      <w:ind w:firstLine="0"/>
    </w:pPr>
  </w:style>
  <w:style w:type="paragraph" w:customStyle="1" w:styleId="ListNote">
    <w:name w:val="List Note"/>
    <w:basedOn w:val="List"/>
    <w:rsid w:val="00570962"/>
    <w:pPr>
      <w:pBdr>
        <w:top w:val="single" w:sz="6" w:space="2" w:color="918585"/>
        <w:bottom w:val="single" w:sz="6" w:space="2" w:color="918585"/>
      </w:pBdr>
      <w:tabs>
        <w:tab w:val="left" w:pos="1021"/>
      </w:tabs>
      <w:ind w:firstLine="0"/>
    </w:pPr>
  </w:style>
  <w:style w:type="paragraph" w:customStyle="1" w:styleId="Warning">
    <w:name w:val="Warning"/>
    <w:basedOn w:val="BodyText"/>
    <w:rsid w:val="00570962"/>
    <w:pPr>
      <w:shd w:val="clear" w:color="auto" w:fill="D9D9D9"/>
      <w:tabs>
        <w:tab w:val="left" w:pos="992"/>
      </w:tabs>
      <w:ind w:left="119" w:right="119"/>
    </w:pPr>
    <w:rPr>
      <w:sz w:val="20"/>
    </w:rPr>
  </w:style>
  <w:style w:type="paragraph" w:customStyle="1" w:styleId="MarginIcons">
    <w:name w:val="Margin Icons"/>
    <w:basedOn w:val="BodyText"/>
    <w:rsid w:val="005709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962"/>
    <w:rPr>
      <w:rFonts w:ascii="Courier New" w:hAnsi="Courier New"/>
    </w:rPr>
  </w:style>
  <w:style w:type="paragraph" w:customStyle="1" w:styleId="NoteBullet">
    <w:name w:val="Note Bullet"/>
    <w:basedOn w:val="Note"/>
    <w:rsid w:val="00570962"/>
    <w:pPr>
      <w:tabs>
        <w:tab w:val="clear" w:pos="680"/>
      </w:tabs>
      <w:spacing w:before="60" w:after="60"/>
    </w:pPr>
  </w:style>
  <w:style w:type="paragraph" w:customStyle="1" w:styleId="SubHeading2">
    <w:name w:val="SubHeading2"/>
    <w:basedOn w:val="HeadingBase"/>
    <w:rsid w:val="00570962"/>
    <w:pPr>
      <w:spacing w:before="240" w:after="60"/>
    </w:pPr>
    <w:rPr>
      <w:sz w:val="20"/>
    </w:rPr>
  </w:style>
  <w:style w:type="paragraph" w:customStyle="1" w:styleId="SubHeading1">
    <w:name w:val="SubHeading1"/>
    <w:basedOn w:val="HeadingBase"/>
    <w:rsid w:val="00570962"/>
    <w:pPr>
      <w:spacing w:before="240" w:after="60"/>
    </w:pPr>
    <w:rPr>
      <w:color w:val="918585"/>
      <w:sz w:val="22"/>
    </w:rPr>
  </w:style>
  <w:style w:type="paragraph" w:customStyle="1" w:styleId="SideHeading">
    <w:name w:val="Side Heading"/>
    <w:basedOn w:val="HeadingBase"/>
    <w:rsid w:val="005709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962"/>
    <w:pPr>
      <w:numPr>
        <w:numId w:val="12"/>
      </w:numPr>
    </w:pPr>
  </w:style>
  <w:style w:type="paragraph" w:styleId="PlainText">
    <w:name w:val="Plain Text"/>
    <w:basedOn w:val="Normal"/>
    <w:link w:val="PlainTextChar"/>
    <w:rsid w:val="00570962"/>
    <w:rPr>
      <w:sz w:val="20"/>
    </w:rPr>
  </w:style>
  <w:style w:type="character" w:customStyle="1" w:styleId="PlainTextChar">
    <w:name w:val="Plain Text Char"/>
    <w:basedOn w:val="DefaultParagraphFont"/>
    <w:link w:val="PlainText"/>
    <w:rsid w:val="00570962"/>
    <w:rPr>
      <w:rFonts w:ascii="Courier New" w:eastAsia="Times New Roman" w:hAnsi="Courier New" w:cs="Times New Roman"/>
      <w:sz w:val="20"/>
      <w:szCs w:val="20"/>
      <w:lang w:eastAsia="en-US"/>
    </w:rPr>
  </w:style>
  <w:style w:type="character" w:customStyle="1" w:styleId="MenuOption">
    <w:name w:val="Menu Option"/>
    <w:basedOn w:val="DefaultParagraphFont"/>
    <w:rsid w:val="00570962"/>
    <w:rPr>
      <w:b/>
      <w:smallCaps/>
    </w:rPr>
  </w:style>
  <w:style w:type="paragraph" w:customStyle="1" w:styleId="TableListNumber">
    <w:name w:val="Table List Number"/>
    <w:basedOn w:val="ListNumber"/>
    <w:rsid w:val="00570962"/>
    <w:pPr>
      <w:numPr>
        <w:numId w:val="0"/>
      </w:numPr>
    </w:pPr>
  </w:style>
  <w:style w:type="paragraph" w:styleId="TOC4">
    <w:name w:val="toc 4"/>
    <w:basedOn w:val="TOCBase"/>
    <w:next w:val="Normal"/>
    <w:semiHidden/>
    <w:rsid w:val="00570962"/>
    <w:pPr>
      <w:tabs>
        <w:tab w:val="right" w:leader="dot" w:pos="9071"/>
      </w:tabs>
      <w:ind w:left="1701"/>
    </w:pPr>
  </w:style>
  <w:style w:type="paragraph" w:customStyle="1" w:styleId="ListAlpha">
    <w:name w:val="List Alpha"/>
    <w:basedOn w:val="List"/>
    <w:rsid w:val="00570962"/>
    <w:pPr>
      <w:numPr>
        <w:numId w:val="9"/>
      </w:numPr>
    </w:pPr>
  </w:style>
  <w:style w:type="paragraph" w:customStyle="1" w:styleId="ListAlpha2">
    <w:name w:val="List Alpha 2"/>
    <w:basedOn w:val="List2"/>
    <w:rsid w:val="00570962"/>
    <w:pPr>
      <w:numPr>
        <w:numId w:val="8"/>
      </w:numPr>
    </w:pPr>
  </w:style>
  <w:style w:type="paragraph" w:styleId="List2">
    <w:name w:val="List 2"/>
    <w:basedOn w:val="BodyText"/>
    <w:rsid w:val="00570962"/>
    <w:pPr>
      <w:tabs>
        <w:tab w:val="left" w:pos="680"/>
      </w:tabs>
      <w:spacing w:before="60" w:after="60"/>
      <w:ind w:left="680" w:hanging="340"/>
    </w:pPr>
  </w:style>
  <w:style w:type="paragraph" w:styleId="List3">
    <w:name w:val="List 3"/>
    <w:basedOn w:val="BodyText"/>
    <w:rsid w:val="00570962"/>
    <w:pPr>
      <w:tabs>
        <w:tab w:val="left" w:pos="1021"/>
      </w:tabs>
      <w:spacing w:before="60" w:after="60"/>
      <w:ind w:left="1020" w:hanging="340"/>
    </w:pPr>
  </w:style>
  <w:style w:type="paragraph" w:styleId="List4">
    <w:name w:val="List 4"/>
    <w:basedOn w:val="BodyText"/>
    <w:rsid w:val="00570962"/>
    <w:pPr>
      <w:tabs>
        <w:tab w:val="left" w:pos="1361"/>
      </w:tabs>
      <w:spacing w:before="60" w:after="60"/>
      <w:ind w:left="1361" w:hanging="340"/>
    </w:pPr>
  </w:style>
  <w:style w:type="paragraph" w:styleId="List5">
    <w:name w:val="List 5"/>
    <w:basedOn w:val="BodyText"/>
    <w:rsid w:val="00570962"/>
    <w:pPr>
      <w:tabs>
        <w:tab w:val="left" w:pos="1701"/>
      </w:tabs>
      <w:spacing w:before="60" w:after="60"/>
      <w:ind w:left="1701" w:hanging="340"/>
    </w:pPr>
  </w:style>
  <w:style w:type="paragraph" w:styleId="ListBullet4">
    <w:name w:val="List Bullet 4"/>
    <w:basedOn w:val="List4"/>
    <w:rsid w:val="00570962"/>
    <w:pPr>
      <w:numPr>
        <w:numId w:val="3"/>
      </w:numPr>
    </w:pPr>
  </w:style>
  <w:style w:type="paragraph" w:styleId="ListBullet5">
    <w:name w:val="List Bullet 5"/>
    <w:basedOn w:val="List5"/>
    <w:rsid w:val="00570962"/>
    <w:pPr>
      <w:numPr>
        <w:numId w:val="4"/>
      </w:numPr>
    </w:pPr>
  </w:style>
  <w:style w:type="paragraph" w:styleId="ListContinue2">
    <w:name w:val="List Continue 2"/>
    <w:basedOn w:val="List2"/>
    <w:rsid w:val="00570962"/>
    <w:pPr>
      <w:ind w:firstLine="0"/>
    </w:pPr>
  </w:style>
  <w:style w:type="paragraph" w:styleId="ListContinue3">
    <w:name w:val="List Continue 3"/>
    <w:basedOn w:val="List3"/>
    <w:rsid w:val="00570962"/>
    <w:pPr>
      <w:ind w:left="1021" w:firstLine="0"/>
    </w:pPr>
  </w:style>
  <w:style w:type="paragraph" w:styleId="ListContinue4">
    <w:name w:val="List Continue 4"/>
    <w:basedOn w:val="List4"/>
    <w:rsid w:val="00570962"/>
    <w:pPr>
      <w:ind w:firstLine="0"/>
    </w:pPr>
  </w:style>
  <w:style w:type="paragraph" w:styleId="ListContinue5">
    <w:name w:val="List Continue 5"/>
    <w:basedOn w:val="List5"/>
    <w:rsid w:val="00570962"/>
    <w:pPr>
      <w:ind w:firstLine="0"/>
    </w:pPr>
  </w:style>
  <w:style w:type="paragraph" w:styleId="ListNumber3">
    <w:name w:val="List Number 3"/>
    <w:basedOn w:val="List3"/>
    <w:rsid w:val="00570962"/>
    <w:pPr>
      <w:numPr>
        <w:numId w:val="5"/>
      </w:numPr>
    </w:pPr>
  </w:style>
  <w:style w:type="paragraph" w:styleId="ListNumber4">
    <w:name w:val="List Number 4"/>
    <w:basedOn w:val="List4"/>
    <w:rsid w:val="00570962"/>
    <w:pPr>
      <w:numPr>
        <w:numId w:val="6"/>
      </w:numPr>
    </w:pPr>
  </w:style>
  <w:style w:type="paragraph" w:styleId="ListNumber5">
    <w:name w:val="List Number 5"/>
    <w:basedOn w:val="List5"/>
    <w:rsid w:val="00570962"/>
    <w:pPr>
      <w:numPr>
        <w:numId w:val="7"/>
      </w:numPr>
    </w:pPr>
  </w:style>
  <w:style w:type="paragraph" w:styleId="BlockText">
    <w:name w:val="Block Text"/>
    <w:basedOn w:val="Normal"/>
    <w:rsid w:val="00570962"/>
    <w:pPr>
      <w:spacing w:after="120"/>
      <w:ind w:left="1440" w:right="1440"/>
    </w:pPr>
  </w:style>
  <w:style w:type="character" w:customStyle="1" w:styleId="Subscript">
    <w:name w:val="Subscript"/>
    <w:basedOn w:val="DefaultParagraphFont"/>
    <w:rsid w:val="00570962"/>
    <w:rPr>
      <w:sz w:val="16"/>
      <w:vertAlign w:val="subscript"/>
    </w:rPr>
  </w:style>
  <w:style w:type="character" w:customStyle="1" w:styleId="Superscript">
    <w:name w:val="Superscript"/>
    <w:basedOn w:val="DefaultParagraphFont"/>
    <w:rsid w:val="00570962"/>
    <w:rPr>
      <w:sz w:val="16"/>
      <w:vertAlign w:val="superscript"/>
    </w:rPr>
  </w:style>
  <w:style w:type="character" w:customStyle="1" w:styleId="Symbols">
    <w:name w:val="Symbols"/>
    <w:basedOn w:val="DefaultParagraphFont"/>
    <w:rsid w:val="00570962"/>
    <w:rPr>
      <w:rFonts w:ascii="Symbol" w:hAnsi="Symbol"/>
    </w:rPr>
  </w:style>
  <w:style w:type="character" w:customStyle="1" w:styleId="MenuOptions">
    <w:name w:val="Menu Options"/>
    <w:basedOn w:val="DefaultParagraphFont"/>
    <w:rsid w:val="00570962"/>
    <w:rPr>
      <w:rFonts w:ascii="Arial Narrow" w:hAnsi="Arial Narrow"/>
      <w:smallCaps/>
    </w:rPr>
  </w:style>
  <w:style w:type="character" w:customStyle="1" w:styleId="Buttons">
    <w:name w:val="Buttons"/>
    <w:basedOn w:val="DefaultParagraphFont"/>
    <w:rsid w:val="00570962"/>
    <w:rPr>
      <w:b/>
    </w:rPr>
  </w:style>
  <w:style w:type="character" w:customStyle="1" w:styleId="Underlined">
    <w:name w:val="Underlined"/>
    <w:basedOn w:val="DefaultParagraphFont"/>
    <w:rsid w:val="00570962"/>
    <w:rPr>
      <w:u w:val="single"/>
    </w:rPr>
  </w:style>
  <w:style w:type="paragraph" w:customStyle="1" w:styleId="TableBodyTextRight">
    <w:name w:val="Table Body Text Right"/>
    <w:basedOn w:val="TableBodyText"/>
    <w:rsid w:val="00570962"/>
    <w:pPr>
      <w:widowControl w:val="0"/>
      <w:autoSpaceDE w:val="0"/>
      <w:autoSpaceDN w:val="0"/>
      <w:adjustRightInd w:val="0"/>
      <w:jc w:val="right"/>
    </w:pPr>
    <w:rPr>
      <w:rFonts w:cs="Arial"/>
      <w:szCs w:val="18"/>
    </w:rPr>
  </w:style>
  <w:style w:type="paragraph" w:customStyle="1" w:styleId="CopyrightText">
    <w:name w:val="Copyright Text"/>
    <w:basedOn w:val="BodyText"/>
    <w:rsid w:val="00570962"/>
    <w:rPr>
      <w:sz w:val="18"/>
    </w:rPr>
  </w:style>
  <w:style w:type="paragraph" w:customStyle="1" w:styleId="BodySmallRight">
    <w:name w:val="Body Small Right"/>
    <w:basedOn w:val="BodyTextRight"/>
    <w:rsid w:val="00570962"/>
    <w:rPr>
      <w:sz w:val="18"/>
      <w:szCs w:val="18"/>
    </w:rPr>
  </w:style>
  <w:style w:type="paragraph" w:customStyle="1" w:styleId="MarginEdition">
    <w:name w:val="Margin Edition"/>
    <w:basedOn w:val="MarginNote"/>
    <w:rsid w:val="00570962"/>
    <w:pPr>
      <w:spacing w:before="0" w:after="0"/>
    </w:pPr>
    <w:rPr>
      <w:rFonts w:ascii="Times New Roman" w:hAnsi="Times New Roman"/>
      <w:color w:val="999999"/>
    </w:rPr>
  </w:style>
  <w:style w:type="paragraph" w:customStyle="1" w:styleId="Spacer">
    <w:name w:val="Spacer"/>
    <w:basedOn w:val="Normal"/>
    <w:rsid w:val="00570962"/>
    <w:rPr>
      <w:sz w:val="2"/>
      <w:szCs w:val="2"/>
    </w:rPr>
  </w:style>
  <w:style w:type="character" w:customStyle="1" w:styleId="Small">
    <w:name w:val="Small"/>
    <w:basedOn w:val="DefaultParagraphFont"/>
    <w:rsid w:val="00570962"/>
    <w:rPr>
      <w:sz w:val="16"/>
    </w:rPr>
  </w:style>
  <w:style w:type="paragraph" w:customStyle="1" w:styleId="WideTable">
    <w:name w:val="Wide Table"/>
    <w:basedOn w:val="Normal"/>
    <w:rsid w:val="00570962"/>
    <w:pPr>
      <w:ind w:left="-1418"/>
    </w:pPr>
    <w:rPr>
      <w:sz w:val="2"/>
      <w:szCs w:val="2"/>
    </w:rPr>
  </w:style>
  <w:style w:type="character" w:styleId="PageNumber">
    <w:name w:val="page number"/>
    <w:basedOn w:val="DefaultParagraphFont"/>
    <w:rsid w:val="00570962"/>
  </w:style>
  <w:style w:type="paragraph" w:styleId="Quote">
    <w:name w:val="Quote"/>
    <w:basedOn w:val="Heading1"/>
    <w:link w:val="QuoteChar"/>
    <w:qFormat/>
    <w:rsid w:val="00570962"/>
    <w:rPr>
      <w:b w:val="0"/>
      <w:sz w:val="72"/>
      <w:szCs w:val="72"/>
      <w:lang w:val="en-NZ"/>
    </w:rPr>
  </w:style>
  <w:style w:type="character" w:customStyle="1" w:styleId="QuoteChar">
    <w:name w:val="Quote Char"/>
    <w:basedOn w:val="DefaultParagraphFont"/>
    <w:link w:val="Quote"/>
    <w:rsid w:val="005709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962"/>
    <w:pPr>
      <w:pageBreakBefore/>
    </w:pPr>
  </w:style>
  <w:style w:type="paragraph" w:customStyle="1" w:styleId="Border">
    <w:name w:val="Border"/>
    <w:basedOn w:val="Normal"/>
    <w:qFormat/>
    <w:rsid w:val="005709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962"/>
    <w:rPr>
      <w:b/>
      <w:bCs/>
      <w:i/>
      <w:iCs/>
      <w:color w:val="auto"/>
    </w:rPr>
  </w:style>
  <w:style w:type="paragraph" w:styleId="IntenseQuote">
    <w:name w:val="Intense Quote"/>
    <w:basedOn w:val="Normal"/>
    <w:next w:val="Normal"/>
    <w:link w:val="IntenseQuoteChar"/>
    <w:uiPriority w:val="30"/>
    <w:qFormat/>
    <w:rsid w:val="005709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9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0962"/>
    <w:rPr>
      <w:smallCaps/>
      <w:color w:val="auto"/>
      <w:u w:val="single"/>
    </w:rPr>
  </w:style>
  <w:style w:type="character" w:styleId="IntenseReference">
    <w:name w:val="Intense Reference"/>
    <w:basedOn w:val="DefaultParagraphFont"/>
    <w:uiPriority w:val="32"/>
    <w:qFormat/>
    <w:rsid w:val="00570962"/>
    <w:rPr>
      <w:b/>
      <w:bCs/>
      <w:smallCaps/>
      <w:color w:val="auto"/>
      <w:spacing w:val="5"/>
      <w:u w:val="single"/>
    </w:rPr>
  </w:style>
  <w:style w:type="paragraph" w:customStyle="1" w:styleId="2ColumnHeading">
    <w:name w:val="2Column Heading"/>
    <w:basedOn w:val="BodyText"/>
    <w:qFormat/>
    <w:rsid w:val="00570962"/>
    <w:pPr>
      <w:spacing w:after="60"/>
      <w:ind w:left="-2268"/>
    </w:pPr>
    <w:rPr>
      <w:b/>
    </w:rPr>
  </w:style>
  <w:style w:type="paragraph" w:customStyle="1" w:styleId="Heading1TOC">
    <w:name w:val="Heading1 TOC"/>
    <w:basedOn w:val="Normal"/>
    <w:qFormat/>
    <w:rsid w:val="00570962"/>
    <w:pPr>
      <w:spacing w:before="240" w:after="120"/>
    </w:pPr>
    <w:rPr>
      <w:rFonts w:ascii="Times New Roman" w:hAnsi="Times New Roman"/>
      <w:b/>
      <w:sz w:val="32"/>
    </w:rPr>
  </w:style>
  <w:style w:type="paragraph" w:customStyle="1" w:styleId="Heading2TOC">
    <w:name w:val="Heading2 TOC"/>
    <w:basedOn w:val="Normal"/>
    <w:qFormat/>
    <w:rsid w:val="00570962"/>
    <w:pPr>
      <w:spacing w:before="240" w:after="60"/>
    </w:pPr>
    <w:rPr>
      <w:rFonts w:ascii="Times New Roman" w:hAnsi="Times New Roman"/>
      <w:b/>
      <w:sz w:val="28"/>
    </w:rPr>
  </w:style>
  <w:style w:type="character" w:customStyle="1" w:styleId="Underline">
    <w:name w:val="Underline"/>
    <w:basedOn w:val="DefaultParagraphFont"/>
    <w:qFormat/>
    <w:rsid w:val="00570962"/>
    <w:rPr>
      <w:u w:val="single"/>
    </w:rPr>
  </w:style>
  <w:style w:type="paragraph" w:styleId="BalloonText">
    <w:name w:val="Balloon Text"/>
    <w:basedOn w:val="Normal"/>
    <w:link w:val="BalloonTextChar"/>
    <w:rsid w:val="00570962"/>
    <w:rPr>
      <w:rFonts w:ascii="Tahoma" w:hAnsi="Tahoma" w:cs="Tahoma"/>
      <w:sz w:val="16"/>
      <w:szCs w:val="16"/>
    </w:rPr>
  </w:style>
  <w:style w:type="character" w:customStyle="1" w:styleId="BalloonTextChar">
    <w:name w:val="Balloon Text Char"/>
    <w:basedOn w:val="DefaultParagraphFont"/>
    <w:link w:val="BalloonText"/>
    <w:rsid w:val="005709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09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09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0962"/>
    <w:rPr>
      <w:b/>
      <w:color w:val="660033"/>
      <w:spacing w:val="0"/>
    </w:rPr>
  </w:style>
  <w:style w:type="paragraph" w:customStyle="1" w:styleId="Nameditemlist">
    <w:name w:val="Named item list"/>
    <w:basedOn w:val="BodyText"/>
    <w:qFormat/>
    <w:rsid w:val="005709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1368</Words>
  <Characters>8806</Characters>
  <Application>Microsoft Office Word</Application>
  <DocSecurity>0</DocSecurity>
  <Lines>290</Lines>
  <Paragraphs>178</Paragraphs>
  <ScaleCrop>false</ScaleCrop>
  <Company>Author-it Software Corporation Ltd.</Company>
  <LinksUpToDate>false</LinksUpToDate>
  <CharactersWithSpaces>10098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PSPREG412A Gather and manage evidence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2012-11-01T17:57:00Z</dcterms:created>
  <dcterms:modified xsi:type="dcterms:W3CDTF">2012-11-01T17:57:00Z</dcterms:modified>
</cp:coreProperties>
</file>