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262" w:rsidP="00553262">
      <w:pPr>
        <w:pStyle w:val="Title"/>
      </w:pPr>
      <w:bookmarkStart w:id="0" w:name="_GoBack"/>
      <w:bookmarkEnd w:id="0"/>
      <w:r>
        <w:fldChar w:fldCharType="begin"/>
      </w:r>
      <w:r>
        <w:instrText xml:space="preserve"> TITLE   \* MERGEFORMAT </w:instrText>
      </w:r>
      <w:r>
        <w:fldChar w:fldCharType="separate"/>
      </w:r>
      <w:r>
        <w:t>PSPREG410B Give evidence</w:t>
      </w:r>
      <w:r>
        <w:fldChar w:fldCharType="end"/>
      </w:r>
    </w:p>
    <w:p w:rsidR="00553262" w:rsidP="00553262">
      <w:pPr>
        <w:pStyle w:val="Version"/>
        <w:sectPr w:rsidSect="005372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372E0" w:rsidP="005372E0">
      <w:pPr>
        <w:pStyle w:val="SuperHeading"/>
      </w:pPr>
      <w:r w:rsidRPr="005372E0">
        <w:t>PSPREG410B Give evidence</w:t>
      </w:r>
    </w:p>
    <w:p w:rsidR="00000000" w:rsidRPr="005372E0" w:rsidP="005372E0">
      <w:pPr>
        <w:pStyle w:val="SuperHeading"/>
      </w:pPr>
    </w:p>
    <w:p w:rsidR="00000000" w:rsidRPr="005372E0" w:rsidP="005372E0">
      <w:pPr>
        <w:pStyle w:val="Heading1"/>
      </w:pPr>
      <w:bookmarkStart w:id="1" w:name="O_498285"/>
      <w:bookmarkEnd w:id="1"/>
      <w:r w:rsidRPr="005372E0">
        <w:t>Modification History</w:t>
      </w:r>
    </w:p>
    <w:tbl>
      <w:tblPr>
        <w:tblW w:w="0" w:type="auto"/>
        <w:tblLayout w:type="fixed"/>
        <w:tblCellMar>
          <w:left w:w="62" w:type="dxa"/>
          <w:right w:w="62" w:type="dxa"/>
        </w:tblCellMar>
        <w:tblLook w:val="0000"/>
      </w:tblPr>
      <w:tblGrid>
        <w:gridCol w:w="3052"/>
        <w:gridCol w:w="3052"/>
        <w:gridCol w:w="3052"/>
      </w:tblGrid>
      <w:tr w:rsidTr="0055326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2E0" w:rsidP="005372E0">
            <w:pPr>
              <w:pStyle w:val="BodyText"/>
            </w:pPr>
            <w:r w:rsidRPr="005372E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2E0" w:rsidP="005372E0">
            <w:pPr>
              <w:pStyle w:val="BodyText"/>
            </w:pPr>
            <w:r w:rsidRPr="005372E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E0">
            <w:pPr>
              <w:pStyle w:val="BodyText"/>
              <w:rPr>
                <w:lang w:val="en-NZ"/>
              </w:rPr>
            </w:pPr>
            <w:r w:rsidRPr="005372E0">
              <w:rPr>
                <w:rStyle w:val="SpecialBold"/>
              </w:rPr>
              <w:t>Comments</w:t>
            </w:r>
          </w:p>
        </w:tc>
      </w:tr>
      <w:tr w:rsidTr="0055326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E0">
            <w:pPr>
              <w:pStyle w:val="BodyText"/>
              <w:rPr>
                <w:lang w:val="en-NZ"/>
              </w:rPr>
            </w:pPr>
            <w:r w:rsidRPr="005372E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E0">
            <w:pPr>
              <w:pStyle w:val="BodyText"/>
              <w:rPr>
                <w:lang w:val="en-NZ"/>
              </w:rPr>
            </w:pPr>
            <w:r w:rsidRPr="005372E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E0">
            <w:pPr>
              <w:pStyle w:val="BodyText"/>
              <w:rPr>
                <w:lang w:val="en-NZ"/>
              </w:rPr>
            </w:pPr>
            <w:r w:rsidRPr="005372E0">
              <w:t xml:space="preserve">Unit descriptor edited. </w:t>
            </w:r>
          </w:p>
        </w:tc>
      </w:tr>
      <w:tr w:rsidTr="0055326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E0">
            <w:pPr>
              <w:pStyle w:val="BodyText"/>
              <w:rPr>
                <w:lang w:val="en-NZ"/>
              </w:rPr>
            </w:pPr>
            <w:r w:rsidRPr="005372E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E0">
            <w:pPr>
              <w:pStyle w:val="BodyText"/>
              <w:rPr>
                <w:lang w:val="en-NZ"/>
              </w:rPr>
            </w:pPr>
            <w:r w:rsidRPr="005372E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E0">
            <w:pPr>
              <w:pStyle w:val="BodyText"/>
              <w:rPr>
                <w:lang w:val="en-NZ"/>
              </w:rPr>
            </w:pPr>
            <w:r w:rsidRPr="005372E0">
              <w:t>Layout adjusted. No changes to content.</w:t>
            </w:r>
          </w:p>
        </w:tc>
      </w:tr>
      <w:tr w:rsidTr="0055326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E0">
            <w:pPr>
              <w:pStyle w:val="BodyText"/>
              <w:rPr>
                <w:lang w:val="en-NZ"/>
              </w:rPr>
            </w:pPr>
            <w:r w:rsidRPr="005372E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E0">
            <w:pPr>
              <w:pStyle w:val="BodyText"/>
              <w:rPr>
                <w:lang w:val="en-NZ"/>
              </w:rPr>
            </w:pPr>
            <w:r w:rsidRPr="005372E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2E0" w:rsidP="005372E0">
            <w:pPr>
              <w:pStyle w:val="BodyText"/>
            </w:pPr>
            <w:r w:rsidRPr="005372E0">
              <w:t>Primary release.</w:t>
            </w:r>
          </w:p>
        </w:tc>
      </w:tr>
    </w:tbl>
    <w:p w:rsidR="00553262" w:rsidP="005372E0">
      <w:pPr>
        <w:pStyle w:val="BodyText"/>
      </w:pPr>
    </w:p>
    <w:p w:rsidR="00553262" w:rsidP="005372E0">
      <w:pPr>
        <w:pStyle w:val="BodyText"/>
      </w:pPr>
    </w:p>
    <w:p w:rsidR="00000000" w:rsidRPr="005372E0" w:rsidP="005372E0">
      <w:pPr>
        <w:pStyle w:val="Heading1"/>
      </w:pPr>
      <w:bookmarkStart w:id="2" w:name="O_498281"/>
      <w:bookmarkEnd w:id="2"/>
      <w:r w:rsidRPr="005372E0">
        <w:t>Unit Descriptor</w:t>
      </w:r>
    </w:p>
    <w:p w:rsidR="00000000" w:rsidRPr="005372E0" w:rsidP="005372E0">
      <w:pPr>
        <w:pStyle w:val="BodyText"/>
      </w:pPr>
      <w:r w:rsidRPr="005372E0">
        <w:t>This unit covers the requirements of giving evidence in a range of legal proceedings. It includes preparing for proceedings, presenting evidenc</w:t>
      </w:r>
      <w:r w:rsidRPr="005372E0">
        <w:t>e, and following up outcomes of proceedings.</w:t>
      </w:r>
    </w:p>
    <w:p w:rsidR="00000000" w:rsidRPr="005372E0" w:rsidP="005372E0">
      <w:pPr>
        <w:pStyle w:val="BodyText"/>
      </w:pPr>
      <w:r w:rsidRPr="005372E0">
        <w:t>In practice, giving evidence may overlap with other generalist or specialist public sector work activities such as acting ethically, complying with public sector legislation, applying government processes, working with interpreters.</w:t>
      </w:r>
    </w:p>
    <w:p w:rsidR="00553262" w:rsidP="005372E0">
      <w:pPr>
        <w:pStyle w:val="BodyText"/>
      </w:pPr>
      <w:r w:rsidRPr="005372E0">
        <w:t>No licensing, legislati</w:t>
      </w:r>
      <w:r w:rsidRPr="005372E0">
        <w:t>ve, regulatory or certification requirements apply to this unit at the time of endorsement.</w:t>
      </w:r>
    </w:p>
    <w:p w:rsidR="00553262" w:rsidP="005372E0">
      <w:pPr>
        <w:pStyle w:val="BodyText"/>
      </w:pPr>
    </w:p>
    <w:p w:rsidR="00000000" w:rsidRPr="005372E0" w:rsidP="005372E0">
      <w:pPr>
        <w:pStyle w:val="Heading1"/>
      </w:pPr>
      <w:bookmarkStart w:id="3" w:name="O_498293"/>
      <w:bookmarkEnd w:id="3"/>
      <w:r w:rsidRPr="005372E0">
        <w:t>Application of the Unit</w:t>
      </w:r>
    </w:p>
    <w:p w:rsidR="00000000" w:rsidRPr="005372E0" w:rsidP="005372E0">
      <w:pPr>
        <w:pStyle w:val="BodyText"/>
      </w:pPr>
      <w:r w:rsidRPr="005372E0">
        <w:t>Not applicable.</w:t>
      </w:r>
    </w:p>
    <w:p w:rsidR="00000000" w:rsidRPr="005372E0" w:rsidP="005372E0">
      <w:pPr>
        <w:pStyle w:val="AllowPageBreak"/>
      </w:pPr>
    </w:p>
    <w:p w:rsidR="00000000" w:rsidRPr="005372E0" w:rsidP="005372E0">
      <w:pPr>
        <w:pStyle w:val="Heading1"/>
      </w:pPr>
      <w:bookmarkStart w:id="4" w:name="O_498286"/>
      <w:bookmarkEnd w:id="4"/>
      <w:r w:rsidRPr="005372E0">
        <w:t>Licensing/Regulatory Information</w:t>
      </w:r>
    </w:p>
    <w:p w:rsidR="00000000" w:rsidRPr="005372E0" w:rsidP="005372E0">
      <w:pPr>
        <w:pStyle w:val="BodyText"/>
      </w:pPr>
      <w:r w:rsidRPr="005372E0">
        <w:t>Not applicable.</w:t>
      </w:r>
    </w:p>
    <w:p w:rsidR="00000000" w:rsidRPr="005372E0" w:rsidP="005372E0">
      <w:pPr>
        <w:pStyle w:val="AllowPageBreak"/>
      </w:pPr>
    </w:p>
    <w:p w:rsidR="00000000" w:rsidRPr="005372E0" w:rsidP="005372E0">
      <w:pPr>
        <w:pStyle w:val="Heading1"/>
      </w:pPr>
      <w:bookmarkStart w:id="5" w:name="O_498287"/>
      <w:bookmarkEnd w:id="5"/>
      <w:r w:rsidRPr="005372E0">
        <w:t>Pre-Requisites</w:t>
      </w:r>
    </w:p>
    <w:p w:rsidR="00000000" w:rsidRPr="005372E0" w:rsidP="005372E0">
      <w:pPr>
        <w:pStyle w:val="BodyText"/>
      </w:pPr>
      <w:r w:rsidRPr="005372E0">
        <w:t>Not appl</w:t>
      </w:r>
      <w:r w:rsidRPr="005372E0">
        <w:t>icable.</w:t>
      </w:r>
    </w:p>
    <w:p w:rsidR="00000000" w:rsidRPr="005372E0" w:rsidP="005372E0">
      <w:pPr>
        <w:pStyle w:val="AllowPageBreak"/>
      </w:pPr>
    </w:p>
    <w:p w:rsidR="00000000" w:rsidRPr="005372E0" w:rsidP="005372E0">
      <w:pPr>
        <w:pStyle w:val="Heading1"/>
      </w:pPr>
      <w:bookmarkStart w:id="6" w:name="O_498289"/>
      <w:bookmarkEnd w:id="6"/>
      <w:r w:rsidRPr="005372E0">
        <w:t>Employability Skills Information</w:t>
      </w:r>
    </w:p>
    <w:p w:rsidR="00000000" w:rsidRPr="005372E0" w:rsidP="005372E0">
      <w:pPr>
        <w:pStyle w:val="BodyText"/>
      </w:pPr>
      <w:r w:rsidRPr="005372E0">
        <w:t>This unit contains employability skills.</w:t>
      </w:r>
    </w:p>
    <w:p w:rsidR="00000000" w:rsidRPr="005372E0" w:rsidP="005372E0">
      <w:pPr>
        <w:pStyle w:val="AllowPageBreak"/>
      </w:pPr>
    </w:p>
    <w:p w:rsidR="00000000" w:rsidRPr="005372E0" w:rsidP="005372E0">
      <w:pPr>
        <w:pStyle w:val="Heading1"/>
      </w:pPr>
      <w:bookmarkStart w:id="7" w:name="O_498290"/>
      <w:bookmarkEnd w:id="7"/>
      <w:r w:rsidRPr="005372E0">
        <w:t>Elements and Performance Criteria Pre-Content</w:t>
      </w:r>
    </w:p>
    <w:tbl>
      <w:tblPr>
        <w:tblW w:w="9322" w:type="dxa"/>
        <w:tblLayout w:type="fixed"/>
        <w:tblCellMar>
          <w:left w:w="62" w:type="dxa"/>
          <w:right w:w="62" w:type="dxa"/>
        </w:tblCellMar>
        <w:tblLook w:val="0000"/>
      </w:tblPr>
      <w:tblGrid>
        <w:gridCol w:w="2660"/>
        <w:gridCol w:w="6662"/>
      </w:tblGrid>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BodyText"/>
            </w:pPr>
            <w:r w:rsidRPr="005372E0">
              <w:t xml:space="preserve">Together, performance criteria </w:t>
            </w:r>
            <w:r w:rsidRPr="005372E0">
              <w:t>specify the requirements for competent performance. Text in</w:t>
            </w:r>
            <w:r w:rsidRPr="005372E0">
              <w:rPr>
                <w:rStyle w:val="BoldandItalics"/>
              </w:rPr>
              <w:t xml:space="preserve"> bold italics i</w:t>
            </w:r>
            <w:r w:rsidRPr="005372E0">
              <w:t>s explained in the Range Statement following.</w:t>
            </w:r>
          </w:p>
        </w:tc>
      </w:tr>
    </w:tbl>
    <w:p w:rsidR="00000000" w:rsidRPr="005372E0" w:rsidP="005372E0">
      <w:pPr>
        <w:pStyle w:val="BodyText"/>
      </w:pPr>
    </w:p>
    <w:p w:rsidR="00000000" w:rsidRPr="005372E0" w:rsidP="005372E0">
      <w:pPr>
        <w:pStyle w:val="AllowPageBreak"/>
      </w:pPr>
    </w:p>
    <w:p w:rsidR="00000000" w:rsidRPr="005372E0" w:rsidP="005372E0">
      <w:pPr>
        <w:pStyle w:val="Heading1"/>
      </w:pPr>
      <w:bookmarkStart w:id="8" w:name="O_498291"/>
      <w:bookmarkEnd w:id="8"/>
      <w:r w:rsidRPr="005372E0">
        <w:t>Elements and Performance Criteria</w:t>
      </w:r>
    </w:p>
    <w:tbl>
      <w:tblPr>
        <w:tblW w:w="9322" w:type="dxa"/>
        <w:tblLayout w:type="fixed"/>
        <w:tblCellMar>
          <w:left w:w="62" w:type="dxa"/>
          <w:right w:w="62" w:type="dxa"/>
        </w:tblCellMar>
        <w:tblLook w:val="0000"/>
      </w:tblPr>
      <w:tblGrid>
        <w:gridCol w:w="2660"/>
        <w:gridCol w:w="6662"/>
      </w:tblGrid>
      <w:tr w:rsidTr="0055326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372E0" w:rsidP="005372E0">
            <w:pPr>
              <w:pStyle w:val="BodyText"/>
            </w:pPr>
            <w:r w:rsidRPr="005372E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SpecialBold"/>
              </w:rPr>
              <w:t>PERFORMANCE CRITERIA</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List"/>
              <w:rPr>
                <w:lang w:val="en-NZ"/>
              </w:rPr>
            </w:pPr>
            <w:r w:rsidRPr="005372E0">
              <w:rPr>
                <w:rStyle w:val="SpecialBold"/>
              </w:rPr>
              <w:t>1</w:t>
            </w:r>
            <w:r w:rsidRPr="005372E0">
              <w:t>.</w:t>
            </w:r>
            <w:r w:rsidRPr="005372E0">
              <w:tab/>
            </w:r>
            <w:r w:rsidRPr="005372E0">
              <w:rPr>
                <w:rStyle w:val="SpecialBold"/>
              </w:rPr>
              <w:t>Prepare for proceedings</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
            </w:pPr>
            <w:r w:rsidRPr="005372E0">
              <w:t>1.1</w:t>
            </w:r>
            <w:r w:rsidRPr="005372E0">
              <w:tab/>
            </w:r>
            <w:r w:rsidRPr="005372E0">
              <w:rPr>
                <w:rStyle w:val="BoldandItalics"/>
              </w:rPr>
              <w:t>Arrangements for, role and involvement</w:t>
            </w:r>
            <w:r w:rsidRPr="005372E0">
              <w:t xml:space="preserve"> in </w:t>
            </w:r>
            <w:r w:rsidRPr="005372E0">
              <w:rPr>
                <w:rStyle w:val="BoldandItalics"/>
              </w:rPr>
              <w:t xml:space="preserve">proceedings </w:t>
            </w:r>
            <w:r w:rsidRPr="005372E0">
              <w:t>are confirmed.</w:t>
            </w:r>
          </w:p>
          <w:p w:rsidR="00000000" w:rsidRPr="005372E0" w:rsidP="005372E0">
            <w:pPr>
              <w:pStyle w:val="List"/>
            </w:pPr>
            <w:r w:rsidRPr="005372E0">
              <w:t>1.2</w:t>
            </w:r>
            <w:r w:rsidRPr="005372E0">
              <w:tab/>
            </w:r>
            <w:r w:rsidRPr="005372E0">
              <w:rPr>
                <w:rStyle w:val="BoldandItalics"/>
              </w:rPr>
              <w:t>Documentation and exhibits</w:t>
            </w:r>
            <w:r w:rsidRPr="005372E0">
              <w:t xml:space="preserve"> are prepared in accordance with </w:t>
            </w:r>
            <w:r w:rsidRPr="005372E0">
              <w:rPr>
                <w:rStyle w:val="BoldandItalics"/>
              </w:rPr>
              <w:t>legislation, policy and procedures</w:t>
            </w:r>
            <w:r w:rsidRPr="005372E0">
              <w:t>.</w:t>
            </w:r>
          </w:p>
          <w:p w:rsidR="00000000" w:rsidP="005372E0">
            <w:pPr>
              <w:pStyle w:val="List"/>
              <w:rPr>
                <w:lang w:val="en-NZ"/>
              </w:rPr>
            </w:pPr>
            <w:r w:rsidRPr="005372E0">
              <w:t>1.3</w:t>
            </w:r>
            <w:r w:rsidRPr="005372E0">
              <w:tab/>
              <w:t xml:space="preserve">Any </w:t>
            </w:r>
            <w:r w:rsidRPr="005372E0">
              <w:rPr>
                <w:rStyle w:val="BoldandItalics"/>
              </w:rPr>
              <w:t xml:space="preserve">witnesses </w:t>
            </w:r>
            <w:r w:rsidRPr="005372E0">
              <w:t>are supported as required, in accordance with organisational policy an</w:t>
            </w:r>
            <w:r w:rsidRPr="005372E0">
              <w:t>d procedures, to attend proceedings and give evidence.</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List"/>
              <w:rPr>
                <w:lang w:val="en-NZ"/>
              </w:rPr>
            </w:pPr>
            <w:r w:rsidRPr="005372E0">
              <w:rPr>
                <w:rStyle w:val="SpecialBold"/>
              </w:rPr>
              <w:t>2</w:t>
            </w:r>
            <w:r w:rsidRPr="005372E0">
              <w:t>.</w:t>
            </w:r>
            <w:r w:rsidRPr="005372E0">
              <w:tab/>
            </w:r>
            <w:r w:rsidRPr="005372E0">
              <w:rPr>
                <w:rStyle w:val="SpecialBold"/>
              </w:rPr>
              <w:t>Present evidence</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
            </w:pPr>
            <w:r w:rsidRPr="005372E0">
              <w:t>2.1</w:t>
            </w:r>
            <w:r w:rsidRPr="005372E0">
              <w:tab/>
            </w:r>
            <w:r w:rsidRPr="005372E0">
              <w:rPr>
                <w:rStyle w:val="BoldandItalics"/>
              </w:rPr>
              <w:t xml:space="preserve">Protocols </w:t>
            </w:r>
            <w:r w:rsidRPr="005372E0">
              <w:t>and</w:t>
            </w:r>
            <w:r w:rsidRPr="005372E0">
              <w:rPr>
                <w:rStyle w:val="BoldandItalics"/>
              </w:rPr>
              <w:t xml:space="preserve"> rules of evidence</w:t>
            </w:r>
            <w:r w:rsidRPr="005372E0">
              <w:t xml:space="preserve"> relevant to the setting and the organisation involved are adhered to throughout proceedings.</w:t>
            </w:r>
          </w:p>
          <w:p w:rsidR="00000000" w:rsidRPr="005372E0" w:rsidP="005372E0">
            <w:pPr>
              <w:pStyle w:val="List"/>
            </w:pPr>
            <w:r w:rsidRPr="005372E0">
              <w:t>2.2</w:t>
            </w:r>
            <w:r w:rsidRPr="005372E0">
              <w:tab/>
              <w:t>Feedback from counsel and/or police and comment</w:t>
            </w:r>
            <w:r w:rsidRPr="005372E0">
              <w:t>s by</w:t>
            </w:r>
            <w:r w:rsidRPr="005372E0">
              <w:rPr>
                <w:rStyle w:val="BoldandItalics"/>
              </w:rPr>
              <w:t xml:space="preserve"> deciding authority </w:t>
            </w:r>
            <w:r w:rsidRPr="005372E0">
              <w:t>are noted and incorporated.</w:t>
            </w:r>
          </w:p>
          <w:p w:rsidR="00000000" w:rsidRPr="005372E0" w:rsidP="005372E0">
            <w:pPr>
              <w:pStyle w:val="List"/>
            </w:pPr>
            <w:r w:rsidRPr="005372E0">
              <w:t>2.3</w:t>
            </w:r>
            <w:r w:rsidRPr="005372E0">
              <w:tab/>
            </w:r>
            <w:r w:rsidRPr="005372E0">
              <w:rPr>
                <w:rStyle w:val="BoldandItalics"/>
              </w:rPr>
              <w:t xml:space="preserve">Evidence </w:t>
            </w:r>
            <w:r w:rsidRPr="005372E0">
              <w:t>is presented in a clear, concise and articulate manner in accordance with organisational standards.</w:t>
            </w:r>
          </w:p>
          <w:p w:rsidR="00000000" w:rsidRPr="005372E0" w:rsidP="005372E0">
            <w:pPr>
              <w:pStyle w:val="List"/>
            </w:pPr>
            <w:r w:rsidRPr="005372E0">
              <w:t>2.4</w:t>
            </w:r>
            <w:r w:rsidRPr="005372E0">
              <w:tab/>
              <w:t>Quality and</w:t>
            </w:r>
            <w:r w:rsidRPr="005372E0">
              <w:rPr>
                <w:rStyle w:val="BoldandItalics"/>
              </w:rPr>
              <w:t xml:space="preserve"> standard of evidence and presentation </w:t>
            </w:r>
            <w:r w:rsidRPr="005372E0">
              <w:t>enhance the reputation and image of the organisation with the public, legal profession and colleagues.</w:t>
            </w:r>
          </w:p>
          <w:p w:rsidR="00000000" w:rsidP="005372E0">
            <w:pPr>
              <w:pStyle w:val="List"/>
              <w:rPr>
                <w:lang w:val="en-NZ"/>
              </w:rPr>
            </w:pPr>
            <w:r w:rsidRPr="005372E0">
              <w:t>2.5</w:t>
            </w:r>
            <w:r w:rsidRPr="005372E0">
              <w:tab/>
              <w:t>Considered expert evidence is provided on request in accordance with the organisation's policy and consistent with qualifications and expertise.</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List"/>
              <w:rPr>
                <w:lang w:val="en-NZ"/>
              </w:rPr>
            </w:pPr>
            <w:r w:rsidRPr="005372E0">
              <w:rPr>
                <w:rStyle w:val="SpecialBold"/>
              </w:rPr>
              <w:t>3</w:t>
            </w:r>
            <w:r w:rsidRPr="005372E0">
              <w:t>.</w:t>
            </w:r>
            <w:r w:rsidRPr="005372E0">
              <w:tab/>
            </w:r>
            <w:r w:rsidRPr="005372E0">
              <w:rPr>
                <w:rStyle w:val="SpecialBold"/>
              </w:rPr>
              <w:t>Follow up outcomes of proceedings</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
            </w:pPr>
            <w:r w:rsidRPr="005372E0">
              <w:t>3.1</w:t>
            </w:r>
            <w:r w:rsidRPr="005372E0">
              <w:tab/>
              <w:t>The outcomes of the proceedings are noted and filed, and reports are completed where required according to organisational requirements.</w:t>
            </w:r>
          </w:p>
          <w:p w:rsidR="00000000" w:rsidRPr="005372E0" w:rsidP="005372E0">
            <w:pPr>
              <w:pStyle w:val="List"/>
            </w:pPr>
            <w:r w:rsidRPr="005372E0">
              <w:t>3.2</w:t>
            </w:r>
            <w:r w:rsidRPr="005372E0">
              <w:tab/>
              <w:t xml:space="preserve">Any </w:t>
            </w:r>
            <w:r w:rsidRPr="005372E0">
              <w:rPr>
                <w:rStyle w:val="BoldandItalics"/>
              </w:rPr>
              <w:t xml:space="preserve">required actions </w:t>
            </w:r>
            <w:r w:rsidRPr="005372E0">
              <w:t>are implemented in accordance with organisational policie</w:t>
            </w:r>
            <w:r w:rsidRPr="005372E0">
              <w:t>s and procedures.</w:t>
            </w:r>
          </w:p>
        </w:tc>
      </w:tr>
    </w:tbl>
    <w:p w:rsidR="00000000" w:rsidRPr="005372E0" w:rsidP="005372E0">
      <w:pPr>
        <w:pStyle w:val="BodyText"/>
      </w:pPr>
    </w:p>
    <w:p w:rsidR="00000000" w:rsidRPr="005372E0" w:rsidP="005372E0">
      <w:pPr>
        <w:pStyle w:val="AllowPageBreak"/>
      </w:pPr>
    </w:p>
    <w:p w:rsidR="00000000" w:rsidRPr="005372E0" w:rsidP="005372E0">
      <w:pPr>
        <w:pStyle w:val="Heading1"/>
      </w:pPr>
      <w:bookmarkStart w:id="9" w:name="O_498288"/>
      <w:bookmarkEnd w:id="9"/>
      <w:r w:rsidRPr="005372E0">
        <w:t>Required Skills and Knowledge</w:t>
      </w:r>
    </w:p>
    <w:tbl>
      <w:tblPr>
        <w:tblW w:w="0" w:type="auto"/>
        <w:tblLayout w:type="fixed"/>
        <w:tblCellMar>
          <w:left w:w="62" w:type="dxa"/>
          <w:right w:w="62" w:type="dxa"/>
        </w:tblCellMar>
        <w:tblLook w:val="0000"/>
      </w:tblPr>
      <w:tblGrid>
        <w:gridCol w:w="8553"/>
      </w:tblGrid>
      <w:tr w:rsidTr="00553262">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t>This section describes the essential skills and knowledge and their level, required for this unit.</w:t>
            </w:r>
          </w:p>
        </w:tc>
      </w:tr>
      <w:tr w:rsidTr="00553262">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372E0" w:rsidP="005372E0">
            <w:pPr>
              <w:pStyle w:val="BodyText"/>
            </w:pPr>
            <w:r w:rsidRPr="005372E0">
              <w:rPr>
                <w:rStyle w:val="SpecialBold"/>
              </w:rPr>
              <w:t>Skill requirements</w:t>
            </w:r>
          </w:p>
          <w:p w:rsidR="00000000" w:rsidRPr="005372E0" w:rsidP="005372E0">
            <w:pPr>
              <w:pStyle w:val="BodyText"/>
            </w:pPr>
            <w:r w:rsidRPr="005372E0">
              <w:t>Look for evidence that confirms skills in:</w:t>
            </w:r>
          </w:p>
          <w:p w:rsidR="00000000" w:rsidRPr="005372E0" w:rsidP="005372E0">
            <w:pPr>
              <w:pStyle w:val="ListBullet2"/>
            </w:pPr>
            <w:r w:rsidRPr="005372E0">
              <w:t>presenting evidence clearly and concisely</w:t>
            </w:r>
          </w:p>
          <w:p w:rsidR="00000000" w:rsidRPr="005372E0" w:rsidP="005372E0">
            <w:pPr>
              <w:pStyle w:val="ListBullet2"/>
            </w:pPr>
            <w:r w:rsidRPr="005372E0">
              <w:t>writing reports</w:t>
            </w:r>
          </w:p>
          <w:p w:rsidR="00000000" w:rsidRPr="005372E0" w:rsidP="005372E0">
            <w:pPr>
              <w:pStyle w:val="ListBullet2"/>
            </w:pPr>
            <w:r w:rsidRPr="005372E0">
              <w:t>word processing</w:t>
            </w:r>
          </w:p>
          <w:p w:rsidR="00000000" w:rsidRPr="005372E0" w:rsidP="005372E0">
            <w:pPr>
              <w:pStyle w:val="ListBullet2"/>
            </w:pPr>
            <w:r w:rsidRPr="005372E0">
              <w:t>taking notes</w:t>
            </w:r>
          </w:p>
          <w:p w:rsidR="00000000" w:rsidRPr="005372E0" w:rsidP="005372E0">
            <w:pPr>
              <w:pStyle w:val="ListBullet2"/>
            </w:pPr>
            <w:r w:rsidRPr="005372E0">
              <w:t>communicating with people from diverse backgrounds</w:t>
            </w:r>
          </w:p>
          <w:p w:rsidR="00000000" w:rsidRPr="005372E0" w:rsidP="005372E0">
            <w:pPr>
              <w:pStyle w:val="ListBullet2"/>
            </w:pPr>
            <w:r w:rsidRPr="005372E0">
              <w:t>responding to diversity, including gender and disability</w:t>
            </w:r>
          </w:p>
          <w:p w:rsidR="00000000" w:rsidRPr="005372E0" w:rsidP="005372E0">
            <w:pPr>
              <w:pStyle w:val="ListBullet2"/>
            </w:pPr>
            <w:r w:rsidRPr="005372E0">
              <w:t>making comparisons and exercising judgment about facts in wri</w:t>
            </w:r>
            <w:r w:rsidRPr="005372E0">
              <w:t>tten materials</w:t>
            </w:r>
          </w:p>
          <w:p w:rsidR="00000000" w:rsidRPr="005372E0" w:rsidP="005372E0">
            <w:pPr>
              <w:pStyle w:val="ListBullet2"/>
            </w:pPr>
            <w:r w:rsidRPr="005372E0">
              <w:t>report writing using formal structures and language</w:t>
            </w:r>
          </w:p>
          <w:p w:rsidR="00000000" w:rsidP="005372E0">
            <w:pPr>
              <w:pStyle w:val="ListBullet2"/>
              <w:rPr>
                <w:lang w:val="en-NZ"/>
              </w:rPr>
            </w:pPr>
            <w:r w:rsidRPr="005372E0">
              <w:t>applying public sector standards and legislation such as occupational health and safety and environment in the context of giving evidence</w:t>
            </w:r>
          </w:p>
        </w:tc>
      </w:tr>
      <w:tr w:rsidTr="00553262">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372E0" w:rsidP="005372E0">
            <w:pPr>
              <w:pStyle w:val="BodyText"/>
            </w:pPr>
            <w:r w:rsidRPr="005372E0">
              <w:rPr>
                <w:rStyle w:val="SpecialBold"/>
              </w:rPr>
              <w:t>Knowledge requirements</w:t>
            </w:r>
          </w:p>
          <w:p w:rsidR="00000000" w:rsidRPr="005372E0" w:rsidP="005372E0">
            <w:pPr>
              <w:pStyle w:val="BodyText"/>
            </w:pPr>
            <w:r w:rsidRPr="005372E0">
              <w:t>Look for evidence that conf</w:t>
            </w:r>
            <w:r w:rsidRPr="005372E0">
              <w:t>irms knowledge and understanding of:</w:t>
            </w:r>
          </w:p>
          <w:p w:rsidR="00000000" w:rsidRPr="005372E0" w:rsidP="005372E0">
            <w:pPr>
              <w:pStyle w:val="ListBullet2"/>
            </w:pPr>
            <w:r w:rsidRPr="005372E0">
              <w:t>court prosecution processes</w:t>
            </w:r>
          </w:p>
          <w:p w:rsidR="00000000" w:rsidRPr="005372E0" w:rsidP="005372E0">
            <w:pPr>
              <w:pStyle w:val="ListBullet2"/>
            </w:pPr>
            <w:r w:rsidRPr="005372E0">
              <w:t>common law versus judicial precedent versus legislation</w:t>
            </w:r>
          </w:p>
          <w:p w:rsidR="00000000" w:rsidRPr="005372E0" w:rsidP="005372E0">
            <w:pPr>
              <w:pStyle w:val="ListBullet2"/>
            </w:pPr>
            <w:r w:rsidRPr="005372E0">
              <w:t>specific powers of the organisation</w:t>
            </w:r>
          </w:p>
          <w:p w:rsidR="00000000" w:rsidRPr="005372E0" w:rsidP="005372E0">
            <w:pPr>
              <w:pStyle w:val="ListBullet2"/>
            </w:pPr>
            <w:r w:rsidRPr="005372E0">
              <w:t>court/tribunal/commission structures</w:t>
            </w:r>
          </w:p>
          <w:p w:rsidR="00000000" w:rsidRPr="005372E0" w:rsidP="005372E0">
            <w:pPr>
              <w:pStyle w:val="ListBullet2"/>
            </w:pPr>
            <w:r w:rsidRPr="005372E0">
              <w:t>jurisdiction of each court/tribunal/commission</w:t>
            </w:r>
          </w:p>
          <w:p w:rsidR="00000000" w:rsidRPr="005372E0" w:rsidP="005372E0">
            <w:pPr>
              <w:pStyle w:val="ListBullet2"/>
            </w:pPr>
            <w:r w:rsidRPr="005372E0">
              <w:t>appeals systems</w:t>
            </w:r>
          </w:p>
          <w:p w:rsidR="00000000" w:rsidRPr="005372E0" w:rsidP="005372E0">
            <w:pPr>
              <w:pStyle w:val="ListBullet2"/>
            </w:pPr>
            <w:r w:rsidRPr="005372E0">
              <w:t>role of legal personnel in judicial or quasi-judicial systems</w:t>
            </w:r>
          </w:p>
          <w:p w:rsidR="00000000" w:rsidRPr="005372E0" w:rsidP="005372E0">
            <w:pPr>
              <w:pStyle w:val="ListBullet2"/>
            </w:pPr>
            <w:r w:rsidRPr="005372E0">
              <w:t>procedures and protocols in different judicial or quasi-judicial systems</w:t>
            </w:r>
          </w:p>
          <w:p w:rsidR="00000000" w:rsidRPr="005372E0" w:rsidP="005372E0">
            <w:pPr>
              <w:pStyle w:val="ListBullet2"/>
            </w:pPr>
            <w:r w:rsidRPr="005372E0">
              <w:t>types of offences</w:t>
            </w:r>
          </w:p>
          <w:p w:rsidR="00000000" w:rsidRPr="005372E0" w:rsidP="005372E0">
            <w:pPr>
              <w:pStyle w:val="ListBullet2"/>
            </w:pPr>
            <w:r w:rsidRPr="005372E0">
              <w:t>general principles of criminal liability</w:t>
            </w:r>
          </w:p>
          <w:p w:rsidR="00000000" w:rsidRPr="005372E0" w:rsidP="005372E0">
            <w:pPr>
              <w:pStyle w:val="ListBullet2"/>
            </w:pPr>
            <w:r w:rsidRPr="005372E0">
              <w:t>exemptions and defences</w:t>
            </w:r>
          </w:p>
          <w:p w:rsidR="00000000" w:rsidRPr="005372E0" w:rsidP="005372E0">
            <w:pPr>
              <w:pStyle w:val="ListBullet2"/>
            </w:pPr>
            <w:r w:rsidRPr="005372E0">
              <w:t>types of evidence admi</w:t>
            </w:r>
            <w:r w:rsidRPr="005372E0">
              <w:t>ssible in judicial or quasi-judicial systems</w:t>
            </w:r>
          </w:p>
          <w:p w:rsidR="00000000" w:rsidRPr="005372E0" w:rsidP="005372E0">
            <w:pPr>
              <w:pStyle w:val="ListBullet2"/>
            </w:pPr>
            <w:r w:rsidRPr="005372E0">
              <w:t>legislative requirements of presenting evidence</w:t>
            </w:r>
          </w:p>
          <w:p w:rsidR="00000000" w:rsidRPr="005372E0" w:rsidP="005372E0">
            <w:pPr>
              <w:pStyle w:val="ListBullet2"/>
            </w:pPr>
            <w:r w:rsidRPr="005372E0">
              <w:t>use of notes in court/tribunal/commission</w:t>
            </w:r>
          </w:p>
          <w:p w:rsidR="00000000" w:rsidRPr="005372E0" w:rsidP="005372E0">
            <w:pPr>
              <w:pStyle w:val="ListBullet2"/>
            </w:pPr>
            <w:r w:rsidRPr="005372E0">
              <w:t>organisation policies and procedures relating to preparation of documents and evidence and providing expert opinion</w:t>
            </w:r>
          </w:p>
          <w:p w:rsidR="00000000" w:rsidRPr="005372E0" w:rsidP="005372E0">
            <w:pPr>
              <w:pStyle w:val="ListBullet2"/>
            </w:pPr>
            <w:r w:rsidRPr="005372E0">
              <w:t>publi</w:t>
            </w:r>
            <w:r w:rsidRPr="005372E0">
              <w:t>c sector legislation such as occupational health and safety and environment relating to the presentation of evidence</w:t>
            </w:r>
          </w:p>
        </w:tc>
      </w:tr>
    </w:tbl>
    <w:p w:rsidR="00000000" w:rsidRPr="005372E0" w:rsidP="005372E0">
      <w:pPr>
        <w:pStyle w:val="BodyText"/>
      </w:pPr>
    </w:p>
    <w:p w:rsidR="00000000" w:rsidRPr="005372E0" w:rsidP="005372E0">
      <w:pPr>
        <w:pStyle w:val="AllowPageBreak"/>
      </w:pPr>
    </w:p>
    <w:p w:rsidR="00000000" w:rsidRPr="005372E0" w:rsidP="005372E0">
      <w:pPr>
        <w:pStyle w:val="Heading1"/>
      </w:pPr>
      <w:bookmarkStart w:id="10" w:name="O_498282"/>
      <w:bookmarkEnd w:id="10"/>
      <w:r w:rsidRPr="005372E0">
        <w:t>Evidence Guide</w:t>
      </w:r>
    </w:p>
    <w:tbl>
      <w:tblPr>
        <w:tblW w:w="9322" w:type="dxa"/>
        <w:tblLayout w:type="fixed"/>
        <w:tblCellMar>
          <w:left w:w="62" w:type="dxa"/>
          <w:right w:w="62" w:type="dxa"/>
        </w:tblCellMar>
        <w:tblLook w:val="0000"/>
      </w:tblPr>
      <w:tblGrid>
        <w:gridCol w:w="2660"/>
        <w:gridCol w:w="6662"/>
      </w:tblGrid>
      <w:tr w:rsidTr="0055326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t>The Evidence Guide specifies the evidence required to demonstrate achievement in the unit of competency as a whole. It must be read in conjunction with the Unit descriptor, Performance Criteria, the Range Statement and the Assessment Guidelines for the Pub</w:t>
            </w:r>
            <w:r w:rsidRPr="005372E0">
              <w:t>lic Sector Training Package.</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372E0" w:rsidP="005372E0">
            <w:pPr>
              <w:pStyle w:val="BodyText"/>
            </w:pPr>
            <w:r w:rsidRPr="005372E0">
              <w:rPr>
                <w:rStyle w:val="SpecialBold"/>
              </w:rPr>
              <w:t>Units to be assessed together</w:t>
            </w:r>
            <w:r w:rsidRPr="005372E0">
              <w:t xml:space="preserve"> </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Bullet2"/>
            </w:pPr>
            <w:r w:rsidRPr="005372E0">
              <w:rPr>
                <w:rStyle w:val="Emphasis"/>
              </w:rPr>
              <w:t>Pre</w:t>
            </w:r>
            <w:r w:rsidRPr="005372E0">
              <w:t>-</w:t>
            </w:r>
            <w:r w:rsidRPr="005372E0">
              <w:rPr>
                <w:rStyle w:val="Emphasis"/>
              </w:rPr>
              <w:t>requisite</w:t>
            </w:r>
            <w:r w:rsidRPr="005372E0">
              <w:t xml:space="preserve"> units that </w:t>
            </w:r>
            <w:r w:rsidRPr="005372E0">
              <w:rPr>
                <w:rStyle w:val="Underline"/>
              </w:rPr>
              <w:t>must</w:t>
            </w:r>
            <w:r w:rsidRPr="005372E0">
              <w:t xml:space="preserve"> be achieved </w:t>
            </w:r>
            <w:r w:rsidRPr="005372E0">
              <w:rPr>
                <w:rStyle w:val="Underline"/>
              </w:rPr>
              <w:t>prior</w:t>
            </w:r>
            <w:r w:rsidRPr="005372E0">
              <w:t xml:space="preserve"> to this unit:</w:t>
            </w:r>
            <w:r w:rsidRPr="005372E0">
              <w:rPr>
                <w:rStyle w:val="Emphasis"/>
              </w:rPr>
              <w:t>Nil</w:t>
            </w:r>
          </w:p>
          <w:p w:rsidR="00000000" w:rsidRPr="005372E0" w:rsidP="005372E0">
            <w:pPr>
              <w:pStyle w:val="ListBullet2"/>
            </w:pPr>
            <w:r w:rsidRPr="005372E0">
              <w:rPr>
                <w:rStyle w:val="Emphasis"/>
              </w:rPr>
              <w:t>Co</w:t>
            </w:r>
            <w:r w:rsidRPr="005372E0">
              <w:t>-</w:t>
            </w:r>
            <w:r w:rsidRPr="005372E0">
              <w:rPr>
                <w:rStyle w:val="Emphasis"/>
              </w:rPr>
              <w:t>requisite</w:t>
            </w:r>
            <w:r w:rsidRPr="005372E0">
              <w:t xml:space="preserve"> units that </w:t>
            </w:r>
            <w:r w:rsidRPr="005372E0">
              <w:rPr>
                <w:rStyle w:val="Underline"/>
              </w:rPr>
              <w:t>must</w:t>
            </w:r>
            <w:r w:rsidRPr="005372E0">
              <w:t xml:space="preserve"> be assessed </w:t>
            </w:r>
            <w:r w:rsidRPr="005372E0">
              <w:rPr>
                <w:rStyle w:val="Underline"/>
              </w:rPr>
              <w:t>with</w:t>
            </w:r>
            <w:r w:rsidRPr="005372E0">
              <w:t xml:space="preserve"> this unit:</w:t>
            </w:r>
            <w:r w:rsidRPr="005372E0">
              <w:rPr>
                <w:rStyle w:val="Emphasis"/>
              </w:rPr>
              <w:t>Nil</w:t>
            </w:r>
          </w:p>
          <w:p w:rsidR="00000000" w:rsidRPr="005372E0" w:rsidP="005372E0">
            <w:pPr>
              <w:pStyle w:val="ListBullet2"/>
            </w:pPr>
            <w:r w:rsidRPr="005372E0">
              <w:rPr>
                <w:rStyle w:val="Emphasis"/>
              </w:rPr>
              <w:t>Co</w:t>
            </w:r>
            <w:r w:rsidRPr="005372E0">
              <w:t>-</w:t>
            </w:r>
            <w:r w:rsidRPr="005372E0">
              <w:rPr>
                <w:rStyle w:val="Emphasis"/>
              </w:rPr>
              <w:t>assessed units</w:t>
            </w:r>
            <w:r w:rsidRPr="005372E0">
              <w:t xml:space="preserve"> that </w:t>
            </w:r>
            <w:r w:rsidRPr="005372E0">
              <w:rPr>
                <w:rStyle w:val="Underline"/>
              </w:rPr>
              <w:t>may</w:t>
            </w:r>
            <w:r w:rsidRPr="005372E0">
              <w:t xml:space="preserve"> be assessed with this unit to </w:t>
            </w:r>
            <w:r w:rsidRPr="005372E0">
              <w:t>increase the efficiency and realism of the assessment process include, but are not limited to:</w:t>
            </w:r>
          </w:p>
          <w:p w:rsidR="00000000" w:rsidRPr="005372E0" w:rsidP="005372E0">
            <w:pPr>
              <w:pStyle w:val="ListBullet3"/>
            </w:pPr>
            <w:r w:rsidRPr="005372E0">
              <w:t>PSPETHC401A Uphold and support the values and principles of public service</w:t>
            </w:r>
          </w:p>
          <w:p w:rsidR="00000000" w:rsidRPr="005372E0" w:rsidP="005372E0">
            <w:pPr>
              <w:pStyle w:val="ListBullet3"/>
            </w:pPr>
            <w:r w:rsidRPr="005372E0">
              <w:t>PSPLEGN401A Encourage compliance with legislation in the public sector</w:t>
            </w:r>
          </w:p>
          <w:p w:rsidR="00000000" w:rsidRPr="005372E0" w:rsidP="005372E0">
            <w:pPr>
              <w:pStyle w:val="ListBullet3"/>
            </w:pPr>
            <w:r w:rsidRPr="005372E0">
              <w:t>PSPGOV408A Val</w:t>
            </w:r>
            <w:r w:rsidRPr="005372E0">
              <w:t xml:space="preserve">ue diversity </w:t>
            </w:r>
          </w:p>
          <w:p w:rsidR="00000000" w:rsidRPr="005372E0" w:rsidP="005372E0">
            <w:pPr>
              <w:pStyle w:val="ListBullet3"/>
            </w:pPr>
            <w:r w:rsidRPr="005372E0">
              <w:t xml:space="preserve">PSPGOV419A Work with interpreters </w:t>
            </w:r>
          </w:p>
          <w:p w:rsidR="00000000" w:rsidRPr="005372E0" w:rsidP="005372E0">
            <w:pPr>
              <w:pStyle w:val="ListBullet3"/>
            </w:pPr>
            <w:r w:rsidRPr="005372E0">
              <w:t>PSPGOV422A Apply government processes</w:t>
            </w:r>
          </w:p>
          <w:p w:rsidR="00000000" w:rsidP="005372E0">
            <w:pPr>
              <w:pStyle w:val="ListBullet3"/>
              <w:rPr>
                <w:lang w:val="en-NZ"/>
              </w:rPr>
            </w:pPr>
            <w:r w:rsidRPr="005372E0">
              <w:t>PSPREG401C Exercise regulatory powers</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BodyText"/>
            </w:pPr>
            <w:r w:rsidRPr="005372E0">
              <w:t>In addition to integrated demonstration of the elements and their related performance criteria, look for evidence that confirms:</w:t>
            </w:r>
          </w:p>
          <w:p w:rsidR="00000000" w:rsidRPr="005372E0" w:rsidP="005372E0">
            <w:pPr>
              <w:pStyle w:val="ListBullet2"/>
            </w:pPr>
            <w:r w:rsidRPr="005372E0">
              <w:t xml:space="preserve">the knowledge requirements of this unit </w:t>
            </w:r>
          </w:p>
          <w:p w:rsidR="00000000" w:rsidRPr="005372E0" w:rsidP="005372E0">
            <w:pPr>
              <w:pStyle w:val="ListBullet2"/>
            </w:pPr>
            <w:r w:rsidRPr="005372E0">
              <w:t>the skill requirements of this unit</w:t>
            </w:r>
          </w:p>
          <w:p w:rsidR="00000000" w:rsidRPr="005372E0" w:rsidP="005372E0">
            <w:pPr>
              <w:pStyle w:val="ListBullet2"/>
            </w:pPr>
            <w:r w:rsidRPr="005372E0">
              <w:t>application of the Employability Skills as they r</w:t>
            </w:r>
            <w:r w:rsidRPr="005372E0">
              <w:t>elate to this unit (see Employability Summaries in Qualifications Framework)</w:t>
            </w:r>
          </w:p>
          <w:p w:rsidR="00000000" w:rsidP="005372E0">
            <w:pPr>
              <w:pStyle w:val="ListBullet2"/>
              <w:rPr>
                <w:lang w:val="en-NZ"/>
              </w:rPr>
            </w:pPr>
            <w:r w:rsidRPr="005372E0">
              <w:t>giving evidence in a range of (3 or more) contexts (or occasions, over time)</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BodyText"/>
            </w:pPr>
            <w:r w:rsidRPr="005372E0">
              <w:t>These resources include:</w:t>
            </w:r>
          </w:p>
          <w:p w:rsidR="00000000" w:rsidRPr="005372E0" w:rsidP="005372E0">
            <w:pPr>
              <w:pStyle w:val="ListBullet2"/>
            </w:pPr>
            <w:r w:rsidRPr="005372E0">
              <w:t xml:space="preserve">legislation, policy, procedures </w:t>
            </w:r>
            <w:r w:rsidRPr="005372E0">
              <w:t>and protocols relating to presentation of evidence</w:t>
            </w:r>
          </w:p>
          <w:p w:rsidR="00000000" w:rsidP="005372E0">
            <w:pPr>
              <w:pStyle w:val="ListBullet2"/>
              <w:rPr>
                <w:lang w:val="en-NZ"/>
              </w:rPr>
            </w:pPr>
            <w:r w:rsidRPr="005372E0">
              <w:t>case studies and workplace scenarios to capture the range of likely offences for which evidence needs to be presented</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BodyText"/>
            </w:pPr>
            <w:r w:rsidRPr="005372E0">
              <w:t xml:space="preserve">Valid assessment of this unit requires: </w:t>
            </w:r>
          </w:p>
          <w:p w:rsidR="00000000" w:rsidRPr="005372E0" w:rsidP="005372E0">
            <w:pPr>
              <w:pStyle w:val="ListBullet2"/>
            </w:pPr>
            <w:r w:rsidRPr="005372E0">
              <w:t>a workplace environment or one that closely resembles normal work practice and replicates the range of conditions likely to be encountered when giving evidence, including coping with difficulties, irregularities and breakdowns in routine</w:t>
            </w:r>
          </w:p>
          <w:p w:rsidR="00000000" w:rsidRPr="005372E0" w:rsidP="005372E0">
            <w:pPr>
              <w:pStyle w:val="ListBullet2"/>
            </w:pPr>
            <w:r w:rsidRPr="005372E0">
              <w:t>giving evidence in</w:t>
            </w:r>
            <w:r w:rsidRPr="005372E0">
              <w:t xml:space="preserve"> a range of (3 or more) contexts (or occasions, over time)</w:t>
            </w:r>
          </w:p>
          <w:p w:rsidR="00000000" w:rsidRPr="005372E0" w:rsidP="005372E0">
            <w:pPr>
              <w:pStyle w:val="BodyText"/>
            </w:pPr>
            <w:r w:rsidRPr="005372E0">
              <w:t>Assessment methods should reflect workplace demands, such as literacy, and the needs of particular groups, such as:</w:t>
            </w:r>
          </w:p>
          <w:p w:rsidR="00000000" w:rsidRPr="005372E0" w:rsidP="005372E0">
            <w:pPr>
              <w:pStyle w:val="ListBullet2"/>
            </w:pPr>
            <w:r w:rsidRPr="005372E0">
              <w:t>people with disabilities</w:t>
            </w:r>
          </w:p>
          <w:p w:rsidR="00000000" w:rsidRPr="005372E0" w:rsidP="005372E0">
            <w:pPr>
              <w:pStyle w:val="ListBullet2"/>
            </w:pPr>
            <w:r w:rsidRPr="005372E0">
              <w:t>people from culturally and linguistically diverse backg</w:t>
            </w:r>
            <w:r w:rsidRPr="005372E0">
              <w:t>rounds</w:t>
            </w:r>
          </w:p>
          <w:p w:rsidR="00000000" w:rsidRPr="005372E0" w:rsidP="005372E0">
            <w:pPr>
              <w:pStyle w:val="ListBullet2"/>
            </w:pPr>
            <w:r w:rsidRPr="005372E0">
              <w:t>Aboriginal and Torres Strait Islander people</w:t>
            </w:r>
          </w:p>
          <w:p w:rsidR="00000000" w:rsidRPr="005372E0" w:rsidP="005372E0">
            <w:pPr>
              <w:pStyle w:val="ListBullet2"/>
            </w:pPr>
            <w:r w:rsidRPr="005372E0">
              <w:t>women</w:t>
            </w:r>
          </w:p>
          <w:p w:rsidR="00000000" w:rsidRPr="005372E0" w:rsidP="005372E0">
            <w:pPr>
              <w:pStyle w:val="ListBullet2"/>
            </w:pPr>
            <w:r w:rsidRPr="005372E0">
              <w:t>young people</w:t>
            </w:r>
          </w:p>
          <w:p w:rsidR="00000000" w:rsidRPr="005372E0" w:rsidP="005372E0">
            <w:pPr>
              <w:pStyle w:val="ListBullet2"/>
            </w:pPr>
            <w:r w:rsidRPr="005372E0">
              <w:t>older people</w:t>
            </w:r>
          </w:p>
          <w:p w:rsidR="00000000" w:rsidRPr="005372E0" w:rsidP="005372E0">
            <w:pPr>
              <w:pStyle w:val="ListBullet2"/>
            </w:pPr>
            <w:r w:rsidRPr="005372E0">
              <w:t>people in rural and remote locations</w:t>
            </w:r>
          </w:p>
          <w:p w:rsidR="00000000" w:rsidRPr="005372E0" w:rsidP="005372E0">
            <w:pPr>
              <w:pStyle w:val="BodyText"/>
            </w:pPr>
            <w:r w:rsidRPr="005372E0">
              <w:t xml:space="preserve">Assessment methods suitable for valid and reliable assessment of this competency may include, but are not limited to, a combination of </w:t>
            </w:r>
            <w:r w:rsidRPr="005372E0">
              <w:t xml:space="preserve">2 or more of: </w:t>
            </w:r>
          </w:p>
          <w:p w:rsidR="00000000" w:rsidRPr="005372E0" w:rsidP="005372E0">
            <w:pPr>
              <w:pStyle w:val="ListBullet2"/>
            </w:pPr>
            <w:r w:rsidRPr="005372E0">
              <w:t>case studies</w:t>
            </w:r>
          </w:p>
          <w:p w:rsidR="00000000" w:rsidRPr="005372E0" w:rsidP="005372E0">
            <w:pPr>
              <w:pStyle w:val="ListBullet2"/>
            </w:pPr>
            <w:r w:rsidRPr="005372E0">
              <w:t xml:space="preserve">demonstration </w:t>
            </w:r>
          </w:p>
          <w:p w:rsidR="00000000" w:rsidRPr="005372E0" w:rsidP="005372E0">
            <w:pPr>
              <w:pStyle w:val="ListBullet2"/>
            </w:pPr>
            <w:r w:rsidRPr="005372E0">
              <w:t>observation</w:t>
            </w:r>
          </w:p>
          <w:p w:rsidR="00000000" w:rsidRPr="005372E0" w:rsidP="005372E0">
            <w:pPr>
              <w:pStyle w:val="ListBullet2"/>
            </w:pPr>
            <w:r w:rsidRPr="005372E0">
              <w:t>questioning</w:t>
            </w:r>
          </w:p>
          <w:p w:rsidR="00000000" w:rsidRPr="005372E0" w:rsidP="005372E0">
            <w:pPr>
              <w:pStyle w:val="ListBullet2"/>
            </w:pPr>
            <w:r w:rsidRPr="005372E0">
              <w:t>scenarios</w:t>
            </w:r>
          </w:p>
          <w:p w:rsidR="00000000" w:rsidRPr="005372E0" w:rsidP="005372E0">
            <w:pPr>
              <w:pStyle w:val="ListBullet2"/>
            </w:pPr>
            <w:r w:rsidRPr="005372E0">
              <w:t>simulation or role plays</w:t>
            </w:r>
          </w:p>
          <w:p w:rsidR="00000000" w:rsidP="005372E0">
            <w:pPr>
              <w:pStyle w:val="ListBullet2"/>
              <w:rPr>
                <w:lang w:val="en-NZ"/>
              </w:rPr>
            </w:pPr>
            <w:r w:rsidRPr="005372E0">
              <w:t xml:space="preserve">authenticated evidence from the workplace and/or training courses    </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BodyText"/>
            </w:pPr>
            <w:r w:rsidRPr="005372E0">
              <w:t>Evidence must be gathered over time in a range of contexts to ensure the person can achieve the unit outcome and apply the competency in different situations or environments</w:t>
            </w:r>
          </w:p>
        </w:tc>
      </w:tr>
    </w:tbl>
    <w:p w:rsidR="00000000" w:rsidRPr="005372E0" w:rsidP="005372E0">
      <w:pPr>
        <w:pStyle w:val="BodyText"/>
      </w:pPr>
    </w:p>
    <w:p w:rsidR="00000000" w:rsidRPr="005372E0" w:rsidP="005372E0">
      <w:pPr>
        <w:pStyle w:val="AllowPageBreak"/>
      </w:pPr>
    </w:p>
    <w:p w:rsidR="00000000" w:rsidRPr="005372E0" w:rsidP="005372E0">
      <w:pPr>
        <w:pStyle w:val="Heading1"/>
      </w:pPr>
      <w:bookmarkStart w:id="11" w:name="O_498283"/>
      <w:bookmarkEnd w:id="11"/>
      <w:r w:rsidRPr="005372E0">
        <w:t>Range Statement</w:t>
      </w:r>
    </w:p>
    <w:tbl>
      <w:tblPr>
        <w:tblW w:w="9322" w:type="dxa"/>
        <w:tblLayout w:type="fixed"/>
        <w:tblCellMar>
          <w:left w:w="62" w:type="dxa"/>
          <w:right w:w="62" w:type="dxa"/>
        </w:tblCellMar>
        <w:tblLook w:val="0000"/>
      </w:tblPr>
      <w:tblGrid>
        <w:gridCol w:w="2660"/>
        <w:gridCol w:w="6662"/>
      </w:tblGrid>
      <w:tr w:rsidTr="0055326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t xml:space="preserve">The Range Statement provides information about </w:t>
            </w:r>
            <w:r w:rsidRPr="005372E0">
              <w:t>the context in which the unit of competency is carried out. The variables cater for differences between States and Territories and the Commonwealth, and between organisations and workplaces. They allow for different work requirements, work practices and kn</w:t>
            </w:r>
            <w:r w:rsidRPr="005372E0">
              <w:t>owledge. The Range Statement also provides a focus for assessment. It relates to the unit as a whole. Text in</w:t>
            </w:r>
            <w:r w:rsidRPr="005372E0">
              <w:rPr>
                <w:rStyle w:val="BoldandItalics"/>
              </w:rPr>
              <w:t xml:space="preserve"> bold italics</w:t>
            </w:r>
            <w:r w:rsidRPr="005372E0">
              <w:t xml:space="preserve"> in the Performance Criteria is explained here.</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BoldandItalics"/>
              </w:rPr>
              <w:t>Arrangements for, role and involvement</w:t>
            </w:r>
            <w:r w:rsidRPr="005372E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Bullet2"/>
            </w:pPr>
            <w:r w:rsidRPr="005372E0">
              <w:t xml:space="preserve">confirmation of time, date and </w:t>
            </w:r>
            <w:r w:rsidRPr="005372E0">
              <w:t>location of proceedings</w:t>
            </w:r>
          </w:p>
          <w:p w:rsidR="00000000" w:rsidRPr="005372E0" w:rsidP="005372E0">
            <w:pPr>
              <w:pStyle w:val="ListBullet2"/>
            </w:pPr>
            <w:r w:rsidRPr="005372E0">
              <w:t>confirmation of evidence required to be presented</w:t>
            </w:r>
          </w:p>
          <w:p w:rsidR="00000000" w:rsidP="005372E0">
            <w:pPr>
              <w:pStyle w:val="ListBullet2"/>
              <w:rPr>
                <w:lang w:val="en-NZ"/>
              </w:rPr>
            </w:pPr>
            <w:r w:rsidRPr="005372E0">
              <w:t>working with/briefing legal counsel</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BoldandItalics"/>
              </w:rPr>
              <w:t xml:space="preserve">Proceedings </w:t>
            </w:r>
            <w:r w:rsidRPr="005372E0">
              <w:t>may include:</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Bullet2"/>
            </w:pPr>
            <w:r w:rsidRPr="005372E0">
              <w:t>criminal, coronial and civil courts</w:t>
            </w:r>
          </w:p>
          <w:p w:rsidR="00000000" w:rsidRPr="005372E0" w:rsidP="005372E0">
            <w:pPr>
              <w:pStyle w:val="ListBullet2"/>
            </w:pPr>
            <w:r w:rsidRPr="005372E0">
              <w:t>defence tribunals</w:t>
            </w:r>
          </w:p>
          <w:p w:rsidR="00000000" w:rsidRPr="005372E0" w:rsidP="005372E0">
            <w:pPr>
              <w:pStyle w:val="ListBullet2"/>
            </w:pPr>
            <w:r w:rsidRPr="005372E0">
              <w:t>industrial relations commissions</w:t>
            </w:r>
          </w:p>
          <w:p w:rsidR="00000000" w:rsidRPr="005372E0" w:rsidP="005372E0">
            <w:pPr>
              <w:pStyle w:val="ListBullet2"/>
            </w:pPr>
            <w:r w:rsidRPr="005372E0">
              <w:t>State industrial tribunals</w:t>
            </w:r>
          </w:p>
          <w:p w:rsidR="00000000" w:rsidRPr="005372E0" w:rsidP="005372E0">
            <w:pPr>
              <w:pStyle w:val="ListBullet2"/>
            </w:pPr>
            <w:r w:rsidRPr="005372E0">
              <w:t>workers compensation tribunals</w:t>
            </w:r>
          </w:p>
          <w:p w:rsidR="00000000" w:rsidRPr="005372E0" w:rsidP="005372E0">
            <w:pPr>
              <w:pStyle w:val="ListBullet2"/>
            </w:pPr>
            <w:r w:rsidRPr="005372E0">
              <w:t>human rights commissions</w:t>
            </w:r>
          </w:p>
          <w:p w:rsidR="00000000" w:rsidRPr="005372E0" w:rsidP="005372E0">
            <w:pPr>
              <w:pStyle w:val="ListBullet2"/>
            </w:pPr>
            <w:r w:rsidRPr="005372E0">
              <w:t>equal opportunity commissions</w:t>
            </w:r>
          </w:p>
          <w:p w:rsidR="00000000" w:rsidRPr="005372E0" w:rsidP="005372E0">
            <w:pPr>
              <w:pStyle w:val="ListBullet2"/>
            </w:pPr>
            <w:r w:rsidRPr="005372E0">
              <w:t>land and environment courts</w:t>
            </w:r>
          </w:p>
          <w:p w:rsidR="00000000" w:rsidRPr="005372E0" w:rsidP="005372E0">
            <w:pPr>
              <w:pStyle w:val="ListBullet2"/>
            </w:pPr>
            <w:r w:rsidRPr="005372E0">
              <w:t>royal commissions</w:t>
            </w:r>
          </w:p>
          <w:p w:rsidR="00000000" w:rsidRPr="005372E0" w:rsidP="005372E0">
            <w:pPr>
              <w:pStyle w:val="ListBullet2"/>
            </w:pPr>
            <w:r w:rsidRPr="005372E0">
              <w:t>disciplinary hearings</w:t>
            </w:r>
          </w:p>
          <w:p w:rsidR="00000000" w:rsidRPr="005372E0" w:rsidP="005372E0">
            <w:pPr>
              <w:pStyle w:val="ListBullet2"/>
            </w:pPr>
            <w:r w:rsidRPr="005372E0">
              <w:t>administrative reviews</w:t>
            </w:r>
          </w:p>
          <w:p w:rsidR="00000000" w:rsidP="005372E0">
            <w:pPr>
              <w:pStyle w:val="ListBullet2"/>
              <w:rPr>
                <w:lang w:val="en-NZ"/>
              </w:rPr>
            </w:pPr>
            <w:r w:rsidRPr="005372E0">
              <w:t>Parliamentary hearings</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BoldandItalics"/>
              </w:rPr>
              <w:t>Documentation and exhibits</w:t>
            </w:r>
            <w:r w:rsidRPr="005372E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Bullet2"/>
            </w:pPr>
            <w:r w:rsidRPr="005372E0">
              <w:t>reports</w:t>
            </w:r>
          </w:p>
          <w:p w:rsidR="00000000" w:rsidRPr="005372E0" w:rsidP="005372E0">
            <w:pPr>
              <w:pStyle w:val="ListBullet2"/>
            </w:pPr>
            <w:r w:rsidRPr="005372E0">
              <w:t>photographs</w:t>
            </w:r>
          </w:p>
          <w:p w:rsidR="00000000" w:rsidRPr="005372E0" w:rsidP="005372E0">
            <w:pPr>
              <w:pStyle w:val="ListBullet2"/>
            </w:pPr>
            <w:r w:rsidRPr="005372E0">
              <w:t>items of evidence</w:t>
            </w:r>
          </w:p>
          <w:p w:rsidR="00000000" w:rsidRPr="005372E0" w:rsidP="005372E0">
            <w:pPr>
              <w:pStyle w:val="ListBullet2"/>
            </w:pPr>
            <w:r w:rsidRPr="005372E0">
              <w:t>media footage</w:t>
            </w:r>
          </w:p>
          <w:p w:rsidR="00000000" w:rsidRPr="005372E0" w:rsidP="005372E0">
            <w:pPr>
              <w:pStyle w:val="ListBullet2"/>
            </w:pPr>
            <w:r w:rsidRPr="005372E0">
              <w:t>reports of incidents</w:t>
            </w:r>
          </w:p>
          <w:p w:rsidR="00000000" w:rsidRPr="005372E0" w:rsidP="005372E0">
            <w:pPr>
              <w:pStyle w:val="ListBullet2"/>
            </w:pPr>
            <w:r w:rsidRPr="005372E0">
              <w:t>files, correspondence, meeting notes</w:t>
            </w:r>
          </w:p>
          <w:p w:rsidR="00000000" w:rsidP="005372E0">
            <w:pPr>
              <w:pStyle w:val="ListBullet2"/>
              <w:rPr>
                <w:lang w:val="en-NZ"/>
              </w:rPr>
            </w:pPr>
            <w:r w:rsidRPr="005372E0">
              <w:t>radio/telephone record logs</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BoldandItalics"/>
              </w:rPr>
              <w:t>Legislation, policy and procedures</w:t>
            </w:r>
            <w:r w:rsidRPr="005372E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Bullet2"/>
            </w:pPr>
            <w:r w:rsidRPr="005372E0">
              <w:t>legislation relevant to proceedings</w:t>
            </w:r>
          </w:p>
          <w:p w:rsidR="00000000" w:rsidRPr="005372E0" w:rsidP="005372E0">
            <w:pPr>
              <w:pStyle w:val="ListBullet2"/>
            </w:pPr>
            <w:r w:rsidRPr="005372E0">
              <w:t>legislation relevant to the organisation</w:t>
            </w:r>
          </w:p>
          <w:p w:rsidR="00000000" w:rsidRPr="005372E0" w:rsidP="005372E0">
            <w:pPr>
              <w:pStyle w:val="ListBullet2"/>
            </w:pPr>
            <w:r w:rsidRPr="005372E0">
              <w:t>operational performance standards</w:t>
            </w:r>
          </w:p>
          <w:p w:rsidR="00000000" w:rsidRPr="005372E0" w:rsidP="005372E0">
            <w:pPr>
              <w:pStyle w:val="ListBullet2"/>
            </w:pPr>
            <w:r w:rsidRPr="005372E0">
              <w:t>organisational personnel practices and guidelines</w:t>
            </w:r>
          </w:p>
          <w:p w:rsidR="00000000" w:rsidP="005372E0">
            <w:pPr>
              <w:pStyle w:val="ListBullet2"/>
              <w:rPr>
                <w:lang w:val="en-NZ"/>
              </w:rPr>
            </w:pPr>
            <w:r w:rsidRPr="005372E0">
              <w:t>organisational quality standards</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BoldandItalics"/>
              </w:rPr>
              <w:t xml:space="preserve">Witnesses </w:t>
            </w:r>
            <w:r w:rsidRPr="005372E0">
              <w:t>may include:</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Bullet2"/>
            </w:pPr>
            <w:r w:rsidRPr="005372E0">
              <w:t>those directly involved</w:t>
            </w:r>
          </w:p>
          <w:p w:rsidR="00000000" w:rsidRPr="005372E0" w:rsidP="005372E0">
            <w:pPr>
              <w:pStyle w:val="ListBullet2"/>
            </w:pPr>
            <w:r w:rsidRPr="005372E0">
              <w:t>bystanders</w:t>
            </w:r>
          </w:p>
          <w:p w:rsidR="00000000" w:rsidRPr="005372E0" w:rsidP="005372E0">
            <w:pPr>
              <w:pStyle w:val="ListBullet2"/>
            </w:pPr>
            <w:r w:rsidRPr="005372E0">
              <w:t>experts</w:t>
            </w:r>
          </w:p>
          <w:p w:rsidR="00000000" w:rsidRPr="005372E0" w:rsidP="005372E0">
            <w:pPr>
              <w:pStyle w:val="ListBullet2"/>
            </w:pPr>
            <w:r w:rsidRPr="005372E0">
              <w:t>organisational personnel</w:t>
            </w:r>
          </w:p>
          <w:p w:rsidR="00000000" w:rsidRPr="005372E0" w:rsidP="005372E0">
            <w:pPr>
              <w:pStyle w:val="ListBullet2"/>
            </w:pPr>
            <w:r w:rsidRPr="005372E0">
              <w:t>distressed or unwilling witnesses</w:t>
            </w:r>
          </w:p>
          <w:p w:rsidR="00000000" w:rsidP="005372E0">
            <w:pPr>
              <w:pStyle w:val="ListBullet2"/>
              <w:rPr>
                <w:lang w:val="en-NZ"/>
              </w:rPr>
            </w:pPr>
            <w:r w:rsidRPr="005372E0">
              <w:t>complainant</w:t>
            </w:r>
            <w:r w:rsidRPr="005372E0">
              <w:t>s</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BoldandItalics"/>
              </w:rPr>
              <w:t xml:space="preserve">Protocols </w:t>
            </w:r>
            <w:r w:rsidRPr="005372E0">
              <w:t>may include:</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Bullet2"/>
            </w:pPr>
            <w:r w:rsidRPr="005372E0">
              <w:t>rules of court</w:t>
            </w:r>
          </w:p>
          <w:p w:rsidR="00000000" w:rsidRPr="005372E0" w:rsidP="005372E0">
            <w:pPr>
              <w:pStyle w:val="ListBullet2"/>
            </w:pPr>
            <w:r w:rsidRPr="005372E0">
              <w:t>correct mode of address for judges, magistrates and other court users, in and out of court</w:t>
            </w:r>
          </w:p>
          <w:p w:rsidR="00000000" w:rsidRPr="005372E0" w:rsidP="005372E0">
            <w:pPr>
              <w:pStyle w:val="ListBullet2"/>
            </w:pPr>
            <w:r w:rsidRPr="005372E0">
              <w:t>procedures for entering and leaving a courtroom</w:t>
            </w:r>
          </w:p>
          <w:p w:rsidR="00000000" w:rsidRPr="005372E0" w:rsidP="005372E0">
            <w:pPr>
              <w:pStyle w:val="ListBullet2"/>
            </w:pPr>
            <w:r w:rsidRPr="005372E0">
              <w:t>complying with security procedures</w:t>
            </w:r>
          </w:p>
          <w:p w:rsidR="00000000" w:rsidRPr="005372E0" w:rsidP="005372E0">
            <w:pPr>
              <w:pStyle w:val="ListBullet2"/>
            </w:pPr>
            <w:r w:rsidRPr="005372E0">
              <w:t>file handling procedures</w:t>
            </w:r>
          </w:p>
          <w:p w:rsidR="00000000" w:rsidP="005372E0">
            <w:pPr>
              <w:pStyle w:val="ListBullet2"/>
              <w:rPr>
                <w:lang w:val="en-NZ"/>
              </w:rPr>
            </w:pPr>
            <w:r w:rsidRPr="005372E0">
              <w:t>procedures for handling exhibits</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BoldandItalics"/>
              </w:rPr>
              <w:t xml:space="preserve">Rules of evidence </w:t>
            </w:r>
            <w:r w:rsidRPr="005372E0">
              <w:t>include:</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Bullet2"/>
            </w:pPr>
            <w:r w:rsidRPr="005372E0">
              <w:t xml:space="preserve">admissibility </w:t>
            </w:r>
          </w:p>
          <w:p w:rsidR="00000000" w:rsidP="005372E0">
            <w:pPr>
              <w:pStyle w:val="ListBullet2"/>
              <w:rPr>
                <w:lang w:val="en-NZ"/>
              </w:rPr>
            </w:pPr>
            <w:r w:rsidRPr="005372E0">
              <w:t>contemporaneousness</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BoldandItalics"/>
              </w:rPr>
              <w:t>Deciding authority</w:t>
            </w:r>
            <w:r w:rsidRPr="005372E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Bullet2"/>
            </w:pPr>
            <w:r w:rsidRPr="005372E0">
              <w:t>magistrate</w:t>
            </w:r>
          </w:p>
          <w:p w:rsidR="00000000" w:rsidP="005372E0">
            <w:pPr>
              <w:pStyle w:val="ListBullet2"/>
              <w:rPr>
                <w:lang w:val="en-NZ"/>
              </w:rPr>
            </w:pPr>
            <w:r w:rsidRPr="005372E0">
              <w:t>judge</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BoldandItalics"/>
              </w:rPr>
              <w:t xml:space="preserve">Evidence </w:t>
            </w:r>
            <w:r w:rsidRPr="005372E0">
              <w:t>may include:</w:t>
            </w:r>
          </w:p>
        </w:tc>
        <w:tc>
          <w:tcPr>
            <w:tcW w:w="6662" w:type="dxa"/>
            <w:tcBorders>
              <w:top w:val="nil"/>
              <w:left w:val="nil"/>
              <w:bottom w:val="nil"/>
              <w:right w:val="nil"/>
            </w:tcBorders>
            <w:tcMar>
              <w:top w:w="0" w:type="dxa"/>
              <w:left w:w="62" w:type="dxa"/>
              <w:bottom w:w="0" w:type="dxa"/>
              <w:right w:w="62" w:type="dxa"/>
            </w:tcMar>
          </w:tcPr>
          <w:p w:rsidR="00000000" w:rsidP="005372E0">
            <w:pPr>
              <w:pStyle w:val="ListBullet2"/>
              <w:rPr>
                <w:lang w:val="en-NZ"/>
              </w:rPr>
            </w:pPr>
            <w:r w:rsidRPr="005372E0">
              <w:t>different aspects in chief, cross-examination and re-examination</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BoldandItalics"/>
              </w:rPr>
              <w:t>Standards for giving evidence</w:t>
            </w:r>
            <w:r w:rsidRPr="005372E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Bullet2"/>
            </w:pPr>
            <w:r w:rsidRPr="005372E0">
              <w:t>voice clarity</w:t>
            </w:r>
          </w:p>
          <w:p w:rsidR="00000000" w:rsidRPr="005372E0" w:rsidP="005372E0">
            <w:pPr>
              <w:pStyle w:val="ListBullet2"/>
            </w:pPr>
            <w:r w:rsidRPr="005372E0">
              <w:t>language</w:t>
            </w:r>
          </w:p>
          <w:p w:rsidR="00000000" w:rsidRPr="005372E0" w:rsidP="005372E0">
            <w:pPr>
              <w:pStyle w:val="ListBullet2"/>
            </w:pPr>
            <w:r w:rsidRPr="005372E0">
              <w:t>impartiality</w:t>
            </w:r>
          </w:p>
          <w:p w:rsidR="00000000" w:rsidRPr="005372E0" w:rsidP="005372E0">
            <w:pPr>
              <w:pStyle w:val="ListBullet2"/>
            </w:pPr>
            <w:r w:rsidRPr="005372E0">
              <w:t>respect for people and offices held</w:t>
            </w:r>
          </w:p>
          <w:p w:rsidR="00000000" w:rsidRPr="005372E0" w:rsidP="005372E0">
            <w:pPr>
              <w:pStyle w:val="ListBullet2"/>
            </w:pPr>
            <w:r w:rsidRPr="005372E0">
              <w:t>standards of dress</w:t>
            </w:r>
          </w:p>
          <w:p w:rsidR="00000000" w:rsidP="005372E0">
            <w:pPr>
              <w:pStyle w:val="ListBullet2"/>
              <w:rPr>
                <w:lang w:val="en-NZ"/>
              </w:rPr>
            </w:pPr>
            <w:r w:rsidRPr="005372E0">
              <w:t>forms of address</w:t>
            </w:r>
          </w:p>
        </w:tc>
      </w:tr>
      <w:tr w:rsidTr="005532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72E0">
            <w:pPr>
              <w:pStyle w:val="BodyText"/>
              <w:rPr>
                <w:lang w:val="en-NZ"/>
              </w:rPr>
            </w:pPr>
            <w:r w:rsidRPr="005372E0">
              <w:rPr>
                <w:rStyle w:val="BoldandItalics"/>
              </w:rPr>
              <w:t>Required action</w:t>
            </w:r>
            <w:r w:rsidRPr="005372E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72E0" w:rsidP="005372E0">
            <w:pPr>
              <w:pStyle w:val="ListBullet2"/>
            </w:pPr>
            <w:r w:rsidRPr="005372E0">
              <w:t>follow-up action with legal authorities</w:t>
            </w:r>
          </w:p>
          <w:p w:rsidR="00000000" w:rsidRPr="005372E0" w:rsidP="005372E0">
            <w:pPr>
              <w:pStyle w:val="ListBullet2"/>
            </w:pPr>
            <w:r w:rsidRPr="005372E0">
              <w:t>re-listing for conciliation conference or arbitration</w:t>
            </w:r>
          </w:p>
          <w:p w:rsidR="00000000" w:rsidRPr="005372E0" w:rsidP="005372E0">
            <w:pPr>
              <w:pStyle w:val="ListBullet2"/>
            </w:pPr>
            <w:r w:rsidRPr="005372E0">
              <w:t>dealing with evidence, which may include disposal</w:t>
            </w:r>
          </w:p>
          <w:p w:rsidR="00000000" w:rsidRPr="005372E0" w:rsidP="005372E0">
            <w:pPr>
              <w:pStyle w:val="ListBullet2"/>
            </w:pPr>
            <w:r w:rsidRPr="005372E0">
              <w:t>preparing agreed orders</w:t>
            </w:r>
          </w:p>
          <w:p w:rsidR="00000000" w:rsidRPr="005372E0" w:rsidP="005372E0">
            <w:pPr>
              <w:pStyle w:val="ListBullet2"/>
            </w:pPr>
            <w:r w:rsidRPr="005372E0">
              <w:t>updating files</w:t>
            </w:r>
          </w:p>
          <w:p w:rsidR="00000000" w:rsidRPr="005372E0" w:rsidP="005372E0">
            <w:pPr>
              <w:pStyle w:val="ListBullet2"/>
            </w:pPr>
            <w:r w:rsidRPr="005372E0">
              <w:t>closing files</w:t>
            </w:r>
          </w:p>
        </w:tc>
      </w:tr>
    </w:tbl>
    <w:p w:rsidR="00553262" w:rsidP="005372E0">
      <w:pPr>
        <w:pStyle w:val="BodyText"/>
      </w:pPr>
    </w:p>
    <w:p w:rsidR="00553262" w:rsidP="005372E0">
      <w:pPr>
        <w:pStyle w:val="BodyText"/>
      </w:pPr>
    </w:p>
    <w:p w:rsidR="00000000" w:rsidRPr="005372E0" w:rsidP="005372E0">
      <w:pPr>
        <w:pStyle w:val="Heading1"/>
      </w:pPr>
      <w:bookmarkStart w:id="12" w:name="O_498280"/>
      <w:bookmarkEnd w:id="12"/>
      <w:r w:rsidRPr="005372E0">
        <w:t>Unit Sector(s)</w:t>
      </w:r>
    </w:p>
    <w:p w:rsidR="00000000" w:rsidRPr="005372E0" w:rsidP="005372E0">
      <w:pPr>
        <w:pStyle w:val="BodyText"/>
      </w:pPr>
      <w:r w:rsidRPr="005372E0">
        <w:t>Not applicable.</w:t>
      </w:r>
    </w:p>
    <w:p w:rsidR="00000000" w:rsidRPr="005372E0" w:rsidP="005372E0">
      <w:pPr>
        <w:pStyle w:val="AllowPageBreak"/>
      </w:pPr>
    </w:p>
    <w:p w:rsidR="00000000" w:rsidRPr="005372E0" w:rsidP="005372E0">
      <w:pPr>
        <w:pStyle w:val="Heading1"/>
      </w:pPr>
      <w:bookmarkStart w:id="13" w:name="O_498292"/>
      <w:bookmarkEnd w:id="13"/>
      <w:r w:rsidRPr="005372E0">
        <w:t>Competency field</w:t>
      </w:r>
    </w:p>
    <w:p w:rsidR="00000000" w:rsidRPr="005372E0" w:rsidP="005372E0">
      <w:pPr>
        <w:pStyle w:val="BodyText"/>
      </w:pPr>
      <w:r w:rsidRPr="005372E0">
        <w:t>Regulatory.</w:t>
      </w:r>
    </w:p>
    <w:p w:rsidR="00000000" w:rsidRPr="005372E0" w:rsidP="005372E0"/>
    <w:sectPr w:rsidSect="005372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262" w:rsidP="005532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262" w:rsidP="005372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3262" w:rsidP="005372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53262" w:rsidP="005372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E0" w:rsidRPr="00553262" w:rsidP="005532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262" w:rsidRPr="002D2AF8" w:rsidP="005372E0">
    <w:pPr>
      <w:pStyle w:val="Header"/>
      <w:framePr w:wrap="around"/>
    </w:pPr>
    <w:r>
      <w:fldChar w:fldCharType="begin"/>
    </w:r>
    <w:r>
      <w:instrText xml:space="preserve"> TITLE   \* MERGEFORMAT </w:instrText>
    </w:r>
    <w:r>
      <w:fldChar w:fldCharType="separate"/>
    </w:r>
    <w:r>
      <w:t>PSPREG410B Give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53262" w:rsidP="005372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86C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85473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2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2E0"/>
    <w:pPr>
      <w:spacing w:before="360" w:after="60"/>
      <w:outlineLvl w:val="0"/>
    </w:pPr>
    <w:rPr>
      <w:sz w:val="32"/>
    </w:rPr>
  </w:style>
  <w:style w:type="paragraph" w:styleId="Heading2">
    <w:name w:val="heading 2"/>
    <w:basedOn w:val="HeadingBase"/>
    <w:next w:val="BodyText"/>
    <w:link w:val="Heading2Char"/>
    <w:qFormat/>
    <w:rsid w:val="005372E0"/>
    <w:pPr>
      <w:keepLines/>
      <w:spacing w:before="240" w:after="120"/>
      <w:outlineLvl w:val="1"/>
    </w:pPr>
    <w:rPr>
      <w:sz w:val="28"/>
      <w:szCs w:val="40"/>
    </w:rPr>
  </w:style>
  <w:style w:type="paragraph" w:styleId="Heading3">
    <w:name w:val="heading 3"/>
    <w:basedOn w:val="HeadingBase"/>
    <w:next w:val="BodyText"/>
    <w:link w:val="Heading3Char"/>
    <w:qFormat/>
    <w:rsid w:val="005372E0"/>
    <w:pPr>
      <w:spacing w:before="180" w:after="120"/>
      <w:outlineLvl w:val="2"/>
    </w:pPr>
    <w:rPr>
      <w:spacing w:val="-10"/>
      <w:kern w:val="32"/>
    </w:rPr>
  </w:style>
  <w:style w:type="paragraph" w:styleId="Heading4">
    <w:name w:val="heading 4"/>
    <w:basedOn w:val="HeadingBase"/>
    <w:next w:val="BodyText"/>
    <w:link w:val="Heading4Char"/>
    <w:qFormat/>
    <w:rsid w:val="005372E0"/>
    <w:pPr>
      <w:spacing w:before="160" w:after="120"/>
      <w:outlineLvl w:val="3"/>
    </w:pPr>
    <w:rPr>
      <w:sz w:val="22"/>
    </w:rPr>
  </w:style>
  <w:style w:type="paragraph" w:styleId="Heading5">
    <w:name w:val="heading 5"/>
    <w:basedOn w:val="HeadingBase"/>
    <w:next w:val="Normal"/>
    <w:link w:val="Heading5Char"/>
    <w:qFormat/>
    <w:rsid w:val="005372E0"/>
    <w:pPr>
      <w:spacing w:before="80"/>
      <w:outlineLvl w:val="4"/>
    </w:pPr>
    <w:rPr>
      <w:color w:val="918585"/>
      <w:sz w:val="20"/>
    </w:rPr>
  </w:style>
  <w:style w:type="paragraph" w:styleId="Heading6">
    <w:name w:val="heading 6"/>
    <w:basedOn w:val="HeadingBase"/>
    <w:next w:val="Normal"/>
    <w:link w:val="Heading6Char"/>
    <w:qFormat/>
    <w:rsid w:val="005372E0"/>
    <w:pPr>
      <w:spacing w:before="60"/>
      <w:outlineLvl w:val="5"/>
    </w:pPr>
    <w:rPr>
      <w:color w:val="918585"/>
      <w:sz w:val="20"/>
    </w:rPr>
  </w:style>
  <w:style w:type="paragraph" w:styleId="Heading7">
    <w:name w:val="heading 7"/>
    <w:basedOn w:val="Normal"/>
    <w:next w:val="Normal"/>
    <w:link w:val="Heading7Char"/>
    <w:qFormat/>
    <w:rsid w:val="005372E0"/>
    <w:pPr>
      <w:ind w:left="720"/>
      <w:outlineLvl w:val="6"/>
    </w:pPr>
    <w:rPr>
      <w:i/>
    </w:rPr>
  </w:style>
  <w:style w:type="paragraph" w:styleId="Heading8">
    <w:name w:val="heading 8"/>
    <w:basedOn w:val="Normal"/>
    <w:next w:val="Normal"/>
    <w:link w:val="Heading8Char"/>
    <w:qFormat/>
    <w:rsid w:val="005372E0"/>
    <w:pPr>
      <w:ind w:left="720"/>
      <w:outlineLvl w:val="7"/>
    </w:pPr>
    <w:rPr>
      <w:i/>
    </w:rPr>
  </w:style>
  <w:style w:type="paragraph" w:styleId="Heading9">
    <w:name w:val="heading 9"/>
    <w:basedOn w:val="Normal"/>
    <w:next w:val="Normal"/>
    <w:link w:val="Heading9Char"/>
    <w:qFormat/>
    <w:rsid w:val="005372E0"/>
    <w:pPr>
      <w:ind w:left="720"/>
      <w:outlineLvl w:val="8"/>
    </w:pPr>
    <w:rPr>
      <w:i/>
    </w:rPr>
  </w:style>
  <w:style w:type="character" w:default="1" w:styleId="DefaultParagraphFont">
    <w:name w:val="Default Paragraph Font"/>
    <w:uiPriority w:val="1"/>
    <w:unhideWhenUsed/>
    <w:rsid w:val="005372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2E0"/>
  </w:style>
  <w:style w:type="character" w:customStyle="1" w:styleId="Heading1Char">
    <w:name w:val="Heading 1 Char"/>
    <w:basedOn w:val="DefaultParagraphFont"/>
    <w:link w:val="Heading1"/>
    <w:rsid w:val="005372E0"/>
    <w:rPr>
      <w:rFonts w:ascii="Times New Roman" w:eastAsia="Times New Roman" w:hAnsi="Times New Roman" w:cs="Times New Roman"/>
      <w:b/>
      <w:sz w:val="32"/>
      <w:szCs w:val="20"/>
      <w:lang w:eastAsia="en-US"/>
    </w:rPr>
  </w:style>
  <w:style w:type="paragraph" w:styleId="BodyText">
    <w:name w:val="Body Text"/>
    <w:basedOn w:val="Normal"/>
    <w:link w:val="BodyTextChar"/>
    <w:rsid w:val="005372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2E0"/>
    <w:rPr>
      <w:rFonts w:ascii="Times New Roman" w:eastAsia="Times New Roman" w:hAnsi="Times New Roman" w:cs="Times New Roman"/>
      <w:sz w:val="24"/>
      <w:lang w:eastAsia="en-US"/>
    </w:rPr>
  </w:style>
  <w:style w:type="paragraph" w:styleId="Footer">
    <w:name w:val="footer"/>
    <w:basedOn w:val="Normal"/>
    <w:link w:val="FooterChar"/>
    <w:rsid w:val="005372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2E0"/>
    <w:rPr>
      <w:rFonts w:ascii="Times New Roman" w:eastAsia="Times New Roman" w:hAnsi="Times New Roman" w:cs="Times New Roman"/>
      <w:sz w:val="16"/>
      <w:lang w:eastAsia="en-US"/>
    </w:rPr>
  </w:style>
  <w:style w:type="paragraph" w:styleId="List">
    <w:name w:val="List"/>
    <w:basedOn w:val="BodyText"/>
    <w:next w:val="BodyText"/>
    <w:rsid w:val="005372E0"/>
    <w:pPr>
      <w:tabs>
        <w:tab w:val="left" w:pos="340"/>
      </w:tabs>
      <w:spacing w:before="60" w:after="60"/>
      <w:ind w:left="340" w:hanging="340"/>
    </w:pPr>
  </w:style>
  <w:style w:type="character" w:customStyle="1" w:styleId="SpecialBold">
    <w:name w:val="Special Bold"/>
    <w:basedOn w:val="DefaultParagraphFont"/>
    <w:rsid w:val="005372E0"/>
    <w:rPr>
      <w:b/>
      <w:spacing w:val="0"/>
    </w:rPr>
  </w:style>
  <w:style w:type="paragraph" w:styleId="ListBullet2">
    <w:name w:val="List Bullet 2"/>
    <w:basedOn w:val="List2"/>
    <w:rsid w:val="005372E0"/>
    <w:pPr>
      <w:numPr>
        <w:numId w:val="14"/>
      </w:numPr>
      <w:tabs>
        <w:tab w:val="clear" w:pos="680"/>
      </w:tabs>
    </w:pPr>
  </w:style>
  <w:style w:type="character" w:styleId="Emphasis">
    <w:name w:val="Emphasis"/>
    <w:basedOn w:val="DefaultParagraphFont"/>
    <w:qFormat/>
    <w:rsid w:val="005372E0"/>
    <w:rPr>
      <w:i/>
    </w:rPr>
  </w:style>
  <w:style w:type="paragraph" w:customStyle="1" w:styleId="SuperHeading">
    <w:name w:val="SuperHeading"/>
    <w:basedOn w:val="Normal"/>
    <w:rsid w:val="005372E0"/>
    <w:pPr>
      <w:spacing w:before="240" w:after="120"/>
      <w:outlineLvl w:val="0"/>
    </w:pPr>
    <w:rPr>
      <w:rFonts w:ascii="Times New Roman" w:hAnsi="Times New Roman"/>
      <w:b/>
      <w:sz w:val="28"/>
    </w:rPr>
  </w:style>
  <w:style w:type="paragraph" w:customStyle="1" w:styleId="AllowPageBreak">
    <w:name w:val="AllowPageBreak"/>
    <w:rsid w:val="005372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72E0"/>
    <w:pPr>
      <w:numPr>
        <w:numId w:val="2"/>
      </w:numPr>
      <w:tabs>
        <w:tab w:val="clear" w:pos="1021"/>
      </w:tabs>
      <w:ind w:left="1037" w:hanging="357"/>
    </w:pPr>
  </w:style>
  <w:style w:type="character" w:customStyle="1" w:styleId="Underline">
    <w:name w:val="Underline"/>
    <w:basedOn w:val="DefaultParagraphFont"/>
    <w:qFormat/>
    <w:rsid w:val="005372E0"/>
    <w:rPr>
      <w:u w:val="single"/>
    </w:rPr>
  </w:style>
  <w:style w:type="character" w:customStyle="1" w:styleId="BoldandItalics">
    <w:name w:val="Bold and Italics"/>
    <w:qFormat/>
    <w:rsid w:val="005372E0"/>
    <w:rPr>
      <w:b/>
      <w:i/>
      <w:u w:val="none"/>
    </w:rPr>
  </w:style>
  <w:style w:type="character" w:customStyle="1" w:styleId="Heading2Char">
    <w:name w:val="Heading 2 Char"/>
    <w:basedOn w:val="DefaultParagraphFont"/>
    <w:link w:val="Heading2"/>
    <w:rsid w:val="005372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2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2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2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2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2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2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2E0"/>
    <w:rPr>
      <w:rFonts w:ascii="Courier New" w:eastAsia="Times New Roman" w:hAnsi="Courier New" w:cs="Times New Roman"/>
      <w:i/>
      <w:szCs w:val="20"/>
      <w:lang w:eastAsia="en-US"/>
    </w:rPr>
  </w:style>
  <w:style w:type="paragraph" w:customStyle="1" w:styleId="HeadingBase">
    <w:name w:val="Heading Base"/>
    <w:rsid w:val="005372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2E0"/>
    <w:pPr>
      <w:tabs>
        <w:tab w:val="right" w:leader="dot" w:pos="9072"/>
      </w:tabs>
      <w:ind w:left="567"/>
    </w:pPr>
    <w:rPr>
      <w:szCs w:val="22"/>
    </w:rPr>
  </w:style>
  <w:style w:type="paragraph" w:customStyle="1" w:styleId="TOCBase">
    <w:name w:val="TOC Base"/>
    <w:rsid w:val="005372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2E0"/>
    <w:pPr>
      <w:tabs>
        <w:tab w:val="right" w:leader="dot" w:pos="9072"/>
      </w:tabs>
      <w:spacing w:before="40" w:after="40"/>
      <w:ind w:left="284"/>
    </w:pPr>
    <w:rPr>
      <w:rFonts w:ascii="Times New Roman" w:hAnsi="Times New Roman"/>
    </w:rPr>
  </w:style>
  <w:style w:type="paragraph" w:styleId="TOC1">
    <w:name w:val="toc 1"/>
    <w:basedOn w:val="TOCBase"/>
    <w:next w:val="Normal"/>
    <w:rsid w:val="005372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2E0"/>
    <w:pPr>
      <w:spacing w:before="5040"/>
      <w:jc w:val="center"/>
    </w:pPr>
    <w:rPr>
      <w:sz w:val="48"/>
      <w:szCs w:val="72"/>
      <w:lang w:val="en-US"/>
    </w:rPr>
  </w:style>
  <w:style w:type="character" w:customStyle="1" w:styleId="TitleChar">
    <w:name w:val="Title Char"/>
    <w:basedOn w:val="DefaultParagraphFont"/>
    <w:link w:val="Title"/>
    <w:rsid w:val="005372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2E0"/>
    <w:pPr>
      <w:tabs>
        <w:tab w:val="left" w:pos="3600"/>
        <w:tab w:val="left" w:pos="3958"/>
      </w:tabs>
    </w:pPr>
  </w:style>
  <w:style w:type="paragraph" w:styleId="ListBullet">
    <w:name w:val="List Bullet"/>
    <w:basedOn w:val="List"/>
    <w:rsid w:val="005372E0"/>
    <w:pPr>
      <w:numPr>
        <w:numId w:val="13"/>
      </w:numPr>
      <w:tabs>
        <w:tab w:val="clear" w:pos="340"/>
      </w:tabs>
      <w:spacing w:before="40" w:after="40"/>
    </w:pPr>
  </w:style>
  <w:style w:type="paragraph" w:customStyle="1" w:styleId="Note">
    <w:name w:val="Note"/>
    <w:basedOn w:val="BodyText"/>
    <w:rsid w:val="005372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2E0"/>
    <w:pPr>
      <w:framePr w:wrap="auto" w:hAnchor="text" w:y="6049"/>
    </w:pPr>
    <w:rPr>
      <w:color w:val="000000"/>
      <w:sz w:val="40"/>
    </w:rPr>
  </w:style>
  <w:style w:type="paragraph" w:customStyle="1" w:styleId="TOCTitle">
    <w:name w:val="TOCTitle"/>
    <w:basedOn w:val="Heading1"/>
    <w:rsid w:val="005372E0"/>
    <w:pPr>
      <w:spacing w:after="240"/>
      <w:jc w:val="center"/>
      <w:outlineLvl w:val="9"/>
    </w:pPr>
    <w:rPr>
      <w:caps/>
    </w:rPr>
  </w:style>
  <w:style w:type="paragraph" w:customStyle="1" w:styleId="Version">
    <w:name w:val="Version"/>
    <w:rsid w:val="005372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2E0"/>
    <w:pPr>
      <w:keepNext w:val="0"/>
      <w:tabs>
        <w:tab w:val="right" w:pos="4176"/>
      </w:tabs>
      <w:ind w:left="198" w:hanging="198"/>
    </w:pPr>
    <w:rPr>
      <w:rFonts w:ascii="Garamond" w:hAnsi="Garamond"/>
    </w:rPr>
  </w:style>
  <w:style w:type="paragraph" w:styleId="IndexHeading">
    <w:name w:val="index heading"/>
    <w:basedOn w:val="Normal"/>
    <w:next w:val="Index1"/>
    <w:semiHidden/>
    <w:rsid w:val="005372E0"/>
    <w:pPr>
      <w:spacing w:before="120" w:after="120"/>
    </w:pPr>
    <w:rPr>
      <w:rFonts w:ascii="Arial" w:hAnsi="Arial"/>
      <w:b/>
      <w:color w:val="918585"/>
      <w:sz w:val="24"/>
    </w:rPr>
  </w:style>
  <w:style w:type="paragraph" w:styleId="Header">
    <w:name w:val="header"/>
    <w:basedOn w:val="Normal"/>
    <w:link w:val="HeaderChar"/>
    <w:rsid w:val="005372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2E0"/>
    <w:rPr>
      <w:rFonts w:ascii="Times New Roman" w:eastAsia="Times New Roman" w:hAnsi="Times New Roman" w:cs="Times New Roman"/>
      <w:sz w:val="16"/>
      <w:szCs w:val="20"/>
      <w:lang w:val="en-GB" w:eastAsia="en-US"/>
    </w:rPr>
  </w:style>
  <w:style w:type="paragraph" w:customStyle="1" w:styleId="Chapter">
    <w:name w:val="Chapter"/>
    <w:basedOn w:val="Normal"/>
    <w:rsid w:val="005372E0"/>
    <w:pPr>
      <w:spacing w:before="240"/>
    </w:pPr>
    <w:rPr>
      <w:rFonts w:ascii="Times New Roman" w:hAnsi="Times New Roman"/>
      <w:smallCaps/>
      <w:spacing w:val="80"/>
      <w:sz w:val="28"/>
    </w:rPr>
  </w:style>
  <w:style w:type="paragraph" w:customStyle="1" w:styleId="InChapter">
    <w:name w:val="InChapter"/>
    <w:basedOn w:val="Heading3"/>
    <w:rsid w:val="005372E0"/>
    <w:pPr>
      <w:spacing w:after="240"/>
      <w:outlineLvl w:val="9"/>
    </w:pPr>
    <w:rPr>
      <w:noProof/>
    </w:rPr>
  </w:style>
  <w:style w:type="paragraph" w:styleId="Index2">
    <w:name w:val="index 2"/>
    <w:basedOn w:val="Normal"/>
    <w:next w:val="Normal"/>
    <w:semiHidden/>
    <w:rsid w:val="005372E0"/>
    <w:pPr>
      <w:tabs>
        <w:tab w:val="right" w:pos="4176"/>
      </w:tabs>
      <w:ind w:left="568" w:hanging="284"/>
    </w:pPr>
    <w:rPr>
      <w:rFonts w:ascii="Garamond" w:hAnsi="Garamond"/>
    </w:rPr>
  </w:style>
  <w:style w:type="paragraph" w:customStyle="1" w:styleId="Byline">
    <w:name w:val="Byline"/>
    <w:rsid w:val="005372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2E0"/>
    <w:pPr>
      <w:tabs>
        <w:tab w:val="clear" w:pos="3600"/>
        <w:tab w:val="clear" w:pos="3958"/>
      </w:tabs>
      <w:jc w:val="right"/>
    </w:pPr>
  </w:style>
  <w:style w:type="paragraph" w:styleId="Caption">
    <w:name w:val="caption"/>
    <w:basedOn w:val="BodyText"/>
    <w:next w:val="Normal"/>
    <w:qFormat/>
    <w:rsid w:val="005372E0"/>
    <w:pPr>
      <w:framePr w:w="2268" w:hSpace="181" w:vSpace="181" w:wrap="around" w:vAnchor="text" w:hAnchor="page" w:x="1135" w:y="285" w:anchorLock="1"/>
    </w:pPr>
    <w:rPr>
      <w:i/>
    </w:rPr>
  </w:style>
  <w:style w:type="paragraph" w:customStyle="1" w:styleId="MiniTOCTitle">
    <w:name w:val="MiniTOCTitle"/>
    <w:basedOn w:val="Heading4"/>
    <w:rsid w:val="005372E0"/>
    <w:pPr>
      <w:spacing w:before="240"/>
      <w:outlineLvl w:val="9"/>
    </w:pPr>
    <w:rPr>
      <w:noProof/>
      <w:sz w:val="24"/>
    </w:rPr>
  </w:style>
  <w:style w:type="paragraph" w:customStyle="1" w:styleId="MiniTOCItem">
    <w:name w:val="MiniTOCItem"/>
    <w:basedOn w:val="ListBullet"/>
    <w:rsid w:val="005372E0"/>
    <w:pPr>
      <w:numPr>
        <w:numId w:val="0"/>
      </w:numPr>
      <w:tabs>
        <w:tab w:val="right" w:leader="dot" w:pos="6521"/>
      </w:tabs>
      <w:spacing w:before="0" w:after="0"/>
    </w:pPr>
  </w:style>
  <w:style w:type="paragraph" w:customStyle="1" w:styleId="TOFTitle">
    <w:name w:val="TOFTitle"/>
    <w:basedOn w:val="TOCTitle"/>
    <w:rsid w:val="005372E0"/>
  </w:style>
  <w:style w:type="paragraph" w:styleId="TableofFigures">
    <w:name w:val="table of figures"/>
    <w:basedOn w:val="Normal"/>
    <w:next w:val="Normal"/>
    <w:semiHidden/>
    <w:rsid w:val="005372E0"/>
    <w:pPr>
      <w:tabs>
        <w:tab w:val="right" w:leader="dot" w:pos="9072"/>
      </w:tabs>
      <w:ind w:left="970" w:hanging="403"/>
    </w:pPr>
    <w:rPr>
      <w:rFonts w:ascii="Times New Roman" w:hAnsi="Times New Roman"/>
      <w:b/>
    </w:rPr>
  </w:style>
  <w:style w:type="paragraph" w:styleId="ListNumber">
    <w:name w:val="List Number"/>
    <w:basedOn w:val="List"/>
    <w:rsid w:val="005372E0"/>
    <w:pPr>
      <w:numPr>
        <w:numId w:val="11"/>
      </w:numPr>
    </w:pPr>
  </w:style>
  <w:style w:type="character" w:customStyle="1" w:styleId="WingdingSymbols">
    <w:name w:val="Wingding Symbols"/>
    <w:rsid w:val="005372E0"/>
    <w:rPr>
      <w:rFonts w:ascii="Wingdings" w:hAnsi="Wingdings"/>
    </w:rPr>
  </w:style>
  <w:style w:type="paragraph" w:customStyle="1" w:styleId="TableHeading">
    <w:name w:val="Table Heading"/>
    <w:basedOn w:val="HeadingBase"/>
    <w:rsid w:val="005372E0"/>
    <w:pPr>
      <w:keepLines/>
      <w:pBdr>
        <w:bottom w:val="single" w:sz="6" w:space="1" w:color="918585"/>
      </w:pBdr>
      <w:spacing w:before="240"/>
    </w:pPr>
  </w:style>
  <w:style w:type="character" w:customStyle="1" w:styleId="HotSpot">
    <w:name w:val="HotSpot"/>
    <w:rsid w:val="005372E0"/>
    <w:rPr>
      <w:color w:val="0033CC"/>
      <w:u w:val="none"/>
    </w:rPr>
  </w:style>
  <w:style w:type="paragraph" w:customStyle="1" w:styleId="BodyTextRight">
    <w:name w:val="Body Text Right"/>
    <w:basedOn w:val="BodyText"/>
    <w:rsid w:val="005372E0"/>
    <w:pPr>
      <w:spacing w:before="0" w:after="0"/>
      <w:jc w:val="right"/>
    </w:pPr>
  </w:style>
  <w:style w:type="paragraph" w:styleId="Index3">
    <w:name w:val="index 3"/>
    <w:basedOn w:val="ListNumber2"/>
    <w:next w:val="Normal"/>
    <w:semiHidden/>
    <w:rsid w:val="005372E0"/>
    <w:pPr>
      <w:numPr>
        <w:numId w:val="0"/>
      </w:numPr>
      <w:tabs>
        <w:tab w:val="right" w:leader="dot" w:pos="4176"/>
      </w:tabs>
    </w:pPr>
  </w:style>
  <w:style w:type="paragraph" w:styleId="ListNumber2">
    <w:name w:val="List Number 2"/>
    <w:basedOn w:val="List2"/>
    <w:rsid w:val="005372E0"/>
    <w:pPr>
      <w:numPr>
        <w:numId w:val="10"/>
      </w:numPr>
      <w:tabs>
        <w:tab w:val="clear" w:pos="1060"/>
      </w:tabs>
    </w:pPr>
  </w:style>
  <w:style w:type="paragraph" w:customStyle="1" w:styleId="MarginNote">
    <w:name w:val="Margin Note"/>
    <w:basedOn w:val="BodyText"/>
    <w:rsid w:val="005372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2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2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2E0"/>
    <w:rPr>
      <w:sz w:val="32"/>
    </w:rPr>
  </w:style>
  <w:style w:type="paragraph" w:customStyle="1" w:styleId="HeadingProcedure">
    <w:name w:val="Heading Procedure"/>
    <w:basedOn w:val="HeadingBase"/>
    <w:next w:val="Normal"/>
    <w:rsid w:val="005372E0"/>
    <w:pPr>
      <w:tabs>
        <w:tab w:val="left" w:pos="0"/>
      </w:tabs>
      <w:spacing w:before="120" w:after="60"/>
    </w:pPr>
    <w:rPr>
      <w:i/>
      <w:color w:val="918585"/>
      <w:sz w:val="22"/>
    </w:rPr>
  </w:style>
  <w:style w:type="paragraph" w:customStyle="1" w:styleId="TableBodyText">
    <w:name w:val="Table Body Text"/>
    <w:basedOn w:val="BodyText"/>
    <w:rsid w:val="005372E0"/>
    <w:pPr>
      <w:spacing w:before="60" w:after="60"/>
    </w:pPr>
  </w:style>
  <w:style w:type="paragraph" w:styleId="ListContinue">
    <w:name w:val="List Continue"/>
    <w:basedOn w:val="List"/>
    <w:rsid w:val="005372E0"/>
    <w:pPr>
      <w:ind w:firstLine="0"/>
    </w:pPr>
  </w:style>
  <w:style w:type="paragraph" w:customStyle="1" w:styleId="ListNote">
    <w:name w:val="List Note"/>
    <w:basedOn w:val="List"/>
    <w:rsid w:val="005372E0"/>
    <w:pPr>
      <w:pBdr>
        <w:top w:val="single" w:sz="6" w:space="2" w:color="918585"/>
        <w:bottom w:val="single" w:sz="6" w:space="2" w:color="918585"/>
      </w:pBdr>
      <w:tabs>
        <w:tab w:val="left" w:pos="1021"/>
      </w:tabs>
      <w:ind w:firstLine="0"/>
    </w:pPr>
  </w:style>
  <w:style w:type="paragraph" w:customStyle="1" w:styleId="Warning">
    <w:name w:val="Warning"/>
    <w:basedOn w:val="BodyText"/>
    <w:rsid w:val="005372E0"/>
    <w:pPr>
      <w:shd w:val="clear" w:color="auto" w:fill="D9D9D9"/>
      <w:tabs>
        <w:tab w:val="left" w:pos="992"/>
      </w:tabs>
      <w:ind w:left="119" w:right="119"/>
    </w:pPr>
    <w:rPr>
      <w:sz w:val="20"/>
    </w:rPr>
  </w:style>
  <w:style w:type="paragraph" w:customStyle="1" w:styleId="MarginIcons">
    <w:name w:val="Margin Icons"/>
    <w:basedOn w:val="BodyText"/>
    <w:rsid w:val="005372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2E0"/>
    <w:rPr>
      <w:rFonts w:ascii="Courier New" w:hAnsi="Courier New"/>
    </w:rPr>
  </w:style>
  <w:style w:type="paragraph" w:customStyle="1" w:styleId="NoteBullet">
    <w:name w:val="Note Bullet"/>
    <w:basedOn w:val="Note"/>
    <w:rsid w:val="005372E0"/>
    <w:pPr>
      <w:tabs>
        <w:tab w:val="clear" w:pos="680"/>
      </w:tabs>
      <w:spacing w:before="60" w:after="60"/>
    </w:pPr>
  </w:style>
  <w:style w:type="paragraph" w:customStyle="1" w:styleId="SubHeading2">
    <w:name w:val="SubHeading2"/>
    <w:basedOn w:val="HeadingBase"/>
    <w:rsid w:val="005372E0"/>
    <w:pPr>
      <w:spacing w:before="240" w:after="60"/>
    </w:pPr>
    <w:rPr>
      <w:sz w:val="20"/>
    </w:rPr>
  </w:style>
  <w:style w:type="paragraph" w:customStyle="1" w:styleId="SubHeading1">
    <w:name w:val="SubHeading1"/>
    <w:basedOn w:val="HeadingBase"/>
    <w:rsid w:val="005372E0"/>
    <w:pPr>
      <w:spacing w:before="240" w:after="60"/>
    </w:pPr>
    <w:rPr>
      <w:color w:val="918585"/>
      <w:sz w:val="22"/>
    </w:rPr>
  </w:style>
  <w:style w:type="paragraph" w:customStyle="1" w:styleId="SideHeading">
    <w:name w:val="Side Heading"/>
    <w:basedOn w:val="HeadingBase"/>
    <w:rsid w:val="005372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2E0"/>
    <w:pPr>
      <w:numPr>
        <w:numId w:val="12"/>
      </w:numPr>
    </w:pPr>
  </w:style>
  <w:style w:type="paragraph" w:styleId="PlainText">
    <w:name w:val="Plain Text"/>
    <w:basedOn w:val="Normal"/>
    <w:link w:val="PlainTextChar"/>
    <w:rsid w:val="005372E0"/>
    <w:rPr>
      <w:sz w:val="20"/>
    </w:rPr>
  </w:style>
  <w:style w:type="character" w:customStyle="1" w:styleId="PlainTextChar">
    <w:name w:val="Plain Text Char"/>
    <w:basedOn w:val="DefaultParagraphFont"/>
    <w:link w:val="PlainText"/>
    <w:rsid w:val="005372E0"/>
    <w:rPr>
      <w:rFonts w:ascii="Courier New" w:eastAsia="Times New Roman" w:hAnsi="Courier New" w:cs="Times New Roman"/>
      <w:sz w:val="20"/>
      <w:szCs w:val="20"/>
      <w:lang w:eastAsia="en-US"/>
    </w:rPr>
  </w:style>
  <w:style w:type="character" w:customStyle="1" w:styleId="MenuOption">
    <w:name w:val="Menu Option"/>
    <w:basedOn w:val="DefaultParagraphFont"/>
    <w:rsid w:val="005372E0"/>
    <w:rPr>
      <w:b/>
      <w:smallCaps/>
    </w:rPr>
  </w:style>
  <w:style w:type="paragraph" w:customStyle="1" w:styleId="TableListNumber">
    <w:name w:val="Table List Number"/>
    <w:basedOn w:val="ListNumber"/>
    <w:rsid w:val="005372E0"/>
    <w:pPr>
      <w:numPr>
        <w:numId w:val="0"/>
      </w:numPr>
    </w:pPr>
  </w:style>
  <w:style w:type="paragraph" w:styleId="TOC4">
    <w:name w:val="toc 4"/>
    <w:basedOn w:val="TOCBase"/>
    <w:next w:val="Normal"/>
    <w:semiHidden/>
    <w:rsid w:val="005372E0"/>
    <w:pPr>
      <w:tabs>
        <w:tab w:val="right" w:leader="dot" w:pos="9071"/>
      </w:tabs>
      <w:ind w:left="1701"/>
    </w:pPr>
  </w:style>
  <w:style w:type="paragraph" w:customStyle="1" w:styleId="ListAlpha">
    <w:name w:val="List Alpha"/>
    <w:basedOn w:val="List"/>
    <w:rsid w:val="005372E0"/>
    <w:pPr>
      <w:numPr>
        <w:numId w:val="9"/>
      </w:numPr>
    </w:pPr>
  </w:style>
  <w:style w:type="paragraph" w:customStyle="1" w:styleId="ListAlpha2">
    <w:name w:val="List Alpha 2"/>
    <w:basedOn w:val="List2"/>
    <w:rsid w:val="005372E0"/>
    <w:pPr>
      <w:numPr>
        <w:numId w:val="8"/>
      </w:numPr>
    </w:pPr>
  </w:style>
  <w:style w:type="paragraph" w:styleId="List2">
    <w:name w:val="List 2"/>
    <w:basedOn w:val="BodyText"/>
    <w:rsid w:val="005372E0"/>
    <w:pPr>
      <w:tabs>
        <w:tab w:val="left" w:pos="680"/>
      </w:tabs>
      <w:spacing w:before="60" w:after="60"/>
      <w:ind w:left="680" w:hanging="340"/>
    </w:pPr>
  </w:style>
  <w:style w:type="paragraph" w:styleId="List3">
    <w:name w:val="List 3"/>
    <w:basedOn w:val="BodyText"/>
    <w:rsid w:val="005372E0"/>
    <w:pPr>
      <w:tabs>
        <w:tab w:val="left" w:pos="1021"/>
      </w:tabs>
      <w:spacing w:before="60" w:after="60"/>
      <w:ind w:left="1020" w:hanging="340"/>
    </w:pPr>
  </w:style>
  <w:style w:type="paragraph" w:styleId="List4">
    <w:name w:val="List 4"/>
    <w:basedOn w:val="BodyText"/>
    <w:rsid w:val="005372E0"/>
    <w:pPr>
      <w:tabs>
        <w:tab w:val="left" w:pos="1361"/>
      </w:tabs>
      <w:spacing w:before="60" w:after="60"/>
      <w:ind w:left="1361" w:hanging="340"/>
    </w:pPr>
  </w:style>
  <w:style w:type="paragraph" w:styleId="List5">
    <w:name w:val="List 5"/>
    <w:basedOn w:val="BodyText"/>
    <w:rsid w:val="005372E0"/>
    <w:pPr>
      <w:tabs>
        <w:tab w:val="left" w:pos="1701"/>
      </w:tabs>
      <w:spacing w:before="60" w:after="60"/>
      <w:ind w:left="1701" w:hanging="340"/>
    </w:pPr>
  </w:style>
  <w:style w:type="paragraph" w:styleId="ListBullet4">
    <w:name w:val="List Bullet 4"/>
    <w:basedOn w:val="List4"/>
    <w:rsid w:val="005372E0"/>
    <w:pPr>
      <w:numPr>
        <w:numId w:val="3"/>
      </w:numPr>
    </w:pPr>
  </w:style>
  <w:style w:type="paragraph" w:styleId="ListBullet5">
    <w:name w:val="List Bullet 5"/>
    <w:basedOn w:val="List5"/>
    <w:rsid w:val="005372E0"/>
    <w:pPr>
      <w:numPr>
        <w:numId w:val="4"/>
      </w:numPr>
    </w:pPr>
  </w:style>
  <w:style w:type="paragraph" w:styleId="ListContinue2">
    <w:name w:val="List Continue 2"/>
    <w:basedOn w:val="List2"/>
    <w:rsid w:val="005372E0"/>
    <w:pPr>
      <w:ind w:firstLine="0"/>
    </w:pPr>
  </w:style>
  <w:style w:type="paragraph" w:styleId="ListContinue3">
    <w:name w:val="List Continue 3"/>
    <w:basedOn w:val="List3"/>
    <w:rsid w:val="005372E0"/>
    <w:pPr>
      <w:ind w:left="1021" w:firstLine="0"/>
    </w:pPr>
  </w:style>
  <w:style w:type="paragraph" w:styleId="ListContinue4">
    <w:name w:val="List Continue 4"/>
    <w:basedOn w:val="List4"/>
    <w:rsid w:val="005372E0"/>
    <w:pPr>
      <w:ind w:firstLine="0"/>
    </w:pPr>
  </w:style>
  <w:style w:type="paragraph" w:styleId="ListContinue5">
    <w:name w:val="List Continue 5"/>
    <w:basedOn w:val="List5"/>
    <w:rsid w:val="005372E0"/>
    <w:pPr>
      <w:ind w:firstLine="0"/>
    </w:pPr>
  </w:style>
  <w:style w:type="paragraph" w:styleId="ListNumber3">
    <w:name w:val="List Number 3"/>
    <w:basedOn w:val="List3"/>
    <w:rsid w:val="005372E0"/>
    <w:pPr>
      <w:numPr>
        <w:numId w:val="5"/>
      </w:numPr>
    </w:pPr>
  </w:style>
  <w:style w:type="paragraph" w:styleId="ListNumber4">
    <w:name w:val="List Number 4"/>
    <w:basedOn w:val="List4"/>
    <w:rsid w:val="005372E0"/>
    <w:pPr>
      <w:numPr>
        <w:numId w:val="6"/>
      </w:numPr>
    </w:pPr>
  </w:style>
  <w:style w:type="paragraph" w:styleId="ListNumber5">
    <w:name w:val="List Number 5"/>
    <w:basedOn w:val="List5"/>
    <w:rsid w:val="005372E0"/>
    <w:pPr>
      <w:numPr>
        <w:numId w:val="7"/>
      </w:numPr>
    </w:pPr>
  </w:style>
  <w:style w:type="paragraph" w:styleId="BlockText">
    <w:name w:val="Block Text"/>
    <w:basedOn w:val="Normal"/>
    <w:rsid w:val="005372E0"/>
    <w:pPr>
      <w:spacing w:after="120"/>
      <w:ind w:left="1440" w:right="1440"/>
    </w:pPr>
  </w:style>
  <w:style w:type="character" w:customStyle="1" w:styleId="Subscript">
    <w:name w:val="Subscript"/>
    <w:basedOn w:val="DefaultParagraphFont"/>
    <w:rsid w:val="005372E0"/>
    <w:rPr>
      <w:sz w:val="16"/>
      <w:vertAlign w:val="subscript"/>
    </w:rPr>
  </w:style>
  <w:style w:type="character" w:customStyle="1" w:styleId="Superscript">
    <w:name w:val="Superscript"/>
    <w:basedOn w:val="DefaultParagraphFont"/>
    <w:rsid w:val="005372E0"/>
    <w:rPr>
      <w:sz w:val="16"/>
      <w:vertAlign w:val="superscript"/>
    </w:rPr>
  </w:style>
  <w:style w:type="character" w:customStyle="1" w:styleId="Symbols">
    <w:name w:val="Symbols"/>
    <w:basedOn w:val="DefaultParagraphFont"/>
    <w:rsid w:val="005372E0"/>
    <w:rPr>
      <w:rFonts w:ascii="Symbol" w:hAnsi="Symbol"/>
    </w:rPr>
  </w:style>
  <w:style w:type="character" w:customStyle="1" w:styleId="MenuOptions">
    <w:name w:val="Menu Options"/>
    <w:basedOn w:val="DefaultParagraphFont"/>
    <w:rsid w:val="005372E0"/>
    <w:rPr>
      <w:rFonts w:ascii="Arial Narrow" w:hAnsi="Arial Narrow"/>
      <w:smallCaps/>
    </w:rPr>
  </w:style>
  <w:style w:type="character" w:customStyle="1" w:styleId="Buttons">
    <w:name w:val="Buttons"/>
    <w:basedOn w:val="DefaultParagraphFont"/>
    <w:rsid w:val="005372E0"/>
    <w:rPr>
      <w:b/>
    </w:rPr>
  </w:style>
  <w:style w:type="character" w:customStyle="1" w:styleId="Underlined">
    <w:name w:val="Underlined"/>
    <w:basedOn w:val="DefaultParagraphFont"/>
    <w:rsid w:val="005372E0"/>
    <w:rPr>
      <w:u w:val="single"/>
    </w:rPr>
  </w:style>
  <w:style w:type="paragraph" w:customStyle="1" w:styleId="TableBodyTextRight">
    <w:name w:val="Table Body Text Right"/>
    <w:basedOn w:val="TableBodyText"/>
    <w:rsid w:val="005372E0"/>
    <w:pPr>
      <w:widowControl w:val="0"/>
      <w:autoSpaceDE w:val="0"/>
      <w:autoSpaceDN w:val="0"/>
      <w:adjustRightInd w:val="0"/>
      <w:jc w:val="right"/>
    </w:pPr>
    <w:rPr>
      <w:rFonts w:cs="Arial"/>
      <w:szCs w:val="18"/>
    </w:rPr>
  </w:style>
  <w:style w:type="paragraph" w:customStyle="1" w:styleId="CopyrightText">
    <w:name w:val="Copyright Text"/>
    <w:basedOn w:val="BodyText"/>
    <w:rsid w:val="005372E0"/>
    <w:rPr>
      <w:sz w:val="18"/>
    </w:rPr>
  </w:style>
  <w:style w:type="paragraph" w:customStyle="1" w:styleId="BodySmallRight">
    <w:name w:val="Body Small Right"/>
    <w:basedOn w:val="BodyTextRight"/>
    <w:rsid w:val="005372E0"/>
    <w:rPr>
      <w:sz w:val="18"/>
      <w:szCs w:val="18"/>
    </w:rPr>
  </w:style>
  <w:style w:type="paragraph" w:customStyle="1" w:styleId="MarginEdition">
    <w:name w:val="Margin Edition"/>
    <w:basedOn w:val="MarginNote"/>
    <w:rsid w:val="005372E0"/>
    <w:pPr>
      <w:spacing w:before="0" w:after="0"/>
    </w:pPr>
    <w:rPr>
      <w:rFonts w:ascii="Times New Roman" w:hAnsi="Times New Roman"/>
      <w:color w:val="999999"/>
    </w:rPr>
  </w:style>
  <w:style w:type="paragraph" w:customStyle="1" w:styleId="Spacer">
    <w:name w:val="Spacer"/>
    <w:basedOn w:val="Normal"/>
    <w:rsid w:val="005372E0"/>
    <w:rPr>
      <w:sz w:val="2"/>
      <w:szCs w:val="2"/>
    </w:rPr>
  </w:style>
  <w:style w:type="character" w:customStyle="1" w:styleId="Small">
    <w:name w:val="Small"/>
    <w:basedOn w:val="DefaultParagraphFont"/>
    <w:rsid w:val="005372E0"/>
    <w:rPr>
      <w:sz w:val="16"/>
    </w:rPr>
  </w:style>
  <w:style w:type="paragraph" w:customStyle="1" w:styleId="WideTable">
    <w:name w:val="Wide Table"/>
    <w:basedOn w:val="Normal"/>
    <w:rsid w:val="005372E0"/>
    <w:pPr>
      <w:ind w:left="-1418"/>
    </w:pPr>
    <w:rPr>
      <w:sz w:val="2"/>
      <w:szCs w:val="2"/>
    </w:rPr>
  </w:style>
  <w:style w:type="character" w:styleId="PageNumber">
    <w:name w:val="page number"/>
    <w:basedOn w:val="DefaultParagraphFont"/>
    <w:rsid w:val="005372E0"/>
  </w:style>
  <w:style w:type="paragraph" w:styleId="Quote">
    <w:name w:val="Quote"/>
    <w:basedOn w:val="Heading1"/>
    <w:link w:val="QuoteChar"/>
    <w:qFormat/>
    <w:rsid w:val="005372E0"/>
    <w:rPr>
      <w:b w:val="0"/>
      <w:sz w:val="72"/>
      <w:szCs w:val="72"/>
      <w:lang w:val="en-NZ"/>
    </w:rPr>
  </w:style>
  <w:style w:type="character" w:customStyle="1" w:styleId="QuoteChar">
    <w:name w:val="Quote Char"/>
    <w:basedOn w:val="DefaultParagraphFont"/>
    <w:link w:val="Quote"/>
    <w:rsid w:val="005372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2E0"/>
    <w:pPr>
      <w:pageBreakBefore/>
    </w:pPr>
  </w:style>
  <w:style w:type="paragraph" w:customStyle="1" w:styleId="Border">
    <w:name w:val="Border"/>
    <w:basedOn w:val="Normal"/>
    <w:qFormat/>
    <w:rsid w:val="005372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2E0"/>
    <w:rPr>
      <w:b/>
      <w:bCs/>
      <w:i/>
      <w:iCs/>
      <w:color w:val="auto"/>
    </w:rPr>
  </w:style>
  <w:style w:type="paragraph" w:styleId="IntenseQuote">
    <w:name w:val="Intense Quote"/>
    <w:basedOn w:val="Normal"/>
    <w:next w:val="Normal"/>
    <w:link w:val="IntenseQuoteChar"/>
    <w:uiPriority w:val="30"/>
    <w:qFormat/>
    <w:rsid w:val="005372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2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2E0"/>
    <w:rPr>
      <w:smallCaps/>
      <w:color w:val="auto"/>
      <w:u w:val="single"/>
    </w:rPr>
  </w:style>
  <w:style w:type="character" w:styleId="IntenseReference">
    <w:name w:val="Intense Reference"/>
    <w:basedOn w:val="DefaultParagraphFont"/>
    <w:uiPriority w:val="32"/>
    <w:qFormat/>
    <w:rsid w:val="005372E0"/>
    <w:rPr>
      <w:b/>
      <w:bCs/>
      <w:smallCaps/>
      <w:color w:val="auto"/>
      <w:spacing w:val="5"/>
      <w:u w:val="single"/>
    </w:rPr>
  </w:style>
  <w:style w:type="paragraph" w:customStyle="1" w:styleId="2ColumnHeading">
    <w:name w:val="2Column Heading"/>
    <w:basedOn w:val="BodyText"/>
    <w:qFormat/>
    <w:rsid w:val="005372E0"/>
    <w:pPr>
      <w:spacing w:after="60"/>
      <w:ind w:left="-2268"/>
    </w:pPr>
    <w:rPr>
      <w:b/>
    </w:rPr>
  </w:style>
  <w:style w:type="paragraph" w:customStyle="1" w:styleId="Heading1TOC">
    <w:name w:val="Heading1 TOC"/>
    <w:basedOn w:val="Normal"/>
    <w:qFormat/>
    <w:rsid w:val="005372E0"/>
    <w:pPr>
      <w:spacing w:before="240" w:after="120"/>
    </w:pPr>
    <w:rPr>
      <w:rFonts w:ascii="Times New Roman" w:hAnsi="Times New Roman"/>
      <w:b/>
      <w:sz w:val="32"/>
    </w:rPr>
  </w:style>
  <w:style w:type="paragraph" w:customStyle="1" w:styleId="Heading2TOC">
    <w:name w:val="Heading2 TOC"/>
    <w:basedOn w:val="Normal"/>
    <w:qFormat/>
    <w:rsid w:val="005372E0"/>
    <w:pPr>
      <w:spacing w:before="240" w:after="60"/>
    </w:pPr>
    <w:rPr>
      <w:rFonts w:ascii="Times New Roman" w:hAnsi="Times New Roman"/>
      <w:b/>
      <w:sz w:val="28"/>
    </w:rPr>
  </w:style>
  <w:style w:type="paragraph" w:styleId="BalloonText">
    <w:name w:val="Balloon Text"/>
    <w:basedOn w:val="Normal"/>
    <w:link w:val="BalloonTextChar"/>
    <w:rsid w:val="005372E0"/>
    <w:rPr>
      <w:rFonts w:ascii="Tahoma" w:hAnsi="Tahoma" w:cs="Tahoma"/>
      <w:sz w:val="16"/>
      <w:szCs w:val="16"/>
    </w:rPr>
  </w:style>
  <w:style w:type="character" w:customStyle="1" w:styleId="BalloonTextChar">
    <w:name w:val="Balloon Text Char"/>
    <w:basedOn w:val="DefaultParagraphFont"/>
    <w:link w:val="BalloonText"/>
    <w:rsid w:val="005372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2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2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2E0"/>
    <w:rPr>
      <w:b/>
      <w:color w:val="660033"/>
      <w:spacing w:val="0"/>
    </w:rPr>
  </w:style>
  <w:style w:type="paragraph" w:customStyle="1" w:styleId="Nameditemlist">
    <w:name w:val="Named item list"/>
    <w:basedOn w:val="BodyText"/>
    <w:qFormat/>
    <w:rsid w:val="005372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1286</Words>
  <Characters>8285</Characters>
  <Application>Microsoft Office Word</Application>
  <DocSecurity>0</DocSecurity>
  <Lines>291</Lines>
  <Paragraphs>195</Paragraphs>
  <ScaleCrop>false</ScaleCrop>
  <Company>Author-it Software Corporation Ltd.</Company>
  <LinksUpToDate>false</LinksUpToDate>
  <CharactersWithSpaces>9500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PSPREG410B Give evidence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2012-11-01T17:45:00Z</dcterms:created>
  <dcterms:modified xsi:type="dcterms:W3CDTF">2012-11-01T17:45:00Z</dcterms:modified>
</cp:coreProperties>
</file>