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0E4" w:rsidP="005C20E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PSPREG409B Prepare a brief of evidence</w:t>
      </w:r>
      <w:r>
        <w:fldChar w:fldCharType="end"/>
      </w:r>
    </w:p>
    <w:p w:rsidR="005C20E4" w:rsidP="005C20E4">
      <w:pPr>
        <w:pStyle w:val="Version"/>
        <w:sectPr w:rsidSect="006A4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A4D95" w:rsidP="006A4D95">
      <w:pPr>
        <w:pStyle w:val="SuperHeading"/>
      </w:pPr>
      <w:r w:rsidRPr="006A4D95">
        <w:t>PSPREG409B Prepare a brief of evidence</w:t>
      </w:r>
    </w:p>
    <w:p w:rsidR="00000000" w:rsidRPr="006A4D95" w:rsidP="006A4D95">
      <w:pPr>
        <w:pStyle w:val="SuperHeading"/>
      </w:pPr>
    </w:p>
    <w:p w:rsidR="00000000" w:rsidRPr="006A4D95" w:rsidP="006A4D95">
      <w:pPr>
        <w:pStyle w:val="Heading1"/>
      </w:pPr>
      <w:bookmarkStart w:id="1" w:name="O_498300"/>
      <w:bookmarkEnd w:id="1"/>
      <w:r w:rsidRPr="006A4D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Comments</w:t>
            </w:r>
          </w:p>
        </w:tc>
      </w:tr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 xml:space="preserve">Unit descriptor edited. </w:t>
            </w:r>
          </w:p>
        </w:tc>
      </w:tr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Layout adjusted. No changes to content.</w:t>
            </w:r>
          </w:p>
        </w:tc>
      </w:tr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>Primary release.</w:t>
            </w:r>
          </w:p>
        </w:tc>
      </w:tr>
    </w:tbl>
    <w:p w:rsidR="005C20E4" w:rsidP="006A4D95">
      <w:pPr>
        <w:pStyle w:val="BodyText"/>
      </w:pPr>
    </w:p>
    <w:p w:rsidR="005C20E4" w:rsidP="006A4D95">
      <w:pPr>
        <w:pStyle w:val="BodyText"/>
      </w:pPr>
    </w:p>
    <w:p w:rsidR="00000000" w:rsidRPr="006A4D95" w:rsidP="006A4D95">
      <w:pPr>
        <w:pStyle w:val="Heading1"/>
      </w:pPr>
      <w:bookmarkStart w:id="2" w:name="O_498298"/>
      <w:bookmarkEnd w:id="2"/>
      <w:r w:rsidRPr="006A4D95">
        <w:t>Unit Descriptor</w:t>
      </w:r>
    </w:p>
    <w:p w:rsidR="00000000" w:rsidRPr="006A4D95" w:rsidP="006A4D95">
      <w:pPr>
        <w:pStyle w:val="BodyText"/>
      </w:pPr>
      <w:r w:rsidRPr="006A4D95">
        <w:t>This unit covers the competency to prepare a brief of evidence. It includes analysing evidence, preparing and reviewing admissible evidence, de</w:t>
      </w:r>
      <w:r w:rsidRPr="006A4D95">
        <w:t>veloping a brief of evidence and coordinating witnesses.</w:t>
      </w:r>
    </w:p>
    <w:p w:rsidR="00000000" w:rsidRPr="006A4D95" w:rsidP="006A4D95">
      <w:pPr>
        <w:pStyle w:val="BodyText"/>
      </w:pPr>
      <w:r w:rsidRPr="006A4D95">
        <w:t>In practice, preparing a brief of evidence may overlap with other generalist or specialist public sector work activities such as acting ethically, complying with public sector legislation, applying government processes, gathering and analysing information.</w:t>
      </w:r>
    </w:p>
    <w:p w:rsidR="005C20E4" w:rsidP="006A4D95">
      <w:pPr>
        <w:pStyle w:val="BodyText"/>
      </w:pPr>
      <w:r w:rsidRPr="006A4D95">
        <w:t>No licensing, legislative, regulatory or certification requirements apply to this unit at the time of endorsement.</w:t>
      </w:r>
    </w:p>
    <w:p w:rsidR="005C20E4" w:rsidP="006A4D95">
      <w:pPr>
        <w:pStyle w:val="BodyText"/>
      </w:pPr>
    </w:p>
    <w:p w:rsidR="00000000" w:rsidRPr="006A4D95" w:rsidP="006A4D95">
      <w:pPr>
        <w:pStyle w:val="Heading1"/>
      </w:pPr>
      <w:bookmarkStart w:id="3" w:name="O_509054"/>
      <w:bookmarkEnd w:id="3"/>
      <w:r w:rsidRPr="006A4D95">
        <w:t>Application of the Unit</w:t>
      </w:r>
    </w:p>
    <w:p w:rsidR="00000000" w:rsidRPr="006A4D95" w:rsidP="006A4D95">
      <w:pPr>
        <w:pStyle w:val="BodyText"/>
      </w:pPr>
      <w:r w:rsidRPr="006A4D95">
        <w:t>Not applicable.</w:t>
      </w: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4" w:name="O_498301"/>
      <w:bookmarkEnd w:id="4"/>
      <w:r w:rsidRPr="006A4D95">
        <w:t>Licensing/Regulatory Information</w:t>
      </w:r>
    </w:p>
    <w:p w:rsidR="00000000" w:rsidRPr="006A4D95" w:rsidP="006A4D95">
      <w:pPr>
        <w:pStyle w:val="BodyText"/>
      </w:pPr>
      <w:r w:rsidRPr="006A4D95">
        <w:t>Not applicable.</w:t>
      </w: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5" w:name="O_498296"/>
      <w:bookmarkEnd w:id="5"/>
      <w:r w:rsidRPr="006A4D95">
        <w:t>Pre-Requisites</w:t>
      </w:r>
    </w:p>
    <w:p w:rsidR="00000000" w:rsidRPr="006A4D95" w:rsidP="006A4D95">
      <w:pPr>
        <w:pStyle w:val="BodyText"/>
      </w:pPr>
      <w:r w:rsidRPr="006A4D95">
        <w:t>Not applicable.</w:t>
      </w: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6" w:name="O_498304"/>
      <w:bookmarkEnd w:id="6"/>
      <w:r w:rsidRPr="006A4D95">
        <w:t>Employability Skills Information</w:t>
      </w:r>
    </w:p>
    <w:p w:rsidR="00000000" w:rsidRPr="006A4D95" w:rsidP="006A4D95">
      <w:pPr>
        <w:pStyle w:val="BodyText"/>
      </w:pPr>
      <w:r w:rsidRPr="006A4D95">
        <w:t>This unit contains employability skills.</w:t>
      </w: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7" w:name="O_498306"/>
      <w:bookmarkEnd w:id="7"/>
      <w:r w:rsidRPr="006A4D9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>Togethe</w:t>
            </w:r>
            <w:r w:rsidRPr="006A4D95">
              <w:t>r, performance criteria specify the requirements for competent performance. Text in</w:t>
            </w:r>
            <w:r w:rsidRPr="006A4D95">
              <w:rPr>
                <w:rStyle w:val="BoldandItalics"/>
              </w:rPr>
              <w:t xml:space="preserve"> bold italics </w:t>
            </w:r>
            <w:r w:rsidRPr="006A4D95">
              <w:t>is explained in the Range Statement following.</w:t>
            </w:r>
          </w:p>
        </w:tc>
      </w:tr>
    </w:tbl>
    <w:p w:rsidR="00000000" w:rsidRPr="006A4D95" w:rsidP="006A4D95">
      <w:pPr>
        <w:pStyle w:val="BodyText"/>
      </w:pP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8" w:name="O_498305"/>
      <w:bookmarkEnd w:id="8"/>
      <w:r w:rsidRPr="006A4D9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PERFORMANCE CRITERIA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List"/>
              <w:rPr>
                <w:lang w:val="en-NZ"/>
              </w:rPr>
            </w:pPr>
            <w:r w:rsidRPr="006A4D95">
              <w:rPr>
                <w:rStyle w:val="SpecialBold"/>
              </w:rPr>
              <w:t>1</w:t>
            </w:r>
            <w:r w:rsidRPr="006A4D95">
              <w:t>.</w:t>
            </w:r>
            <w:r w:rsidRPr="006A4D95">
              <w:tab/>
            </w:r>
            <w:r w:rsidRPr="006A4D95">
              <w:rPr>
                <w:rStyle w:val="SpecialBold"/>
              </w:rPr>
              <w:t>Analyse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"/>
            </w:pPr>
            <w:r w:rsidRPr="006A4D95">
              <w:t>1.1</w:t>
            </w:r>
            <w:r w:rsidRPr="006A4D95">
              <w:tab/>
            </w:r>
            <w:r w:rsidRPr="006A4D95">
              <w:t>All related information is considered, whether likely to be admissible as evidence, or not.</w:t>
            </w:r>
          </w:p>
          <w:p w:rsidR="00000000" w:rsidRPr="006A4D95" w:rsidP="006A4D95">
            <w:pPr>
              <w:pStyle w:val="List"/>
            </w:pPr>
            <w:r w:rsidRPr="006A4D95">
              <w:t>1.2</w:t>
            </w:r>
            <w:r w:rsidRPr="006A4D95">
              <w:tab/>
              <w:t>Information is cross-checked to confirm origin, authenticity and reliability, and to anticipate challenge/s that may occur.</w:t>
            </w:r>
          </w:p>
          <w:p w:rsidR="00000000" w:rsidRPr="006A4D95" w:rsidP="006A4D95">
            <w:pPr>
              <w:pStyle w:val="List"/>
            </w:pPr>
            <w:r w:rsidRPr="006A4D95">
              <w:t>1.3</w:t>
            </w:r>
            <w:r w:rsidRPr="006A4D95">
              <w:tab/>
              <w:t>Gaps and inadequacies are identi</w:t>
            </w:r>
            <w:r w:rsidRPr="006A4D95">
              <w:t>fied and assessed to allow further collection of evidence where possible.</w:t>
            </w:r>
          </w:p>
          <w:p w:rsidR="00000000" w:rsidP="006A4D95">
            <w:pPr>
              <w:pStyle w:val="List"/>
              <w:rPr>
                <w:lang w:val="en-NZ"/>
              </w:rPr>
            </w:pPr>
            <w:r w:rsidRPr="006A4D95">
              <w:t>1.4</w:t>
            </w:r>
            <w:r w:rsidRPr="006A4D95">
              <w:tab/>
              <w:t>Information is handled and stored in accordance with legislative requirements and organisational policy and procedures.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List"/>
              <w:rPr>
                <w:lang w:val="en-NZ"/>
              </w:rPr>
            </w:pPr>
            <w:r w:rsidRPr="006A4D95">
              <w:rPr>
                <w:rStyle w:val="SpecialBold"/>
              </w:rPr>
              <w:t>2</w:t>
            </w:r>
            <w:r w:rsidRPr="006A4D95">
              <w:t>.</w:t>
            </w:r>
            <w:r w:rsidRPr="006A4D95">
              <w:tab/>
            </w:r>
            <w:r w:rsidRPr="006A4D95">
              <w:rPr>
                <w:rStyle w:val="SpecialBold"/>
              </w:rPr>
              <w:t>Prepare and review admissible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"/>
            </w:pPr>
            <w:r w:rsidRPr="006A4D95">
              <w:t>2.1</w:t>
            </w:r>
            <w:r w:rsidRPr="006A4D95">
              <w:tab/>
              <w:t>Witness and</w:t>
            </w:r>
            <w:r w:rsidRPr="006A4D95">
              <w:t xml:space="preserve"> expert statements are prepared in accordance with legislative requirements and organisational policy and procedures.</w:t>
            </w:r>
          </w:p>
          <w:p w:rsidR="00000000" w:rsidRPr="006A4D95" w:rsidP="006A4D95">
            <w:pPr>
              <w:pStyle w:val="List"/>
            </w:pPr>
            <w:r w:rsidRPr="006A4D95">
              <w:t>2.2</w:t>
            </w:r>
            <w:r w:rsidRPr="006A4D95">
              <w:tab/>
            </w:r>
            <w:r w:rsidRPr="006A4D95">
              <w:rPr>
                <w:rStyle w:val="BoldandItalics"/>
              </w:rPr>
              <w:t xml:space="preserve">Evidence </w:t>
            </w:r>
            <w:r w:rsidRPr="006A4D95">
              <w:t>is prepared in accordance with legislative requirements and organisational policy and procedures.</w:t>
            </w:r>
          </w:p>
          <w:p w:rsidR="00000000" w:rsidRPr="006A4D95" w:rsidP="006A4D95">
            <w:pPr>
              <w:pStyle w:val="List"/>
            </w:pPr>
            <w:r w:rsidRPr="006A4D95">
              <w:t>2.3</w:t>
            </w:r>
            <w:r w:rsidRPr="006A4D95">
              <w:tab/>
            </w:r>
            <w:r w:rsidRPr="006A4D95">
              <w:t>All evidence is included in the brief that is likely to be admissible by the court.</w:t>
            </w:r>
          </w:p>
          <w:p w:rsidR="00000000" w:rsidRPr="006A4D95" w:rsidP="006A4D95">
            <w:pPr>
              <w:pStyle w:val="List"/>
            </w:pPr>
            <w:r w:rsidRPr="006A4D95">
              <w:t>2.4</w:t>
            </w:r>
            <w:r w:rsidRPr="006A4D95">
              <w:tab/>
              <w:t>Non-admissible evidence is separated and retained.</w:t>
            </w:r>
          </w:p>
          <w:p w:rsidR="00000000" w:rsidRPr="006A4D95" w:rsidP="006A4D95">
            <w:pPr>
              <w:pStyle w:val="List"/>
            </w:pPr>
            <w:r w:rsidRPr="006A4D95">
              <w:t>2.5</w:t>
            </w:r>
            <w:r w:rsidRPr="006A4D95">
              <w:tab/>
              <w:t>Similar proofs are identified and reviewed to confirm that evidence is sufficient to proceed to prosecution.</w:t>
            </w:r>
          </w:p>
          <w:p w:rsidR="00000000" w:rsidP="006A4D95">
            <w:pPr>
              <w:pStyle w:val="List"/>
              <w:rPr>
                <w:lang w:val="en-NZ"/>
              </w:rPr>
            </w:pPr>
            <w:r w:rsidRPr="006A4D95">
              <w:t>2.6</w:t>
            </w:r>
            <w:r w:rsidRPr="006A4D95">
              <w:tab/>
            </w:r>
            <w:r w:rsidRPr="006A4D95">
              <w:t>Security, recording and continuity of evidence are maintained in accordance with legislative requirements and organisational policy and procedures.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List"/>
              <w:rPr>
                <w:lang w:val="en-NZ"/>
              </w:rPr>
            </w:pPr>
            <w:r w:rsidRPr="006A4D95">
              <w:rPr>
                <w:rStyle w:val="SpecialBold"/>
              </w:rPr>
              <w:t>3</w:t>
            </w:r>
            <w:r w:rsidRPr="006A4D95">
              <w:t>.</w:t>
            </w:r>
            <w:r w:rsidRPr="006A4D95">
              <w:tab/>
            </w:r>
            <w:r w:rsidRPr="006A4D95">
              <w:rPr>
                <w:rStyle w:val="SpecialBold"/>
              </w:rPr>
              <w:t>Develop a brief of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"/>
            </w:pPr>
            <w:r w:rsidRPr="006A4D95">
              <w:t>3.1</w:t>
            </w:r>
            <w:r w:rsidRPr="006A4D95">
              <w:tab/>
              <w:t xml:space="preserve">Brief of evidence is planned and prepared according to </w:t>
            </w:r>
            <w:r w:rsidRPr="006A4D95">
              <w:rPr>
                <w:rStyle w:val="BoldandItalics"/>
              </w:rPr>
              <w:t xml:space="preserve">standards </w:t>
            </w:r>
            <w:r w:rsidRPr="006A4D95">
              <w:t>require</w:t>
            </w:r>
            <w:r w:rsidRPr="006A4D95">
              <w:t xml:space="preserve">d by the </w:t>
            </w:r>
            <w:r w:rsidRPr="006A4D95">
              <w:rPr>
                <w:rStyle w:val="BoldandItalics"/>
              </w:rPr>
              <w:t>prosecution</w:t>
            </w:r>
            <w:r w:rsidRPr="006A4D95">
              <w:rPr>
                <w:rStyle w:val="Emphasis"/>
              </w:rPr>
              <w:t>.</w:t>
            </w:r>
          </w:p>
          <w:p w:rsidR="00000000" w:rsidRPr="006A4D95" w:rsidP="006A4D95">
            <w:pPr>
              <w:pStyle w:val="List"/>
            </w:pPr>
            <w:r w:rsidRPr="006A4D95">
              <w:t>3.2</w:t>
            </w:r>
            <w:r w:rsidRPr="006A4D95">
              <w:tab/>
              <w:t xml:space="preserve">All </w:t>
            </w:r>
            <w:r w:rsidRPr="006A4D95">
              <w:rPr>
                <w:rStyle w:val="BoldandItalics"/>
              </w:rPr>
              <w:t xml:space="preserve">required information </w:t>
            </w:r>
            <w:r w:rsidRPr="006A4D95">
              <w:t>is included in the brief and meets all legal requirements.</w:t>
            </w:r>
          </w:p>
          <w:p w:rsidR="00000000" w:rsidRPr="006A4D95" w:rsidP="006A4D95">
            <w:pPr>
              <w:pStyle w:val="List"/>
            </w:pPr>
            <w:r w:rsidRPr="006A4D95">
              <w:t>3.3</w:t>
            </w:r>
            <w:r w:rsidRPr="006A4D95">
              <w:tab/>
              <w:t>Brief is provided to prosecution and other parties as required by law and organisational requirements.</w:t>
            </w:r>
          </w:p>
          <w:p w:rsidR="00000000" w:rsidP="006A4D95">
            <w:pPr>
              <w:pStyle w:val="List"/>
              <w:rPr>
                <w:lang w:val="en-NZ"/>
              </w:rPr>
            </w:pPr>
            <w:r w:rsidRPr="006A4D95">
              <w:t>3.4</w:t>
            </w:r>
            <w:r w:rsidRPr="006A4D95">
              <w:tab/>
              <w:t>When required, counsel is briefed o</w:t>
            </w:r>
            <w:r w:rsidRPr="006A4D95">
              <w:t>n the case and any circumstances that may affect the progress and outcomes.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List"/>
              <w:rPr>
                <w:lang w:val="en-NZ"/>
              </w:rPr>
            </w:pPr>
            <w:r w:rsidRPr="006A4D95">
              <w:rPr>
                <w:rStyle w:val="SpecialBold"/>
              </w:rPr>
              <w:t>4</w:t>
            </w:r>
            <w:r w:rsidRPr="006A4D95">
              <w:t>.</w:t>
            </w:r>
            <w:r w:rsidRPr="006A4D95">
              <w:tab/>
            </w:r>
            <w:r w:rsidRPr="006A4D95">
              <w:rPr>
                <w:rStyle w:val="SpecialBold"/>
              </w:rPr>
              <w:t>Coordinate witnesses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"/>
            </w:pPr>
            <w:r w:rsidRPr="006A4D95">
              <w:t>4.1</w:t>
            </w:r>
            <w:r w:rsidRPr="006A4D95">
              <w:tab/>
              <w:t>When required, expert witnesses are identified, familiarised with the evidence, and utilised in accordance with organisational policy and procedures.</w:t>
            </w:r>
          </w:p>
          <w:p w:rsidR="00000000" w:rsidRPr="006A4D95" w:rsidP="006A4D95">
            <w:pPr>
              <w:pStyle w:val="List"/>
            </w:pPr>
            <w:r w:rsidRPr="006A4D95">
              <w:t>4</w:t>
            </w:r>
            <w:r w:rsidRPr="006A4D95">
              <w:t>.2</w:t>
            </w:r>
            <w:r w:rsidRPr="006A4D95">
              <w:tab/>
              <w:t>When required, witness summonses are organised in accordance with legal and organisational requirements.</w:t>
            </w:r>
          </w:p>
          <w:p w:rsidR="00000000" w:rsidRPr="006A4D95" w:rsidP="006A4D95">
            <w:pPr>
              <w:pStyle w:val="List"/>
            </w:pPr>
            <w:r w:rsidRPr="006A4D95">
              <w:t>4.3</w:t>
            </w:r>
            <w:r w:rsidRPr="006A4D95">
              <w:tab/>
              <w:t xml:space="preserve">Contact is maintained with </w:t>
            </w:r>
            <w:r w:rsidRPr="006A4D95">
              <w:rPr>
                <w:rStyle w:val="BoldandItalics"/>
              </w:rPr>
              <w:t xml:space="preserve">witnesses </w:t>
            </w:r>
            <w:r w:rsidRPr="006A4D95">
              <w:t xml:space="preserve">to ensure cooperation, communication and attendance at </w:t>
            </w:r>
            <w:r w:rsidRPr="006A4D95">
              <w:rPr>
                <w:rStyle w:val="BoldandItalics"/>
              </w:rPr>
              <w:t>proceedings</w:t>
            </w:r>
            <w:r w:rsidRPr="006A4D95">
              <w:rPr>
                <w:rStyle w:val="Emphasis"/>
              </w:rPr>
              <w:t>.</w:t>
            </w:r>
          </w:p>
        </w:tc>
      </w:tr>
    </w:tbl>
    <w:p w:rsidR="00000000" w:rsidRPr="006A4D95" w:rsidP="006A4D95">
      <w:pPr>
        <w:pStyle w:val="BodyText"/>
      </w:pP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9" w:name="O_498295"/>
      <w:bookmarkEnd w:id="9"/>
      <w:r w:rsidRPr="006A4D95">
        <w:t xml:space="preserve">Required Skills and </w:t>
      </w:r>
      <w:r w:rsidRPr="006A4D95">
        <w:t>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This section describes the essential skills and knowledge and their level, required for this unit.</w:t>
            </w:r>
          </w:p>
        </w:tc>
      </w:tr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Skill requirements</w:t>
            </w:r>
          </w:p>
          <w:p w:rsidR="00000000" w:rsidRPr="006A4D95" w:rsidP="006A4D95">
            <w:pPr>
              <w:pStyle w:val="BodyText"/>
            </w:pPr>
            <w:r w:rsidRPr="006A4D95">
              <w:t>Look for evidence that confirms skills in:</w:t>
            </w:r>
          </w:p>
          <w:p w:rsidR="00000000" w:rsidRPr="006A4D95" w:rsidP="006A4D95">
            <w:pPr>
              <w:pStyle w:val="ListBullet2"/>
            </w:pPr>
            <w:r w:rsidRPr="006A4D95">
              <w:t>undertaking analysis and research</w:t>
            </w:r>
          </w:p>
          <w:p w:rsidR="00000000" w:rsidRPr="006A4D95" w:rsidP="006A4D95">
            <w:pPr>
              <w:pStyle w:val="ListBullet2"/>
            </w:pPr>
            <w:r w:rsidRPr="006A4D95">
              <w:t>undertaking collation and compilation</w:t>
            </w:r>
          </w:p>
          <w:p w:rsidR="00000000" w:rsidRPr="006A4D95" w:rsidP="006A4D95">
            <w:pPr>
              <w:pStyle w:val="ListBullet2"/>
            </w:pPr>
            <w:r w:rsidRPr="006A4D95">
              <w:t>writing complex documents - reflecting key points of oral statements in written form in witness statements and in the brief of evidence</w:t>
            </w:r>
          </w:p>
          <w:p w:rsidR="00000000" w:rsidRPr="006A4D95" w:rsidP="006A4D95">
            <w:pPr>
              <w:pStyle w:val="ListBullet2"/>
            </w:pPr>
            <w:r w:rsidRPr="006A4D95">
              <w:t>report writing using formal structures and language</w:t>
            </w:r>
          </w:p>
          <w:p w:rsidR="00000000" w:rsidRPr="006A4D95" w:rsidP="006A4D95">
            <w:pPr>
              <w:pStyle w:val="ListBullet2"/>
            </w:pPr>
            <w:r w:rsidRPr="006A4D95">
              <w:t>making comparisons and exercising judgment about facts in written ma</w:t>
            </w:r>
            <w:r w:rsidRPr="006A4D95">
              <w:t>terials</w:t>
            </w:r>
          </w:p>
          <w:p w:rsidR="00000000" w:rsidRPr="006A4D95" w:rsidP="006A4D95">
            <w:pPr>
              <w:pStyle w:val="ListBullet2"/>
            </w:pPr>
            <w:r w:rsidRPr="006A4D95">
              <w:t>communicating with witnesses from diverse backgrounds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responding to diversity, including gender and disability</w:t>
            </w:r>
          </w:p>
        </w:tc>
      </w:tr>
      <w:tr w:rsidTr="005C20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Knowledge requirements</w:t>
            </w:r>
          </w:p>
          <w:p w:rsidR="00000000" w:rsidRPr="006A4D95" w:rsidP="006A4D95">
            <w:pPr>
              <w:pStyle w:val="BodyText"/>
            </w:pPr>
            <w:r w:rsidRPr="006A4D95">
              <w:t>Look for evidence that confirms knowledge and understanding of:</w:t>
            </w:r>
          </w:p>
          <w:p w:rsidR="00000000" w:rsidRPr="006A4D95" w:rsidP="006A4D95">
            <w:pPr>
              <w:pStyle w:val="ListBullet2"/>
            </w:pPr>
            <w:r w:rsidRPr="006A4D95">
              <w:t>sections of Evidence Act, Justice Act relating to preparation of a brief of evidence</w:t>
            </w:r>
          </w:p>
          <w:p w:rsidR="00000000" w:rsidRPr="006A4D95" w:rsidP="006A4D95">
            <w:pPr>
              <w:pStyle w:val="ListBullet2"/>
            </w:pPr>
            <w:r w:rsidRPr="006A4D95">
              <w:t>admissible evidence</w:t>
            </w:r>
          </w:p>
          <w:p w:rsidR="00000000" w:rsidRPr="006A4D95" w:rsidP="006A4D95">
            <w:pPr>
              <w:pStyle w:val="ListBullet2"/>
            </w:pPr>
            <w:r w:rsidRPr="006A4D95">
              <w:t>burden of proof</w:t>
            </w:r>
          </w:p>
          <w:p w:rsidR="00000000" w:rsidRPr="006A4D95" w:rsidP="006A4D95">
            <w:pPr>
              <w:pStyle w:val="ListBullet2"/>
            </w:pPr>
            <w:r w:rsidRPr="006A4D95">
              <w:t>court hearing procedures</w:t>
            </w:r>
          </w:p>
          <w:p w:rsidR="00000000" w:rsidRPr="006A4D95" w:rsidP="006A4D95">
            <w:pPr>
              <w:pStyle w:val="ListBullet2"/>
            </w:pPr>
            <w:r w:rsidRPr="006A4D95">
              <w:t>rules of evidence</w:t>
            </w:r>
          </w:p>
          <w:p w:rsidR="00000000" w:rsidRPr="006A4D95" w:rsidP="006A4D95">
            <w:pPr>
              <w:pStyle w:val="ListBullet2"/>
            </w:pPr>
            <w:r w:rsidRPr="006A4D95">
              <w:t>requirements of brief of evidence</w:t>
            </w:r>
          </w:p>
          <w:p w:rsidR="00000000" w:rsidRPr="006A4D95" w:rsidP="006A4D95">
            <w:pPr>
              <w:pStyle w:val="ListBullet2"/>
            </w:pPr>
            <w:r w:rsidRPr="006A4D95">
              <w:t>principles of disclosure</w:t>
            </w:r>
          </w:p>
          <w:p w:rsidR="00000000" w:rsidRPr="006A4D95" w:rsidP="006A4D95">
            <w:pPr>
              <w:pStyle w:val="ListBullet2"/>
            </w:pPr>
            <w:r w:rsidRPr="006A4D95">
              <w:t>anti-discrimination law</w:t>
            </w:r>
          </w:p>
          <w:p w:rsidR="00000000" w:rsidRPr="006A4D95" w:rsidP="006A4D95">
            <w:pPr>
              <w:pStyle w:val="ListBullet2"/>
            </w:pPr>
            <w:r w:rsidRPr="006A4D95">
              <w:t>organisat</w:t>
            </w:r>
            <w:r w:rsidRPr="006A4D95">
              <w:t>ional policies, guidelines and regulations</w:t>
            </w:r>
          </w:p>
          <w:p w:rsidR="00000000" w:rsidRPr="006A4D95" w:rsidP="006A4D95">
            <w:pPr>
              <w:pStyle w:val="ListBullet2"/>
            </w:pPr>
            <w:r w:rsidRPr="006A4D95">
              <w:t>equity and diversity principles</w:t>
            </w:r>
          </w:p>
          <w:p w:rsidR="00000000" w:rsidRPr="006A4D95" w:rsidP="006A4D95">
            <w:pPr>
              <w:pStyle w:val="ListBullet2"/>
            </w:pPr>
            <w:r w:rsidRPr="006A4D95">
              <w:t>public sector legislation such as occupational health and safety and environment relating to the preparation of a brief of evidence</w:t>
            </w:r>
          </w:p>
        </w:tc>
      </w:tr>
    </w:tbl>
    <w:p w:rsidR="00000000" w:rsidRPr="006A4D95" w:rsidP="006A4D95">
      <w:pPr>
        <w:pStyle w:val="BodyText"/>
      </w:pP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10" w:name="O_498299"/>
      <w:bookmarkEnd w:id="10"/>
      <w:r w:rsidRPr="006A4D9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6A4D95">
              <w:t>lic Sector Training Package.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rPr>
                <w:rStyle w:val="SpecialBold"/>
              </w:rPr>
              <w:t>Units to be assessed together</w:t>
            </w:r>
            <w:r w:rsidRPr="006A4D9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rPr>
                <w:rStyle w:val="Emphasis"/>
              </w:rPr>
              <w:t>Pre</w:t>
            </w:r>
            <w:r w:rsidRPr="006A4D95">
              <w:t>-</w:t>
            </w:r>
            <w:r w:rsidRPr="006A4D95">
              <w:rPr>
                <w:rStyle w:val="Emphasis"/>
              </w:rPr>
              <w:t>requisite</w:t>
            </w:r>
            <w:r w:rsidRPr="006A4D95">
              <w:t xml:space="preserve"> units that </w:t>
            </w:r>
            <w:r w:rsidRPr="006A4D95">
              <w:rPr>
                <w:rStyle w:val="Underline"/>
              </w:rPr>
              <w:t>must</w:t>
            </w:r>
            <w:r w:rsidRPr="006A4D95">
              <w:t xml:space="preserve"> be achieved </w:t>
            </w:r>
            <w:r w:rsidRPr="006A4D95">
              <w:rPr>
                <w:rStyle w:val="Underline"/>
              </w:rPr>
              <w:t>prior</w:t>
            </w:r>
            <w:r w:rsidRPr="006A4D95">
              <w:t xml:space="preserve"> to this unit:</w:t>
            </w:r>
            <w:r w:rsidRPr="006A4D95">
              <w:rPr>
                <w:rStyle w:val="Emphasis"/>
              </w:rPr>
              <w:t>Nil</w:t>
            </w:r>
          </w:p>
          <w:p w:rsidR="00000000" w:rsidRPr="006A4D95" w:rsidP="006A4D95">
            <w:pPr>
              <w:pStyle w:val="ListBullet2"/>
            </w:pPr>
            <w:r w:rsidRPr="006A4D95">
              <w:rPr>
                <w:rStyle w:val="Emphasis"/>
              </w:rPr>
              <w:t>Co</w:t>
            </w:r>
            <w:r w:rsidRPr="006A4D95">
              <w:t>-</w:t>
            </w:r>
            <w:r w:rsidRPr="006A4D95">
              <w:rPr>
                <w:rStyle w:val="Emphasis"/>
              </w:rPr>
              <w:t>requisite</w:t>
            </w:r>
            <w:r w:rsidRPr="006A4D95">
              <w:t xml:space="preserve"> units that </w:t>
            </w:r>
            <w:r w:rsidRPr="006A4D95">
              <w:rPr>
                <w:rStyle w:val="Underline"/>
              </w:rPr>
              <w:t>must</w:t>
            </w:r>
            <w:r w:rsidRPr="006A4D95">
              <w:t xml:space="preserve"> be assessed </w:t>
            </w:r>
            <w:r w:rsidRPr="006A4D95">
              <w:rPr>
                <w:rStyle w:val="Underline"/>
              </w:rPr>
              <w:t>with</w:t>
            </w:r>
            <w:r w:rsidRPr="006A4D95">
              <w:t xml:space="preserve"> this unit:</w:t>
            </w:r>
            <w:r w:rsidRPr="006A4D95">
              <w:rPr>
                <w:rStyle w:val="Emphasis"/>
              </w:rPr>
              <w:t>Nil</w:t>
            </w:r>
          </w:p>
          <w:p w:rsidR="00000000" w:rsidRPr="006A4D95" w:rsidP="006A4D95">
            <w:pPr>
              <w:pStyle w:val="ListBullet2"/>
            </w:pPr>
            <w:r w:rsidRPr="006A4D95">
              <w:rPr>
                <w:rStyle w:val="Emphasis"/>
              </w:rPr>
              <w:t>Co</w:t>
            </w:r>
            <w:r w:rsidRPr="006A4D95">
              <w:t>-</w:t>
            </w:r>
            <w:r w:rsidRPr="006A4D95">
              <w:rPr>
                <w:rStyle w:val="Emphasis"/>
              </w:rPr>
              <w:t>assessed units</w:t>
            </w:r>
            <w:r w:rsidRPr="006A4D95">
              <w:t xml:space="preserve"> that </w:t>
            </w:r>
            <w:r w:rsidRPr="006A4D95">
              <w:rPr>
                <w:rStyle w:val="Underline"/>
              </w:rPr>
              <w:t>may</w:t>
            </w:r>
            <w:r w:rsidRPr="006A4D95">
              <w:t xml:space="preserve"> be assessed with this unit to increase the efficiency and realism of the assessment process include, but are not limited to:</w:t>
            </w:r>
          </w:p>
          <w:p w:rsidR="00000000" w:rsidRPr="006A4D95" w:rsidP="006A4D95">
            <w:pPr>
              <w:pStyle w:val="ListBullet3"/>
            </w:pPr>
            <w:r w:rsidRPr="006A4D95">
              <w:t>PSPETHC401A Uphold and support the values and principles of public service</w:t>
            </w:r>
          </w:p>
          <w:p w:rsidR="00000000" w:rsidRPr="006A4D95" w:rsidP="006A4D95">
            <w:pPr>
              <w:pStyle w:val="ListBullet3"/>
            </w:pPr>
            <w:r w:rsidRPr="006A4D95">
              <w:t>PSPLEGN401A Encourage compliance with legislation in the public sector</w:t>
            </w:r>
          </w:p>
          <w:p w:rsidR="00000000" w:rsidRPr="006A4D95" w:rsidP="006A4D95">
            <w:pPr>
              <w:pStyle w:val="ListBullet3"/>
            </w:pPr>
            <w:r w:rsidRPr="006A4D95">
              <w:t>PSPGOV422A Apply government processes</w:t>
            </w:r>
          </w:p>
          <w:p w:rsidR="00000000" w:rsidRPr="006A4D95" w:rsidP="006A4D95">
            <w:pPr>
              <w:pStyle w:val="ListBullet3"/>
            </w:pPr>
            <w:r w:rsidRPr="006A4D95">
              <w:t>PSPREG401C Exercise regulatory powers</w:t>
            </w:r>
          </w:p>
          <w:p w:rsidR="00000000" w:rsidRPr="006A4D95" w:rsidP="006A4D95">
            <w:pPr>
              <w:pStyle w:val="ListBullet3"/>
            </w:pPr>
            <w:r w:rsidRPr="006A4D95">
              <w:t xml:space="preserve">PSPREG407B Produce formal record of interview </w:t>
            </w:r>
          </w:p>
          <w:p w:rsidR="00000000" w:rsidRPr="006A4D95" w:rsidP="006A4D95">
            <w:pPr>
              <w:pStyle w:val="ListBullet3"/>
            </w:pPr>
            <w:r w:rsidRPr="006A4D95">
              <w:t>PSPREG411A Gather information through interviews</w:t>
            </w:r>
          </w:p>
          <w:p w:rsidR="00000000" w:rsidP="006A4D95">
            <w:pPr>
              <w:pStyle w:val="ListBullet3"/>
              <w:rPr>
                <w:lang w:val="en-NZ"/>
              </w:rPr>
            </w:pPr>
            <w:r w:rsidRPr="006A4D95">
              <w:t>PSPREG412A Ga</w:t>
            </w:r>
            <w:r w:rsidRPr="006A4D95">
              <w:t>ther and manage evidence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>In addition to integrated demonstration of the elements and their related performance criteria, look for evidence that confirms:</w:t>
            </w:r>
          </w:p>
          <w:p w:rsidR="00000000" w:rsidRPr="006A4D95" w:rsidP="006A4D95">
            <w:pPr>
              <w:pStyle w:val="ListBullet2"/>
            </w:pPr>
            <w:r w:rsidRPr="006A4D95">
              <w:t xml:space="preserve">the knowledge requirements of this unit </w:t>
            </w:r>
          </w:p>
          <w:p w:rsidR="00000000" w:rsidRPr="006A4D95" w:rsidP="006A4D95">
            <w:pPr>
              <w:pStyle w:val="ListBullet2"/>
            </w:pPr>
            <w:r w:rsidRPr="006A4D95">
              <w:t>the skill requirements of this unit</w:t>
            </w:r>
          </w:p>
          <w:p w:rsidR="00000000" w:rsidRPr="006A4D95" w:rsidP="006A4D95">
            <w:pPr>
              <w:pStyle w:val="ListBullet2"/>
            </w:pPr>
            <w:r w:rsidRPr="006A4D95">
              <w:t>application of the Employability Skills as they relate to this unit (see Employability Summaries in Qualifications Framework)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preparing a brief of evidence in a range of (3 or more) contexts (or occasions, over time)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Re</w:t>
            </w:r>
            <w:r w:rsidRPr="006A4D95">
              <w:rPr>
                <w:rStyle w:val="SpecialBold"/>
              </w:rPr>
              <w:t>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>These resources include:</w:t>
            </w:r>
          </w:p>
          <w:p w:rsidR="00000000" w:rsidRPr="006A4D95" w:rsidP="006A4D95">
            <w:pPr>
              <w:pStyle w:val="ListBullet2"/>
            </w:pPr>
            <w:r w:rsidRPr="006A4D95">
              <w:t>legislation, regulations, policy, guidelines and standards</w:t>
            </w:r>
          </w:p>
          <w:p w:rsidR="00000000" w:rsidRPr="006A4D95" w:rsidP="006A4D95">
            <w:pPr>
              <w:pStyle w:val="ListBullet2"/>
            </w:pPr>
            <w:r w:rsidRPr="006A4D95">
              <w:t>public sector values and codes of conduct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case studies and workplace scenarios to capture the range of situations likely to be enc</w:t>
            </w:r>
            <w:r w:rsidRPr="006A4D95">
              <w:t>ountered when preparing a brief of evidence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 xml:space="preserve">Valid assessment of this unit requires: </w:t>
            </w:r>
          </w:p>
          <w:p w:rsidR="00000000" w:rsidRPr="006A4D95" w:rsidP="006A4D95">
            <w:pPr>
              <w:pStyle w:val="ListBullet2"/>
            </w:pPr>
            <w:r w:rsidRPr="006A4D95">
              <w:t>a workplace environment or one that closely resembles normal work practice and replicates the range of conditions likely to be encounter</w:t>
            </w:r>
            <w:r w:rsidRPr="006A4D95">
              <w:t>ed when preparing a brief of evidence, including coping with difficulties, irregularities and breakdowns in routine</w:t>
            </w:r>
          </w:p>
          <w:p w:rsidR="00000000" w:rsidRPr="006A4D95" w:rsidP="006A4D95">
            <w:pPr>
              <w:pStyle w:val="ListBullet2"/>
            </w:pPr>
            <w:r w:rsidRPr="006A4D95">
              <w:t>preparing a brief of evidence in a range of (3 or more) contexts (or occasions, over time)</w:t>
            </w:r>
          </w:p>
          <w:p w:rsidR="00000000" w:rsidRPr="006A4D95" w:rsidP="006A4D95">
            <w:pPr>
              <w:pStyle w:val="BodyText"/>
            </w:pPr>
            <w:r w:rsidRPr="006A4D95">
              <w:t>Assessment methods should reflect workplace demands, such as literacy, and the needs of particular groups, such as:</w:t>
            </w:r>
          </w:p>
          <w:p w:rsidR="00000000" w:rsidRPr="006A4D95" w:rsidP="006A4D95">
            <w:pPr>
              <w:pStyle w:val="ListBullet2"/>
            </w:pPr>
            <w:r w:rsidRPr="006A4D95">
              <w:t>people with disabilities</w:t>
            </w:r>
          </w:p>
          <w:p w:rsidR="00000000" w:rsidRPr="006A4D95" w:rsidP="006A4D95">
            <w:pPr>
              <w:pStyle w:val="ListBullet2"/>
            </w:pPr>
            <w:r w:rsidRPr="006A4D95">
              <w:t>people from culturally and linguistically diverse backgrounds</w:t>
            </w:r>
          </w:p>
          <w:p w:rsidR="00000000" w:rsidRPr="006A4D95" w:rsidP="006A4D95">
            <w:pPr>
              <w:pStyle w:val="ListBullet2"/>
            </w:pPr>
            <w:r w:rsidRPr="006A4D95">
              <w:t>Aboriginal and Torres Strait Islander people</w:t>
            </w:r>
          </w:p>
          <w:p w:rsidR="00000000" w:rsidRPr="006A4D95" w:rsidP="006A4D95">
            <w:pPr>
              <w:pStyle w:val="ListBullet2"/>
            </w:pPr>
            <w:r w:rsidRPr="006A4D95">
              <w:t>women</w:t>
            </w:r>
          </w:p>
          <w:p w:rsidR="00000000" w:rsidRPr="006A4D95" w:rsidP="006A4D95">
            <w:pPr>
              <w:pStyle w:val="ListBullet2"/>
            </w:pPr>
            <w:r w:rsidRPr="006A4D95">
              <w:t>y</w:t>
            </w:r>
            <w:r w:rsidRPr="006A4D95">
              <w:t>oung people</w:t>
            </w:r>
          </w:p>
          <w:p w:rsidR="00000000" w:rsidRPr="006A4D95" w:rsidP="006A4D95">
            <w:pPr>
              <w:pStyle w:val="ListBullet2"/>
            </w:pPr>
            <w:r w:rsidRPr="006A4D95">
              <w:t>older people</w:t>
            </w:r>
          </w:p>
          <w:p w:rsidR="00000000" w:rsidRPr="006A4D95" w:rsidP="006A4D95">
            <w:pPr>
              <w:pStyle w:val="ListBullet2"/>
            </w:pPr>
            <w:r w:rsidRPr="006A4D95">
              <w:t>people in rural and remote locations</w:t>
            </w:r>
          </w:p>
          <w:p w:rsidR="00000000" w:rsidRPr="006A4D95" w:rsidP="006A4D95">
            <w:pPr>
              <w:pStyle w:val="BodyText"/>
            </w:pPr>
            <w:r w:rsidRPr="006A4D95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A4D95" w:rsidP="006A4D95">
            <w:pPr>
              <w:pStyle w:val="ListBullet2"/>
            </w:pPr>
            <w:r w:rsidRPr="006A4D95">
              <w:t>case studies</w:t>
            </w:r>
          </w:p>
          <w:p w:rsidR="00000000" w:rsidRPr="006A4D95" w:rsidP="006A4D95">
            <w:pPr>
              <w:pStyle w:val="ListBullet2"/>
            </w:pPr>
            <w:r w:rsidRPr="006A4D95">
              <w:t xml:space="preserve">portfolios </w:t>
            </w:r>
          </w:p>
          <w:p w:rsidR="00000000" w:rsidRPr="006A4D95" w:rsidP="006A4D95">
            <w:pPr>
              <w:pStyle w:val="ListBullet2"/>
            </w:pPr>
            <w:r w:rsidRPr="006A4D95">
              <w:t>projects</w:t>
            </w:r>
          </w:p>
          <w:p w:rsidR="00000000" w:rsidRPr="006A4D95" w:rsidP="006A4D95">
            <w:pPr>
              <w:pStyle w:val="ListBullet2"/>
            </w:pPr>
            <w:r w:rsidRPr="006A4D95">
              <w:t>questioni</w:t>
            </w:r>
            <w:r w:rsidRPr="006A4D95">
              <w:t>ng</w:t>
            </w:r>
          </w:p>
          <w:p w:rsidR="00000000" w:rsidRPr="006A4D95" w:rsidP="006A4D95">
            <w:pPr>
              <w:pStyle w:val="ListBullet2"/>
            </w:pPr>
            <w:r w:rsidRPr="006A4D95">
              <w:t>scenarios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 xml:space="preserve">authenticated evidence from the workplace and/or training courses   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BodyText"/>
            </w:pPr>
            <w:r w:rsidRPr="006A4D95">
              <w:t xml:space="preserve">Evidence must be gathered over time in a range of contexts to ensure the person can achieve the unit outcome and apply the competency in </w:t>
            </w:r>
            <w:r w:rsidRPr="006A4D95">
              <w:t>different situations or environments</w:t>
            </w:r>
          </w:p>
        </w:tc>
      </w:tr>
    </w:tbl>
    <w:p w:rsidR="00000000" w:rsidRPr="006A4D95" w:rsidP="006A4D95">
      <w:pPr>
        <w:pStyle w:val="BodyText"/>
      </w:pPr>
    </w:p>
    <w:p w:rsidR="00000000" w:rsidRPr="006A4D95" w:rsidP="006A4D95">
      <w:pPr>
        <w:pStyle w:val="AllowPageBreak"/>
      </w:pPr>
    </w:p>
    <w:p w:rsidR="00000000" w:rsidRPr="006A4D95" w:rsidP="006A4D95">
      <w:pPr>
        <w:pStyle w:val="Heading1"/>
      </w:pPr>
      <w:bookmarkStart w:id="11" w:name="O_498297"/>
      <w:bookmarkEnd w:id="11"/>
      <w:r w:rsidRPr="006A4D9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t>The Range Statement provides information about the context in which the unit of competency is carried out. The variables cater for differences between States and Territories and the Co</w:t>
            </w:r>
            <w:r w:rsidRPr="006A4D95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A4D95">
              <w:rPr>
                <w:rStyle w:val="BoldandItalics"/>
              </w:rPr>
              <w:t xml:space="preserve"> bold italics</w:t>
            </w:r>
            <w:r w:rsidRPr="006A4D95">
              <w:t xml:space="preserve"> in the Perform</w:t>
            </w:r>
            <w:r w:rsidRPr="006A4D95">
              <w:t>ance Criteria is explained here.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 xml:space="preserve">Evidence </w:t>
            </w:r>
            <w:r w:rsidRPr="006A4D9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>documentary, real and oral evidence</w:t>
            </w:r>
          </w:p>
          <w:p w:rsidR="00000000" w:rsidRPr="006A4D95" w:rsidP="006A4D95">
            <w:pPr>
              <w:pStyle w:val="ListBullet2"/>
            </w:pPr>
            <w:r w:rsidRPr="006A4D95">
              <w:t>statements</w:t>
            </w:r>
          </w:p>
          <w:p w:rsidR="00000000" w:rsidRPr="006A4D95" w:rsidP="006A4D95">
            <w:pPr>
              <w:pStyle w:val="ListBullet2"/>
            </w:pPr>
            <w:r w:rsidRPr="006A4D95">
              <w:t>interviews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exhibits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>Required standards</w:t>
            </w:r>
            <w:r w:rsidRPr="006A4D9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 xml:space="preserve">having the brief reviewed by a legal authority to ensure completeness, accuracy, whether </w:t>
            </w:r>
            <w:r w:rsidRPr="006A4D95">
              <w:t>a prima facie case exists, and the likelihood of success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correlating witness statements to exhibits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 xml:space="preserve">Prosecution </w:t>
            </w:r>
            <w:r w:rsidRPr="006A4D9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>organisation's prosecutor or prosecuting team</w:t>
            </w:r>
          </w:p>
          <w:p w:rsidR="00000000" w:rsidRPr="006A4D95" w:rsidP="006A4D95">
            <w:pPr>
              <w:pStyle w:val="ListBullet2"/>
            </w:pPr>
            <w:r w:rsidRPr="006A4D95">
              <w:t>State/Territory/Commonwealth government prosecution authority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Crown solicitor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>Info</w:t>
            </w:r>
            <w:r w:rsidRPr="006A4D95">
              <w:rPr>
                <w:rStyle w:val="BoldandItalics"/>
              </w:rPr>
              <w:t>rmation required in a brief of evidence</w:t>
            </w:r>
            <w:r w:rsidRPr="006A4D9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>precedents</w:t>
            </w:r>
          </w:p>
          <w:p w:rsidR="00000000" w:rsidRPr="006A4D95" w:rsidP="006A4D95">
            <w:pPr>
              <w:pStyle w:val="ListBullet2"/>
            </w:pPr>
            <w:r w:rsidRPr="006A4D95">
              <w:t>relevant sections of legislation</w:t>
            </w:r>
          </w:p>
          <w:p w:rsidR="00000000" w:rsidRPr="006A4D95" w:rsidP="006A4D95">
            <w:pPr>
              <w:pStyle w:val="ListBullet2"/>
            </w:pPr>
            <w:r w:rsidRPr="006A4D95">
              <w:t>witness statements</w:t>
            </w:r>
          </w:p>
          <w:p w:rsidR="00000000" w:rsidRPr="006A4D95" w:rsidP="006A4D95">
            <w:pPr>
              <w:pStyle w:val="ListBullet2"/>
            </w:pPr>
            <w:r w:rsidRPr="006A4D95">
              <w:t>records of interview</w:t>
            </w:r>
          </w:p>
          <w:p w:rsidR="00000000" w:rsidRPr="006A4D95" w:rsidP="006A4D95">
            <w:pPr>
              <w:pStyle w:val="ListBullet2"/>
            </w:pPr>
            <w:r w:rsidRPr="006A4D95">
              <w:t>admissible evidence</w:t>
            </w:r>
          </w:p>
          <w:p w:rsidR="00000000" w:rsidP="006A4D95">
            <w:pPr>
              <w:pStyle w:val="ListBullet2"/>
              <w:rPr>
                <w:lang w:val="en-NZ"/>
              </w:rPr>
            </w:pPr>
            <w:r w:rsidRPr="006A4D95">
              <w:t>other evidence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 xml:space="preserve">Witnesses </w:t>
            </w:r>
            <w:r w:rsidRPr="006A4D9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>organisational personnel</w:t>
            </w:r>
          </w:p>
          <w:p w:rsidR="00000000" w:rsidRPr="006A4D95" w:rsidP="006A4D95">
            <w:pPr>
              <w:pStyle w:val="ListBullet2"/>
            </w:pPr>
            <w:r w:rsidRPr="006A4D95">
              <w:t>professionals/experts</w:t>
            </w:r>
          </w:p>
          <w:p w:rsidR="00000000" w:rsidRPr="006A4D95" w:rsidP="006A4D95">
            <w:pPr>
              <w:pStyle w:val="ListBullet2"/>
            </w:pPr>
            <w:r w:rsidRPr="006A4D95">
              <w:t>those with specific needs such as:</w:t>
            </w:r>
          </w:p>
          <w:p w:rsidR="00000000" w:rsidRPr="006A4D95" w:rsidP="006A4D95">
            <w:pPr>
              <w:pStyle w:val="ListBullet3"/>
            </w:pPr>
            <w:r w:rsidRPr="006A4D95">
              <w:t>distressed persons</w:t>
            </w:r>
          </w:p>
          <w:p w:rsidR="00000000" w:rsidRPr="006A4D95" w:rsidP="006A4D95">
            <w:pPr>
              <w:pStyle w:val="ListBullet3"/>
            </w:pPr>
            <w:r w:rsidRPr="006A4D95">
              <w:t>hostile witnesses</w:t>
            </w:r>
          </w:p>
          <w:p w:rsidR="00000000" w:rsidRPr="006A4D95" w:rsidP="006A4D95">
            <w:pPr>
              <w:pStyle w:val="ListBullet3"/>
            </w:pPr>
            <w:r w:rsidRPr="006A4D95">
              <w:t>minors</w:t>
            </w:r>
          </w:p>
          <w:p w:rsidR="00000000" w:rsidP="006A4D95">
            <w:pPr>
              <w:pStyle w:val="ListBullet3"/>
              <w:rPr>
                <w:lang w:val="en-NZ"/>
              </w:rPr>
            </w:pPr>
            <w:r w:rsidRPr="006A4D95">
              <w:t>complainants</w:t>
            </w:r>
          </w:p>
        </w:tc>
      </w:tr>
      <w:tr w:rsidTr="005C2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D95">
            <w:pPr>
              <w:pStyle w:val="BodyText"/>
              <w:rPr>
                <w:lang w:val="en-NZ"/>
              </w:rPr>
            </w:pPr>
            <w:r w:rsidRPr="006A4D95">
              <w:rPr>
                <w:rStyle w:val="BoldandItalics"/>
              </w:rPr>
              <w:t xml:space="preserve">Proceedings </w:t>
            </w:r>
            <w:r w:rsidRPr="006A4D9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D95" w:rsidP="006A4D95">
            <w:pPr>
              <w:pStyle w:val="ListBullet2"/>
            </w:pPr>
            <w:r w:rsidRPr="006A4D95">
              <w:t>courts</w:t>
            </w:r>
          </w:p>
          <w:p w:rsidR="00000000" w:rsidRPr="006A4D95" w:rsidP="006A4D95">
            <w:pPr>
              <w:pStyle w:val="ListBullet2"/>
            </w:pPr>
            <w:r w:rsidRPr="006A4D95">
              <w:t>tribunals</w:t>
            </w:r>
          </w:p>
        </w:tc>
      </w:tr>
    </w:tbl>
    <w:p w:rsidR="005C20E4" w:rsidP="006A4D95">
      <w:pPr>
        <w:pStyle w:val="BodyText"/>
      </w:pPr>
    </w:p>
    <w:p w:rsidR="005C20E4" w:rsidP="006A4D95">
      <w:pPr>
        <w:pStyle w:val="BodyText"/>
      </w:pPr>
    </w:p>
    <w:p w:rsidR="00000000" w:rsidRPr="006A4D95" w:rsidP="006A4D95">
      <w:pPr>
        <w:pStyle w:val="Heading1"/>
      </w:pPr>
      <w:bookmarkStart w:id="12" w:name="O_498303"/>
      <w:bookmarkEnd w:id="12"/>
      <w:r w:rsidRPr="006A4D95">
        <w:t>Unit Sector(s)</w:t>
      </w:r>
    </w:p>
    <w:p w:rsidR="00000000" w:rsidRPr="006A4D95" w:rsidP="006A4D95">
      <w:pPr>
        <w:pStyle w:val="BodyText"/>
      </w:pPr>
      <w:r w:rsidRPr="006A4D95">
        <w:t>Not applicable.</w:t>
      </w:r>
    </w:p>
    <w:p w:rsidR="00000000" w:rsidRPr="006A4D95" w:rsidP="006A4D95"/>
    <w:sectPr w:rsidSect="006A4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20E4" w:rsidP="005C20E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E4" w:rsidP="006A4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20E4" w:rsidP="006A4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20E4" w:rsidP="006A4D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95" w:rsidRPr="005C20E4" w:rsidP="005C20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0E4" w:rsidRPr="002D2AF8" w:rsidP="006A4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PSPREG409B Prepare a brief of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5C20E4" w:rsidP="006A4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022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C8E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D95"/>
  </w:style>
  <w:style w:type="character" w:customStyle="1" w:styleId="Heading1Char">
    <w:name w:val="Heading 1 Char"/>
    <w:basedOn w:val="DefaultParagraphFont"/>
    <w:link w:val="Heading1"/>
    <w:rsid w:val="006A4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D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D9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4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D9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A4D9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A4D95"/>
    <w:rPr>
      <w:b/>
      <w:spacing w:val="0"/>
    </w:rPr>
  </w:style>
  <w:style w:type="paragraph" w:styleId="ListBullet2">
    <w:name w:val="List Bullet 2"/>
    <w:basedOn w:val="List2"/>
    <w:rsid w:val="006A4D9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4D95"/>
    <w:rPr>
      <w:i/>
    </w:rPr>
  </w:style>
  <w:style w:type="paragraph" w:customStyle="1" w:styleId="SuperHeading">
    <w:name w:val="SuperHeading"/>
    <w:basedOn w:val="Normal"/>
    <w:rsid w:val="006A4D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4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4D95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6A4D95"/>
    <w:rPr>
      <w:u w:val="single"/>
    </w:rPr>
  </w:style>
  <w:style w:type="character" w:customStyle="1" w:styleId="BoldandItalics">
    <w:name w:val="Bold and Italics"/>
    <w:qFormat/>
    <w:rsid w:val="006A4D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4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4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D9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A4D95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D95"/>
  </w:style>
  <w:style w:type="paragraph" w:styleId="TableofFigures">
    <w:name w:val="table of figures"/>
    <w:basedOn w:val="Normal"/>
    <w:next w:val="Normal"/>
    <w:semiHidden/>
    <w:rsid w:val="006A4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D95"/>
    <w:pPr>
      <w:numPr>
        <w:numId w:val="11"/>
      </w:numPr>
    </w:pPr>
  </w:style>
  <w:style w:type="character" w:customStyle="1" w:styleId="WingdingSymbols">
    <w:name w:val="Wingding Symbols"/>
    <w:rsid w:val="006A4D95"/>
    <w:rPr>
      <w:rFonts w:ascii="Wingdings" w:hAnsi="Wingdings"/>
    </w:rPr>
  </w:style>
  <w:style w:type="paragraph" w:customStyle="1" w:styleId="TableHeading">
    <w:name w:val="Table Heading"/>
    <w:basedOn w:val="HeadingBase"/>
    <w:rsid w:val="006A4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D95"/>
    <w:rPr>
      <w:color w:val="0033CC"/>
      <w:u w:val="none"/>
    </w:rPr>
  </w:style>
  <w:style w:type="paragraph" w:customStyle="1" w:styleId="BodyTextRight">
    <w:name w:val="Body Text Right"/>
    <w:basedOn w:val="BodyText"/>
    <w:rsid w:val="006A4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D95"/>
    <w:rPr>
      <w:sz w:val="32"/>
    </w:rPr>
  </w:style>
  <w:style w:type="paragraph" w:customStyle="1" w:styleId="HeadingProcedure">
    <w:name w:val="Heading Procedure"/>
    <w:basedOn w:val="HeadingBase"/>
    <w:next w:val="Normal"/>
    <w:rsid w:val="006A4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D95"/>
    <w:pPr>
      <w:spacing w:before="60" w:after="60"/>
    </w:pPr>
  </w:style>
  <w:style w:type="paragraph" w:styleId="ListContinue">
    <w:name w:val="List Continue"/>
    <w:basedOn w:val="List"/>
    <w:rsid w:val="006A4D95"/>
    <w:pPr>
      <w:ind w:firstLine="0"/>
    </w:pPr>
  </w:style>
  <w:style w:type="paragraph" w:customStyle="1" w:styleId="ListNote">
    <w:name w:val="List Note"/>
    <w:basedOn w:val="List"/>
    <w:rsid w:val="006A4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D95"/>
    <w:rPr>
      <w:rFonts w:ascii="Courier New" w:hAnsi="Courier New"/>
    </w:rPr>
  </w:style>
  <w:style w:type="paragraph" w:customStyle="1" w:styleId="NoteBullet">
    <w:name w:val="Note Bullet"/>
    <w:basedOn w:val="Note"/>
    <w:rsid w:val="006A4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D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4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D95"/>
    <w:rPr>
      <w:b/>
      <w:smallCaps/>
    </w:rPr>
  </w:style>
  <w:style w:type="paragraph" w:customStyle="1" w:styleId="TableListNumber">
    <w:name w:val="Table List Number"/>
    <w:basedOn w:val="ListNumber"/>
    <w:rsid w:val="006A4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D95"/>
    <w:pPr>
      <w:numPr>
        <w:numId w:val="9"/>
      </w:numPr>
    </w:pPr>
  </w:style>
  <w:style w:type="paragraph" w:customStyle="1" w:styleId="ListAlpha2">
    <w:name w:val="List Alpha 2"/>
    <w:basedOn w:val="List2"/>
    <w:rsid w:val="006A4D95"/>
    <w:pPr>
      <w:numPr>
        <w:numId w:val="8"/>
      </w:numPr>
    </w:pPr>
  </w:style>
  <w:style w:type="paragraph" w:styleId="List2">
    <w:name w:val="List 2"/>
    <w:basedOn w:val="BodyText"/>
    <w:rsid w:val="006A4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D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4D95"/>
    <w:pPr>
      <w:numPr>
        <w:numId w:val="3"/>
      </w:numPr>
    </w:pPr>
  </w:style>
  <w:style w:type="paragraph" w:styleId="ListBullet5">
    <w:name w:val="List Bullet 5"/>
    <w:basedOn w:val="List5"/>
    <w:rsid w:val="006A4D95"/>
    <w:pPr>
      <w:numPr>
        <w:numId w:val="4"/>
      </w:numPr>
    </w:pPr>
  </w:style>
  <w:style w:type="paragraph" w:styleId="ListContinue2">
    <w:name w:val="List Continue 2"/>
    <w:basedOn w:val="List2"/>
    <w:rsid w:val="006A4D95"/>
    <w:pPr>
      <w:ind w:firstLine="0"/>
    </w:pPr>
  </w:style>
  <w:style w:type="paragraph" w:styleId="ListContinue3">
    <w:name w:val="List Continue 3"/>
    <w:basedOn w:val="List3"/>
    <w:rsid w:val="006A4D95"/>
    <w:pPr>
      <w:ind w:left="1021" w:firstLine="0"/>
    </w:pPr>
  </w:style>
  <w:style w:type="paragraph" w:styleId="ListContinue4">
    <w:name w:val="List Continue 4"/>
    <w:basedOn w:val="List4"/>
    <w:rsid w:val="006A4D95"/>
    <w:pPr>
      <w:ind w:firstLine="0"/>
    </w:pPr>
  </w:style>
  <w:style w:type="paragraph" w:styleId="ListContinue5">
    <w:name w:val="List Continue 5"/>
    <w:basedOn w:val="List5"/>
    <w:rsid w:val="006A4D95"/>
    <w:pPr>
      <w:ind w:firstLine="0"/>
    </w:pPr>
  </w:style>
  <w:style w:type="paragraph" w:styleId="ListNumber3">
    <w:name w:val="List Number 3"/>
    <w:basedOn w:val="List3"/>
    <w:rsid w:val="006A4D95"/>
    <w:pPr>
      <w:numPr>
        <w:numId w:val="5"/>
      </w:numPr>
    </w:pPr>
  </w:style>
  <w:style w:type="paragraph" w:styleId="ListNumber4">
    <w:name w:val="List Number 4"/>
    <w:basedOn w:val="List4"/>
    <w:rsid w:val="006A4D95"/>
    <w:pPr>
      <w:numPr>
        <w:numId w:val="6"/>
      </w:numPr>
    </w:pPr>
  </w:style>
  <w:style w:type="paragraph" w:styleId="ListNumber5">
    <w:name w:val="List Number 5"/>
    <w:basedOn w:val="List5"/>
    <w:rsid w:val="006A4D95"/>
    <w:pPr>
      <w:numPr>
        <w:numId w:val="7"/>
      </w:numPr>
    </w:pPr>
  </w:style>
  <w:style w:type="paragraph" w:styleId="BlockText">
    <w:name w:val="Block Text"/>
    <w:basedOn w:val="Normal"/>
    <w:rsid w:val="006A4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D95"/>
    <w:rPr>
      <w:sz w:val="16"/>
      <w:vertAlign w:val="superscript"/>
    </w:rPr>
  </w:style>
  <w:style w:type="character" w:customStyle="1" w:styleId="Symbols">
    <w:name w:val="Symbols"/>
    <w:basedOn w:val="DefaultParagraphFont"/>
    <w:rsid w:val="006A4D95"/>
    <w:rPr>
      <w:rFonts w:ascii="Symbol" w:hAnsi="Symbol"/>
    </w:rPr>
  </w:style>
  <w:style w:type="character" w:customStyle="1" w:styleId="MenuOptions">
    <w:name w:val="Menu Options"/>
    <w:basedOn w:val="DefaultParagraphFont"/>
    <w:rsid w:val="006A4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D95"/>
    <w:rPr>
      <w:b/>
    </w:rPr>
  </w:style>
  <w:style w:type="character" w:customStyle="1" w:styleId="Underlined">
    <w:name w:val="Underlined"/>
    <w:basedOn w:val="DefaultParagraphFont"/>
    <w:rsid w:val="006A4D95"/>
    <w:rPr>
      <w:u w:val="single"/>
    </w:rPr>
  </w:style>
  <w:style w:type="paragraph" w:customStyle="1" w:styleId="TableBodyTextRight">
    <w:name w:val="Table Body Text Right"/>
    <w:basedOn w:val="TableBodyText"/>
    <w:rsid w:val="006A4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D95"/>
    <w:rPr>
      <w:sz w:val="18"/>
    </w:rPr>
  </w:style>
  <w:style w:type="paragraph" w:customStyle="1" w:styleId="BodySmallRight">
    <w:name w:val="Body Small Right"/>
    <w:basedOn w:val="BodyTextRight"/>
    <w:rsid w:val="006A4D95"/>
    <w:rPr>
      <w:sz w:val="18"/>
      <w:szCs w:val="18"/>
    </w:rPr>
  </w:style>
  <w:style w:type="paragraph" w:customStyle="1" w:styleId="MarginEdition">
    <w:name w:val="Margin Edition"/>
    <w:basedOn w:val="MarginNote"/>
    <w:rsid w:val="006A4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D95"/>
    <w:rPr>
      <w:sz w:val="2"/>
      <w:szCs w:val="2"/>
    </w:rPr>
  </w:style>
  <w:style w:type="character" w:customStyle="1" w:styleId="Small">
    <w:name w:val="Small"/>
    <w:basedOn w:val="DefaultParagraphFont"/>
    <w:rsid w:val="006A4D95"/>
    <w:rPr>
      <w:sz w:val="16"/>
    </w:rPr>
  </w:style>
  <w:style w:type="paragraph" w:customStyle="1" w:styleId="WideTable">
    <w:name w:val="Wide Table"/>
    <w:basedOn w:val="Normal"/>
    <w:rsid w:val="006A4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D95"/>
  </w:style>
  <w:style w:type="paragraph" w:styleId="Quote">
    <w:name w:val="Quote"/>
    <w:basedOn w:val="Heading1"/>
    <w:link w:val="QuoteChar"/>
    <w:qFormat/>
    <w:rsid w:val="006A4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D95"/>
    <w:pPr>
      <w:pageBreakBefore/>
    </w:pPr>
  </w:style>
  <w:style w:type="paragraph" w:customStyle="1" w:styleId="Border">
    <w:name w:val="Border"/>
    <w:basedOn w:val="Normal"/>
    <w:qFormat/>
    <w:rsid w:val="006A4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D95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6A4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D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D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1240</Words>
  <Characters>7681</Characters>
  <Application>Microsoft Office Word</Application>
  <DocSecurity>0</DocSecurity>
  <Lines>254</Lines>
  <Paragraphs>158</Paragraphs>
  <ScaleCrop>false</ScaleCrop>
  <Company>Author-it Software Corporation Ltd.</Company>
  <LinksUpToDate>false</LinksUpToDate>
  <CharactersWithSpaces>8846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PSPREG409B Prepare a brief of evidence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2012-11-01T18:32:00Z</dcterms:created>
  <dcterms:modified xsi:type="dcterms:W3CDTF">2012-11-01T18:32:00Z</dcterms:modified>
</cp:coreProperties>
</file>