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23D" w:rsidP="003A523D">
      <w:pPr>
        <w:pStyle w:val="Title"/>
      </w:pPr>
      <w:bookmarkStart w:id="0" w:name="_GoBack"/>
      <w:bookmarkEnd w:id="0"/>
      <w:r>
        <w:fldChar w:fldCharType="begin"/>
      </w:r>
      <w:r>
        <w:instrText xml:space="preserve"> TITLE   \* MERGEFORMAT </w:instrText>
      </w:r>
      <w:r>
        <w:fldChar w:fldCharType="separate"/>
      </w:r>
      <w:r>
        <w:t>PSPREG406C Make arrests</w:t>
      </w:r>
      <w:r>
        <w:fldChar w:fldCharType="end"/>
      </w:r>
    </w:p>
    <w:p w:rsidR="003A523D" w:rsidP="003A523D">
      <w:pPr>
        <w:pStyle w:val="Version"/>
        <w:sectPr w:rsidSect="00A07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A075DC" w:rsidP="00A075DC">
      <w:pPr>
        <w:pStyle w:val="SuperHeading"/>
      </w:pPr>
      <w:r w:rsidRPr="00A075DC">
        <w:t>PSPREG406C Make arrests</w:t>
      </w:r>
    </w:p>
    <w:p w:rsidR="00000000" w:rsidRPr="00A075DC" w:rsidP="00A075DC">
      <w:pPr>
        <w:pStyle w:val="SuperHeading"/>
      </w:pPr>
    </w:p>
    <w:p w:rsidR="00000000" w:rsidRPr="00A075DC" w:rsidP="00A075DC">
      <w:pPr>
        <w:pStyle w:val="Heading1"/>
      </w:pPr>
      <w:bookmarkStart w:id="1" w:name="O_498213"/>
      <w:bookmarkEnd w:id="1"/>
      <w:r w:rsidRPr="00A075DC">
        <w:t>Modification History</w:t>
      </w:r>
    </w:p>
    <w:tbl>
      <w:tblPr>
        <w:tblW w:w="0" w:type="auto"/>
        <w:tblLayout w:type="fixed"/>
        <w:tblCellMar>
          <w:left w:w="62" w:type="dxa"/>
          <w:right w:w="62" w:type="dxa"/>
        </w:tblCellMar>
        <w:tblLook w:val="0000"/>
      </w:tblPr>
      <w:tblGrid>
        <w:gridCol w:w="3052"/>
        <w:gridCol w:w="3052"/>
        <w:gridCol w:w="3052"/>
      </w:tblGrid>
      <w:tr w:rsidTr="003A52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5DC" w:rsidP="00A075DC">
            <w:pPr>
              <w:pStyle w:val="BodyText"/>
            </w:pPr>
            <w:r w:rsidRPr="00A075D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5DC" w:rsidP="00A075DC">
            <w:pPr>
              <w:pStyle w:val="BodyText"/>
            </w:pPr>
            <w:r w:rsidRPr="00A075D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rPr>
                <w:rStyle w:val="SpecialBold"/>
              </w:rPr>
              <w:t>Comments</w:t>
            </w:r>
          </w:p>
        </w:tc>
      </w:tr>
      <w:tr w:rsidTr="003A52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 xml:space="preserve">Unit descriptor edited. </w:t>
            </w:r>
          </w:p>
        </w:tc>
      </w:tr>
      <w:tr w:rsidTr="003A52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Layout adjusted. No changes to content.</w:t>
            </w:r>
          </w:p>
        </w:tc>
      </w:tr>
      <w:tr w:rsidTr="003A52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75DC">
            <w:pPr>
              <w:pStyle w:val="BodyText"/>
              <w:rPr>
                <w:lang w:val="en-NZ"/>
              </w:rPr>
            </w:pPr>
            <w:r w:rsidRPr="00A075D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75DC" w:rsidP="00A075DC">
            <w:pPr>
              <w:pStyle w:val="BodyText"/>
            </w:pPr>
            <w:r w:rsidRPr="00A075DC">
              <w:t>Primary release.</w:t>
            </w:r>
          </w:p>
        </w:tc>
      </w:tr>
    </w:tbl>
    <w:p w:rsidR="003A523D" w:rsidP="00A075DC">
      <w:pPr>
        <w:pStyle w:val="BodyText"/>
      </w:pPr>
    </w:p>
    <w:p w:rsidR="003A523D" w:rsidP="00A075DC">
      <w:pPr>
        <w:pStyle w:val="BodyText"/>
      </w:pPr>
    </w:p>
    <w:p w:rsidR="00000000" w:rsidRPr="00A075DC" w:rsidP="00A075DC">
      <w:pPr>
        <w:pStyle w:val="Heading1"/>
      </w:pPr>
      <w:bookmarkStart w:id="2" w:name="O_498212"/>
      <w:bookmarkEnd w:id="2"/>
      <w:r w:rsidRPr="00A075DC">
        <w:t>Unit Descriptor</w:t>
      </w:r>
    </w:p>
    <w:p w:rsidR="00000000" w:rsidRPr="00A075DC" w:rsidP="00A075DC">
      <w:pPr>
        <w:pStyle w:val="BodyText"/>
      </w:pPr>
      <w:r w:rsidRPr="00A075DC">
        <w:t>This unit covers the competency to arrest persons under powers provided by various legislation. It includes making the decision to arrest, perform</w:t>
      </w:r>
      <w:r w:rsidRPr="00A075DC">
        <w:t>ing arrests and preparing and submitting documentation.</w:t>
      </w:r>
    </w:p>
    <w:p w:rsidR="00000000" w:rsidRPr="00A075DC" w:rsidP="00A075DC">
      <w:pPr>
        <w:pStyle w:val="BodyText"/>
      </w:pPr>
      <w:r w:rsidRPr="00A075DC">
        <w:t>In practice, making arrests may overlap with other generalist and specialist public sector work activities such as exercising regulatory powers, acting ethically, complying with public sector legislat</w:t>
      </w:r>
      <w:r w:rsidRPr="00A075DC">
        <w:t>ion, acting on non-compliance, applying government processes, etc.</w:t>
      </w:r>
    </w:p>
    <w:p w:rsidR="003A523D" w:rsidP="00A075DC">
      <w:pPr>
        <w:pStyle w:val="BodyText"/>
      </w:pPr>
      <w:r w:rsidRPr="00A075DC">
        <w:t>No licensing, legislative, regulatory or certification requirements apply to this unit at the time of endorsement.</w:t>
      </w:r>
    </w:p>
    <w:p w:rsidR="003A523D" w:rsidP="00A075DC">
      <w:pPr>
        <w:pStyle w:val="BodyText"/>
      </w:pPr>
    </w:p>
    <w:p w:rsidR="00000000" w:rsidRPr="00A075DC" w:rsidP="00A075DC">
      <w:pPr>
        <w:pStyle w:val="Heading1"/>
      </w:pPr>
      <w:bookmarkStart w:id="3" w:name="O_498218"/>
      <w:bookmarkEnd w:id="3"/>
      <w:r w:rsidRPr="00A075DC">
        <w:t>Application of the Unit</w:t>
      </w:r>
    </w:p>
    <w:p w:rsidR="00000000" w:rsidRPr="00A075DC" w:rsidP="00A075DC">
      <w:pPr>
        <w:pStyle w:val="BodyText"/>
      </w:pPr>
      <w:r w:rsidRPr="00A075DC">
        <w:t>Not applicable.</w:t>
      </w:r>
    </w:p>
    <w:p w:rsidR="00000000" w:rsidRPr="00A075DC" w:rsidP="00A075DC">
      <w:pPr>
        <w:pStyle w:val="AllowPageBreak"/>
      </w:pPr>
    </w:p>
    <w:p w:rsidR="00000000" w:rsidRPr="00A075DC" w:rsidP="00A075DC">
      <w:pPr>
        <w:pStyle w:val="Heading1"/>
      </w:pPr>
      <w:bookmarkStart w:id="4" w:name="O_498207"/>
      <w:bookmarkEnd w:id="4"/>
      <w:r w:rsidRPr="00A075DC">
        <w:t>Licensing/Regulatory Information</w:t>
      </w:r>
    </w:p>
    <w:p w:rsidR="00000000" w:rsidRPr="00A075DC" w:rsidP="00A075DC">
      <w:pPr>
        <w:pStyle w:val="BodyText"/>
      </w:pPr>
      <w:r w:rsidRPr="00A075DC">
        <w:t>Not applicable.</w:t>
      </w:r>
    </w:p>
    <w:p w:rsidR="00000000" w:rsidRPr="00A075DC" w:rsidP="00A075DC">
      <w:pPr>
        <w:pStyle w:val="AllowPageBreak"/>
      </w:pPr>
    </w:p>
    <w:p w:rsidR="00000000" w:rsidRPr="00A075DC" w:rsidP="00A075DC">
      <w:pPr>
        <w:pStyle w:val="Heading1"/>
      </w:pPr>
      <w:bookmarkStart w:id="5" w:name="O_498206"/>
      <w:bookmarkEnd w:id="5"/>
      <w:r w:rsidRPr="00A075DC">
        <w:t>Pre-Requisites</w:t>
      </w:r>
    </w:p>
    <w:p w:rsidR="00000000" w:rsidRPr="00A075DC" w:rsidP="00A075DC">
      <w:pPr>
        <w:pStyle w:val="BodyText"/>
      </w:pPr>
      <w:r w:rsidRPr="00A075DC">
        <w:t>Not applicable.</w:t>
      </w:r>
    </w:p>
    <w:p w:rsidR="00000000" w:rsidRPr="00A075DC" w:rsidP="00A075DC">
      <w:pPr>
        <w:pStyle w:val="AllowPageBreak"/>
      </w:pPr>
    </w:p>
    <w:p w:rsidR="00000000" w:rsidRPr="00A075DC" w:rsidP="00A075DC">
      <w:pPr>
        <w:pStyle w:val="Heading1"/>
      </w:pPr>
      <w:bookmarkStart w:id="6" w:name="O_498214"/>
      <w:bookmarkEnd w:id="6"/>
      <w:r w:rsidRPr="00A075DC">
        <w:t>Employability Skills Information</w:t>
      </w:r>
    </w:p>
    <w:p w:rsidR="00000000" w:rsidRPr="00A075DC" w:rsidP="00A075DC">
      <w:pPr>
        <w:pStyle w:val="BodyText"/>
      </w:pPr>
      <w:r w:rsidRPr="00A075DC">
        <w:t>This unit contains employability skills.</w:t>
      </w:r>
    </w:p>
    <w:p w:rsidR="00000000" w:rsidRPr="00A075DC" w:rsidP="00A075DC">
      <w:pPr>
        <w:pStyle w:val="AllowPageBreak"/>
      </w:pPr>
    </w:p>
    <w:p w:rsidR="00000000" w:rsidRPr="00A075DC" w:rsidP="00A075DC">
      <w:pPr>
        <w:pStyle w:val="Heading1"/>
      </w:pPr>
      <w:bookmarkStart w:id="7" w:name="O_498215"/>
      <w:bookmarkEnd w:id="7"/>
      <w:r w:rsidRPr="00A075DC">
        <w:t>Elements and Performance Criteria Pre-Conte</w:t>
      </w:r>
      <w:r w:rsidRPr="00A075DC">
        <w:t>nt</w:t>
      </w:r>
    </w:p>
    <w:tbl>
      <w:tblPr>
        <w:tblW w:w="9322" w:type="dxa"/>
        <w:tblLayout w:type="fixed"/>
        <w:tblCellMar>
          <w:left w:w="62" w:type="dxa"/>
          <w:right w:w="62" w:type="dxa"/>
        </w:tblCellMar>
        <w:tblLook w:val="0000"/>
      </w:tblPr>
      <w:tblGrid>
        <w:gridCol w:w="2660"/>
        <w:gridCol w:w="6662"/>
      </w:tblGrid>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t xml:space="preserve">Together, performance criteria specify the requirements for competent performance. Text in </w:t>
            </w:r>
            <w:r w:rsidRPr="00A075DC">
              <w:rPr>
                <w:rStyle w:val="BoldandItalics"/>
              </w:rPr>
              <w:t xml:space="preserve">bold italics </w:t>
            </w:r>
            <w:r w:rsidRPr="00A075DC">
              <w:t>is explained in the Range Statement following.</w:t>
            </w:r>
          </w:p>
        </w:tc>
      </w:tr>
    </w:tbl>
    <w:p w:rsidR="00000000" w:rsidRPr="00A075DC" w:rsidP="00A075DC">
      <w:pPr>
        <w:pStyle w:val="BodyText"/>
      </w:pPr>
    </w:p>
    <w:p w:rsidR="00000000" w:rsidRPr="00A075DC" w:rsidP="00A075DC">
      <w:pPr>
        <w:pStyle w:val="AllowPageBreak"/>
      </w:pPr>
    </w:p>
    <w:p w:rsidR="00000000" w:rsidRPr="00A075DC" w:rsidP="00A075DC">
      <w:pPr>
        <w:pStyle w:val="Heading1"/>
      </w:pPr>
      <w:bookmarkStart w:id="8" w:name="O_498216"/>
      <w:bookmarkEnd w:id="8"/>
      <w:r w:rsidRPr="00A075DC">
        <w:t>Elements and Performance Criteria</w:t>
      </w:r>
    </w:p>
    <w:tbl>
      <w:tblPr>
        <w:tblW w:w="9322" w:type="dxa"/>
        <w:tblLayout w:type="fixed"/>
        <w:tblCellMar>
          <w:left w:w="62" w:type="dxa"/>
          <w:right w:w="62" w:type="dxa"/>
        </w:tblCellMar>
        <w:tblLook w:val="0000"/>
      </w:tblPr>
      <w:tblGrid>
        <w:gridCol w:w="2660"/>
        <w:gridCol w:w="6662"/>
      </w:tblGrid>
      <w:tr w:rsidTr="003A523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SpecialBold"/>
              </w:rPr>
              <w:t>PERFORMANCE CRITERIA</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List"/>
              <w:rPr>
                <w:lang w:val="en-NZ"/>
              </w:rPr>
            </w:pPr>
            <w:r w:rsidRPr="00A075DC">
              <w:rPr>
                <w:rStyle w:val="SpecialBold"/>
              </w:rPr>
              <w:t>1</w:t>
            </w:r>
            <w:r w:rsidRPr="00A075DC">
              <w:t>.</w:t>
            </w:r>
            <w:r w:rsidRPr="00A075DC">
              <w:tab/>
            </w:r>
            <w:r w:rsidRPr="00A075DC">
              <w:rPr>
                <w:rStyle w:val="SpecialBold"/>
              </w:rPr>
              <w:t>Make decision to arrest</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
            </w:pPr>
            <w:r w:rsidRPr="00A075DC">
              <w:t>1.1</w:t>
            </w:r>
            <w:r w:rsidRPr="00A075DC">
              <w:tab/>
              <w:t>Circumstances are assessed and arrest is determined to be the appropriate response decision in relation to the alleged breach of law.</w:t>
            </w:r>
          </w:p>
          <w:p w:rsidR="00000000" w:rsidRPr="00A075DC" w:rsidP="00A075DC">
            <w:pPr>
              <w:pStyle w:val="List"/>
            </w:pPr>
            <w:r w:rsidRPr="00A075DC">
              <w:t>1.2</w:t>
            </w:r>
            <w:r w:rsidRPr="00A075DC">
              <w:tab/>
            </w:r>
            <w:r w:rsidRPr="00A075DC">
              <w:t xml:space="preserve">Assessment is carried out to ensure the arrest can be made without endangering self or others in accordance with </w:t>
            </w:r>
            <w:r w:rsidRPr="00A075DC">
              <w:rPr>
                <w:rStyle w:val="BoldandItalics"/>
              </w:rPr>
              <w:t>legislation, organisational policy and procedures</w:t>
            </w:r>
            <w:r w:rsidRPr="00A075DC">
              <w:rPr>
                <w:rStyle w:val="Emphasis"/>
              </w:rPr>
              <w:t>.</w:t>
            </w:r>
          </w:p>
          <w:p w:rsidR="00000000" w:rsidP="00A075DC">
            <w:pPr>
              <w:pStyle w:val="List"/>
              <w:rPr>
                <w:lang w:val="en-NZ"/>
              </w:rPr>
            </w:pPr>
            <w:r w:rsidRPr="00A075DC">
              <w:t>1.3</w:t>
            </w:r>
            <w:r w:rsidRPr="00A075DC">
              <w:tab/>
              <w:t xml:space="preserve">When </w:t>
            </w:r>
            <w:r w:rsidRPr="00A075DC">
              <w:rPr>
                <w:rStyle w:val="BoldandItalics"/>
              </w:rPr>
              <w:t xml:space="preserve">assistance </w:t>
            </w:r>
            <w:r w:rsidRPr="00A075DC">
              <w:t>is required, requests are made in a timely manner and in accordance with</w:t>
            </w:r>
            <w:r w:rsidRPr="00A075DC">
              <w:t xml:space="preserve"> organisational policy and procedures.</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List"/>
              <w:rPr>
                <w:lang w:val="en-NZ"/>
              </w:rPr>
            </w:pPr>
            <w:r w:rsidRPr="00A075DC">
              <w:rPr>
                <w:rStyle w:val="SpecialBold"/>
              </w:rPr>
              <w:t>2</w:t>
            </w:r>
            <w:r w:rsidRPr="00A075DC">
              <w:t>.</w:t>
            </w:r>
            <w:r w:rsidRPr="00A075DC">
              <w:tab/>
            </w:r>
            <w:r w:rsidRPr="00A075DC">
              <w:rPr>
                <w:rStyle w:val="SpecialBold"/>
              </w:rPr>
              <w:t>Perform arrest</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
            </w:pPr>
            <w:r w:rsidRPr="00A075DC">
              <w:t>2.1</w:t>
            </w:r>
            <w:r w:rsidRPr="00A075DC">
              <w:tab/>
              <w:t>When performing arrest, all</w:t>
            </w:r>
            <w:r w:rsidRPr="00A075DC">
              <w:rPr>
                <w:rStyle w:val="BoldandItalics"/>
              </w:rPr>
              <w:t xml:space="preserve"> legal and administrative requirements</w:t>
            </w:r>
            <w:r w:rsidRPr="00A075DC">
              <w:t xml:space="preserve"> are carried out.</w:t>
            </w:r>
          </w:p>
          <w:p w:rsidR="00000000" w:rsidRPr="00A075DC" w:rsidP="00A075DC">
            <w:pPr>
              <w:pStyle w:val="List"/>
            </w:pPr>
            <w:r w:rsidRPr="00A075DC">
              <w:t>2.2</w:t>
            </w:r>
            <w:r w:rsidRPr="00A075DC">
              <w:tab/>
              <w:t xml:space="preserve">Conflict de-escalation techniques are used as necessary to avoid force and maintain the safety of self and </w:t>
            </w:r>
            <w:r w:rsidRPr="00A075DC">
              <w:t>others.</w:t>
            </w:r>
          </w:p>
          <w:p w:rsidR="00000000" w:rsidP="00A075DC">
            <w:pPr>
              <w:pStyle w:val="List"/>
              <w:rPr>
                <w:lang w:val="en-NZ"/>
              </w:rPr>
            </w:pPr>
            <w:r w:rsidRPr="00A075DC">
              <w:t>2.3</w:t>
            </w:r>
            <w:r w:rsidRPr="00A075DC">
              <w:tab/>
              <w:t>Any arrest, restraint and/or transport actions are conducted in accordance with legislative requirements and organisational policy and procedures.</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List"/>
              <w:rPr>
                <w:lang w:val="en-NZ"/>
              </w:rPr>
            </w:pPr>
            <w:r w:rsidRPr="00A075DC">
              <w:rPr>
                <w:rStyle w:val="SpecialBold"/>
              </w:rPr>
              <w:t>3</w:t>
            </w:r>
            <w:r w:rsidRPr="00A075DC">
              <w:t>.</w:t>
            </w:r>
            <w:r w:rsidRPr="00A075DC">
              <w:tab/>
            </w:r>
            <w:r w:rsidRPr="00A075DC">
              <w:rPr>
                <w:rStyle w:val="SpecialBold"/>
              </w:rPr>
              <w:t>Prepare and submit documentation</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
            </w:pPr>
            <w:r w:rsidRPr="00A075DC">
              <w:t>3.1</w:t>
            </w:r>
            <w:r w:rsidRPr="00A075DC">
              <w:tab/>
            </w:r>
            <w:r w:rsidRPr="00A075DC">
              <w:rPr>
                <w:rStyle w:val="BoldandItalics"/>
              </w:rPr>
              <w:t xml:space="preserve">Documentation </w:t>
            </w:r>
            <w:r w:rsidRPr="00A075DC">
              <w:t>is completed that is accurate, relevant, c</w:t>
            </w:r>
            <w:r w:rsidRPr="00A075DC">
              <w:t>omplete, and is prepared and submitted within the required timeframe, as required by law and organisational policy and procedures.</w:t>
            </w:r>
          </w:p>
        </w:tc>
      </w:tr>
    </w:tbl>
    <w:p w:rsidR="00000000" w:rsidRPr="00A075DC" w:rsidP="00A075DC">
      <w:pPr>
        <w:pStyle w:val="BodyText"/>
      </w:pPr>
    </w:p>
    <w:p w:rsidR="00000000" w:rsidRPr="00A075DC" w:rsidP="00A075DC">
      <w:pPr>
        <w:pStyle w:val="AllowPageBreak"/>
      </w:pPr>
    </w:p>
    <w:p w:rsidR="00000000" w:rsidRPr="00A075DC" w:rsidP="00A075DC">
      <w:pPr>
        <w:pStyle w:val="Heading1"/>
      </w:pPr>
      <w:bookmarkStart w:id="9" w:name="O_498205"/>
      <w:bookmarkEnd w:id="9"/>
      <w:r w:rsidRPr="00A075DC">
        <w:t>Required Skills and Knowledge</w:t>
      </w:r>
    </w:p>
    <w:tbl>
      <w:tblPr>
        <w:tblW w:w="0" w:type="auto"/>
        <w:tblLayout w:type="fixed"/>
        <w:tblCellMar>
          <w:left w:w="62" w:type="dxa"/>
          <w:right w:w="62" w:type="dxa"/>
        </w:tblCellMar>
        <w:tblLook w:val="0000"/>
      </w:tblPr>
      <w:tblGrid>
        <w:gridCol w:w="8553"/>
      </w:tblGrid>
      <w:tr w:rsidTr="003A523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t>This section describes the essential skills and knowledge and their level, required for this unit.</w:t>
            </w:r>
          </w:p>
        </w:tc>
      </w:tr>
      <w:tr w:rsidTr="003A523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rPr>
                <w:rStyle w:val="SpecialBold"/>
              </w:rPr>
              <w:t>Skill requirements</w:t>
            </w:r>
          </w:p>
          <w:p w:rsidR="00000000" w:rsidRPr="00A075DC" w:rsidP="00A075DC">
            <w:pPr>
              <w:pStyle w:val="BodyText"/>
            </w:pPr>
            <w:r w:rsidRPr="00A075DC">
              <w:t>Look for evidence that confirms skills in:</w:t>
            </w:r>
          </w:p>
          <w:p w:rsidR="00000000" w:rsidRPr="00A075DC" w:rsidP="00A075DC">
            <w:pPr>
              <w:pStyle w:val="ListBullet2"/>
            </w:pPr>
            <w:r w:rsidRPr="00A075DC">
              <w:t>engaging in communication, negotiation and conflict resolution with alleged offenders from di</w:t>
            </w:r>
            <w:r w:rsidRPr="00A075DC">
              <w:t>verse backgrounds</w:t>
            </w:r>
          </w:p>
          <w:p w:rsidR="00000000" w:rsidRPr="00A075DC" w:rsidP="00A075DC">
            <w:pPr>
              <w:pStyle w:val="ListBullet2"/>
            </w:pPr>
            <w:r w:rsidRPr="00A075DC">
              <w:t>responding to diversity, including gender and disability</w:t>
            </w:r>
          </w:p>
          <w:p w:rsidR="00000000" w:rsidRPr="00A075DC" w:rsidP="00A075DC">
            <w:pPr>
              <w:pStyle w:val="ListBullet2"/>
            </w:pPr>
            <w:r w:rsidRPr="00A075DC">
              <w:t>using techniques to protect personal safety including restraint techniques for suspects</w:t>
            </w:r>
          </w:p>
          <w:p w:rsidR="00000000" w:rsidRPr="00A075DC" w:rsidP="00A075DC">
            <w:pPr>
              <w:pStyle w:val="ListBullet2"/>
            </w:pPr>
            <w:r w:rsidRPr="00A075DC">
              <w:t>writing, requiring precision of expression and formality of structure and style</w:t>
            </w:r>
          </w:p>
          <w:p w:rsidR="00000000" w:rsidP="00A075DC">
            <w:pPr>
              <w:pStyle w:val="ListBullet2"/>
              <w:rPr>
                <w:lang w:val="en-NZ"/>
              </w:rPr>
            </w:pPr>
            <w:r w:rsidRPr="00A075DC">
              <w:t>applying public sector legislation, such as occupational health and safety and environmental processes relating to the safety of self and others in the context of making arrests</w:t>
            </w:r>
          </w:p>
        </w:tc>
      </w:tr>
      <w:tr w:rsidTr="003A523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rPr>
                <w:rStyle w:val="SpecialBold"/>
              </w:rPr>
              <w:t>Knowledge requirements</w:t>
            </w:r>
          </w:p>
          <w:p w:rsidR="00000000" w:rsidRPr="00A075DC" w:rsidP="00A075DC">
            <w:pPr>
              <w:pStyle w:val="BodyText"/>
            </w:pPr>
            <w:r w:rsidRPr="00A075DC">
              <w:t>Look for evidence that confirms knowledge and understa</w:t>
            </w:r>
            <w:r w:rsidRPr="00A075DC">
              <w:t>nding of:</w:t>
            </w:r>
          </w:p>
          <w:p w:rsidR="00000000" w:rsidRPr="00A075DC" w:rsidP="00A075DC">
            <w:pPr>
              <w:pStyle w:val="ListBullet2"/>
            </w:pPr>
            <w:r w:rsidRPr="00A075DC">
              <w:t>offences under the enabling legislation</w:t>
            </w:r>
          </w:p>
          <w:p w:rsidR="00000000" w:rsidRPr="00A075DC" w:rsidP="00A075DC">
            <w:pPr>
              <w:pStyle w:val="ListBullet2"/>
            </w:pPr>
            <w:r w:rsidRPr="00A075DC">
              <w:t>legislative powers of arrest and limits of authority</w:t>
            </w:r>
          </w:p>
          <w:p w:rsidR="00000000" w:rsidRPr="00A075DC" w:rsidP="00A075DC">
            <w:pPr>
              <w:pStyle w:val="ListBullet2"/>
            </w:pPr>
            <w:r w:rsidRPr="00A075DC">
              <w:t>organisational policy and procedures relating to arrest</w:t>
            </w:r>
          </w:p>
          <w:p w:rsidR="00000000" w:rsidRPr="00A075DC" w:rsidP="00A075DC">
            <w:pPr>
              <w:pStyle w:val="ListBullet2"/>
            </w:pPr>
            <w:r w:rsidRPr="00A075DC">
              <w:t>rights of alleged offender</w:t>
            </w:r>
          </w:p>
          <w:p w:rsidR="00000000" w:rsidRPr="00A075DC" w:rsidP="00A075DC">
            <w:pPr>
              <w:pStyle w:val="ListBullet2"/>
            </w:pPr>
            <w:r w:rsidRPr="00A075DC">
              <w:t>formal caution</w:t>
            </w:r>
          </w:p>
          <w:p w:rsidR="00000000" w:rsidRPr="00A075DC" w:rsidP="00A075DC">
            <w:pPr>
              <w:pStyle w:val="ListBullet2"/>
            </w:pPr>
            <w:r w:rsidRPr="00A075DC">
              <w:t>terminology used in legislation and procedures</w:t>
            </w:r>
          </w:p>
          <w:p w:rsidR="00000000" w:rsidRPr="00A075DC" w:rsidP="00A075DC">
            <w:pPr>
              <w:pStyle w:val="ListBullet2"/>
            </w:pPr>
            <w:r w:rsidRPr="00A075DC">
              <w:t>communi</w:t>
            </w:r>
            <w:r w:rsidRPr="00A075DC">
              <w:t>cation and conflict resolution techniques relating to arrest</w:t>
            </w:r>
          </w:p>
          <w:p w:rsidR="00000000" w:rsidRPr="00A075DC" w:rsidP="00A075DC">
            <w:pPr>
              <w:pStyle w:val="ListBullet2"/>
            </w:pPr>
            <w:r w:rsidRPr="00A075DC">
              <w:t>equity and diversity principles</w:t>
            </w:r>
          </w:p>
          <w:p w:rsidR="00000000" w:rsidRPr="00A075DC" w:rsidP="00A075DC">
            <w:pPr>
              <w:pStyle w:val="ListBullet2"/>
            </w:pPr>
            <w:r w:rsidRPr="00A075DC">
              <w:t>public sector legislation such as occupational health and safety and environment relating to arrests</w:t>
            </w:r>
          </w:p>
        </w:tc>
      </w:tr>
    </w:tbl>
    <w:p w:rsidR="00000000" w:rsidRPr="00A075DC" w:rsidP="00A075DC">
      <w:pPr>
        <w:pStyle w:val="BodyText"/>
      </w:pPr>
    </w:p>
    <w:p w:rsidR="00000000" w:rsidRPr="00A075DC" w:rsidP="00A075DC">
      <w:pPr>
        <w:pStyle w:val="AllowPageBreak"/>
      </w:pPr>
    </w:p>
    <w:p w:rsidR="00000000" w:rsidRPr="00A075DC" w:rsidP="00A075DC">
      <w:pPr>
        <w:pStyle w:val="Heading1"/>
      </w:pPr>
      <w:bookmarkStart w:id="10" w:name="O_498209"/>
      <w:bookmarkEnd w:id="10"/>
      <w:r w:rsidRPr="00A075DC">
        <w:t>Evidence Guide</w:t>
      </w:r>
    </w:p>
    <w:tbl>
      <w:tblPr>
        <w:tblW w:w="9322" w:type="dxa"/>
        <w:tblLayout w:type="fixed"/>
        <w:tblCellMar>
          <w:left w:w="62" w:type="dxa"/>
          <w:right w:w="62" w:type="dxa"/>
        </w:tblCellMar>
        <w:tblLook w:val="0000"/>
      </w:tblPr>
      <w:tblGrid>
        <w:gridCol w:w="2660"/>
        <w:gridCol w:w="6662"/>
      </w:tblGrid>
      <w:tr w:rsidTr="003A523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t>The Evidence Guide specifies the evidence required to demonstrate achievement in the unit of competency as a whole. It must be read in conjunction with the Unit descriptor, Performance Criteria, the Range Statement and the Assessment Guidelines for the Pub</w:t>
            </w:r>
            <w:r w:rsidRPr="00A075DC">
              <w:t>lic Sector Training Package.</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rPr>
                <w:rStyle w:val="SpecialBold"/>
              </w:rPr>
              <w:t>Units to be assessed together</w:t>
            </w:r>
            <w:r w:rsidRPr="00A075DC">
              <w:t xml:space="preserve"> </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Bullet2"/>
            </w:pPr>
            <w:r w:rsidRPr="00A075DC">
              <w:rPr>
                <w:rStyle w:val="Emphasis"/>
              </w:rPr>
              <w:t>Pre</w:t>
            </w:r>
            <w:r w:rsidRPr="00A075DC">
              <w:t>-</w:t>
            </w:r>
            <w:r w:rsidRPr="00A075DC">
              <w:rPr>
                <w:rStyle w:val="Emphasis"/>
              </w:rPr>
              <w:t>requisite</w:t>
            </w:r>
            <w:r w:rsidRPr="00A075DC">
              <w:t xml:space="preserve"> units that </w:t>
            </w:r>
            <w:r w:rsidRPr="00A075DC">
              <w:rPr>
                <w:rStyle w:val="Underline"/>
              </w:rPr>
              <w:t>must</w:t>
            </w:r>
            <w:r w:rsidRPr="00A075DC">
              <w:t xml:space="preserve"> be achieved </w:t>
            </w:r>
            <w:r w:rsidRPr="00A075DC">
              <w:rPr>
                <w:rStyle w:val="Underline"/>
              </w:rPr>
              <w:t>prior</w:t>
            </w:r>
            <w:r w:rsidRPr="00A075DC">
              <w:t xml:space="preserve"> to this unit:</w:t>
            </w:r>
            <w:r w:rsidRPr="00A075DC">
              <w:rPr>
                <w:rStyle w:val="Emphasis"/>
              </w:rPr>
              <w:t>Nil</w:t>
            </w:r>
          </w:p>
          <w:p w:rsidR="00000000" w:rsidRPr="00A075DC" w:rsidP="00A075DC">
            <w:pPr>
              <w:pStyle w:val="ListBullet2"/>
            </w:pPr>
            <w:r w:rsidRPr="00A075DC">
              <w:rPr>
                <w:rStyle w:val="Emphasis"/>
              </w:rPr>
              <w:t>Co</w:t>
            </w:r>
            <w:r w:rsidRPr="00A075DC">
              <w:t>-</w:t>
            </w:r>
            <w:r w:rsidRPr="00A075DC">
              <w:rPr>
                <w:rStyle w:val="Emphasis"/>
              </w:rPr>
              <w:t>requisite</w:t>
            </w:r>
            <w:r w:rsidRPr="00A075DC">
              <w:t xml:space="preserve"> units that </w:t>
            </w:r>
            <w:r w:rsidRPr="00A075DC">
              <w:rPr>
                <w:rStyle w:val="Underline"/>
              </w:rPr>
              <w:t>must</w:t>
            </w:r>
            <w:r w:rsidRPr="00A075DC">
              <w:t xml:space="preserve"> be assessed </w:t>
            </w:r>
            <w:r w:rsidRPr="00A075DC">
              <w:rPr>
                <w:rStyle w:val="Underline"/>
              </w:rPr>
              <w:t>with</w:t>
            </w:r>
            <w:r w:rsidRPr="00A075DC">
              <w:t xml:space="preserve"> this unit:</w:t>
            </w:r>
            <w:r w:rsidRPr="00A075DC">
              <w:rPr>
                <w:rStyle w:val="Emphasis"/>
              </w:rPr>
              <w:t>Nil</w:t>
            </w:r>
          </w:p>
          <w:p w:rsidR="00000000" w:rsidRPr="00A075DC" w:rsidP="00A075DC">
            <w:pPr>
              <w:pStyle w:val="ListBullet2"/>
            </w:pPr>
            <w:r w:rsidRPr="00A075DC">
              <w:rPr>
                <w:rStyle w:val="Emphasis"/>
              </w:rPr>
              <w:t>Co</w:t>
            </w:r>
            <w:r w:rsidRPr="00A075DC">
              <w:t>-</w:t>
            </w:r>
            <w:r w:rsidRPr="00A075DC">
              <w:rPr>
                <w:rStyle w:val="Emphasis"/>
              </w:rPr>
              <w:t>assessed units</w:t>
            </w:r>
            <w:r w:rsidRPr="00A075DC">
              <w:t xml:space="preserve"> that </w:t>
            </w:r>
            <w:r w:rsidRPr="00A075DC">
              <w:rPr>
                <w:rStyle w:val="Underline"/>
              </w:rPr>
              <w:t>may</w:t>
            </w:r>
            <w:r w:rsidRPr="00A075DC">
              <w:t xml:space="preserve"> be assessed with this unit to increase the efficiency and realism of the assessment process include, but are not limited to:</w:t>
            </w:r>
          </w:p>
          <w:p w:rsidR="00000000" w:rsidRPr="00A075DC" w:rsidP="00A075DC">
            <w:pPr>
              <w:pStyle w:val="ListBullet3"/>
            </w:pPr>
            <w:r w:rsidRPr="00A075DC">
              <w:t xml:space="preserve">PSPETHC401A Uphold and support the values and principles of public service </w:t>
            </w:r>
          </w:p>
          <w:p w:rsidR="00000000" w:rsidRPr="00A075DC" w:rsidP="00A075DC">
            <w:pPr>
              <w:pStyle w:val="ListBullet3"/>
            </w:pPr>
            <w:r w:rsidRPr="00A075DC">
              <w:t>PSPGOV408A Value diversity</w:t>
            </w:r>
          </w:p>
          <w:p w:rsidR="00000000" w:rsidRPr="00A075DC" w:rsidP="00A075DC">
            <w:pPr>
              <w:pStyle w:val="ListBullet3"/>
            </w:pPr>
            <w:r w:rsidRPr="00A075DC">
              <w:t xml:space="preserve">PSPGOV422A Apply government processes </w:t>
            </w:r>
          </w:p>
          <w:p w:rsidR="00000000" w:rsidRPr="00A075DC" w:rsidP="00A075DC">
            <w:pPr>
              <w:pStyle w:val="ListBullet3"/>
            </w:pPr>
            <w:r w:rsidRPr="00A075DC">
              <w:t>PSPLEGN401A Encourage compliance with legislation in the public sector</w:t>
            </w:r>
          </w:p>
          <w:p w:rsidR="00000000" w:rsidRPr="00A075DC" w:rsidP="00A075DC">
            <w:pPr>
              <w:pStyle w:val="ListBullet3"/>
            </w:pPr>
            <w:r w:rsidRPr="00A075DC">
              <w:t>PSPREG401C Exercise regulatory powers</w:t>
            </w:r>
          </w:p>
          <w:p w:rsidR="00000000" w:rsidP="00A075DC">
            <w:pPr>
              <w:pStyle w:val="ListBullet3"/>
              <w:rPr>
                <w:lang w:val="en-NZ"/>
              </w:rPr>
            </w:pPr>
            <w:r w:rsidRPr="00A075DC">
              <w:t>PSPREG405B Act on non-compliance</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t xml:space="preserve">In addition to integrated demonstration </w:t>
            </w:r>
            <w:r w:rsidRPr="00A075DC">
              <w:t>of the elements and their related performance criteria, look for evidence that confirms:</w:t>
            </w:r>
          </w:p>
          <w:p w:rsidR="00000000" w:rsidRPr="00A075DC" w:rsidP="00A075DC">
            <w:pPr>
              <w:pStyle w:val="ListBullet2"/>
            </w:pPr>
            <w:r w:rsidRPr="00A075DC">
              <w:t xml:space="preserve">the knowledge requirements of this unit </w:t>
            </w:r>
          </w:p>
          <w:p w:rsidR="00000000" w:rsidRPr="00A075DC" w:rsidP="00A075DC">
            <w:pPr>
              <w:pStyle w:val="ListBullet2"/>
            </w:pPr>
            <w:r w:rsidRPr="00A075DC">
              <w:t>the skill requirements of this unit</w:t>
            </w:r>
          </w:p>
          <w:p w:rsidR="00000000" w:rsidRPr="00A075DC" w:rsidP="00A075DC">
            <w:pPr>
              <w:pStyle w:val="ListBullet2"/>
            </w:pPr>
            <w:r w:rsidRPr="00A075DC">
              <w:t>application of the Employability Skills as they relate to this unit (see Employability Summaries in Qualifications Framework)</w:t>
            </w:r>
          </w:p>
          <w:p w:rsidR="00000000" w:rsidP="00A075DC">
            <w:pPr>
              <w:pStyle w:val="ListBullet2"/>
              <w:rPr>
                <w:lang w:val="en-NZ"/>
              </w:rPr>
            </w:pPr>
            <w:r w:rsidRPr="00A075DC">
              <w:t>arrests made in a range of (3 or more) contexts (or occasions, over time)</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t>These resour</w:t>
            </w:r>
            <w:r w:rsidRPr="00A075DC">
              <w:t>ces include:</w:t>
            </w:r>
          </w:p>
          <w:p w:rsidR="00000000" w:rsidRPr="00A075DC" w:rsidP="00A075DC">
            <w:pPr>
              <w:pStyle w:val="ListBullet2"/>
            </w:pPr>
            <w:r w:rsidRPr="00A075DC">
              <w:t>legislation, regulations, policy, guidelines and standards</w:t>
            </w:r>
          </w:p>
          <w:p w:rsidR="00000000" w:rsidRPr="00A075DC" w:rsidP="00A075DC">
            <w:pPr>
              <w:pStyle w:val="ListBullet2"/>
            </w:pPr>
            <w:r w:rsidRPr="00A075DC">
              <w:t>public sector values and codes of conduct</w:t>
            </w:r>
          </w:p>
          <w:p w:rsidR="00000000" w:rsidRPr="00A075DC" w:rsidP="00A075DC">
            <w:pPr>
              <w:pStyle w:val="ListBullet2"/>
            </w:pPr>
            <w:r w:rsidRPr="00A075DC">
              <w:t>wording of formal caution, and other legal and administrative requirements</w:t>
            </w:r>
          </w:p>
          <w:p w:rsidR="00000000" w:rsidP="00A075DC">
            <w:pPr>
              <w:pStyle w:val="ListBullet2"/>
              <w:rPr>
                <w:lang w:val="en-NZ"/>
              </w:rPr>
            </w:pPr>
            <w:r w:rsidRPr="00A075DC">
              <w:t>case studies and workplace scenarios to capture the range of situa</w:t>
            </w:r>
            <w:r w:rsidRPr="00A075DC">
              <w:t>tions likely to be encountered when making arrests</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t xml:space="preserve">Valid assessment of this unit requires: </w:t>
            </w:r>
          </w:p>
          <w:p w:rsidR="00000000" w:rsidRPr="00A075DC" w:rsidP="00A075DC">
            <w:pPr>
              <w:pStyle w:val="ListBullet2"/>
            </w:pPr>
            <w:r w:rsidRPr="00A075DC">
              <w:t>a workplace environment or one that closely resembles normal work practice and replicates the range of conditions likely to be en</w:t>
            </w:r>
            <w:r w:rsidRPr="00A075DC">
              <w:t>countered when making arrests, including coping with difficulties, irregularities and breakdowns in routine</w:t>
            </w:r>
          </w:p>
          <w:p w:rsidR="00000000" w:rsidRPr="00A075DC" w:rsidP="00A075DC">
            <w:pPr>
              <w:pStyle w:val="ListBullet2"/>
            </w:pPr>
            <w:r w:rsidRPr="00A075DC">
              <w:t>arrests made in a range of (3 or more) contexts (or occasions, over time)</w:t>
            </w:r>
          </w:p>
          <w:p w:rsidR="00000000" w:rsidRPr="00A075DC" w:rsidP="00A075DC">
            <w:pPr>
              <w:pStyle w:val="BodyText"/>
            </w:pPr>
            <w:r w:rsidRPr="00A075DC">
              <w:t>Assessment methods should reflect workplace demands, such as literacy, and the needs of particular groups, such as:</w:t>
            </w:r>
          </w:p>
          <w:p w:rsidR="00000000" w:rsidRPr="00A075DC" w:rsidP="00A075DC">
            <w:pPr>
              <w:pStyle w:val="ListBullet2"/>
            </w:pPr>
            <w:r w:rsidRPr="00A075DC">
              <w:t>people with disabilities</w:t>
            </w:r>
          </w:p>
          <w:p w:rsidR="00000000" w:rsidRPr="00A075DC" w:rsidP="00A075DC">
            <w:pPr>
              <w:pStyle w:val="ListBullet2"/>
            </w:pPr>
            <w:r w:rsidRPr="00A075DC">
              <w:t>people from culturally and linguistically diverse backgrounds</w:t>
            </w:r>
          </w:p>
          <w:p w:rsidR="00000000" w:rsidRPr="00A075DC" w:rsidP="00A075DC">
            <w:pPr>
              <w:pStyle w:val="ListBullet2"/>
            </w:pPr>
            <w:r w:rsidRPr="00A075DC">
              <w:t>Aboriginal and Torres Strait Islander people</w:t>
            </w:r>
          </w:p>
          <w:p w:rsidR="00000000" w:rsidRPr="00A075DC" w:rsidP="00A075DC">
            <w:pPr>
              <w:pStyle w:val="ListBullet2"/>
            </w:pPr>
            <w:r w:rsidRPr="00A075DC">
              <w:t>women</w:t>
            </w:r>
          </w:p>
          <w:p w:rsidR="00000000" w:rsidRPr="00A075DC" w:rsidP="00A075DC">
            <w:pPr>
              <w:pStyle w:val="ListBullet2"/>
            </w:pPr>
            <w:r w:rsidRPr="00A075DC">
              <w:t>y</w:t>
            </w:r>
            <w:r w:rsidRPr="00A075DC">
              <w:t>oung people</w:t>
            </w:r>
          </w:p>
          <w:p w:rsidR="00000000" w:rsidRPr="00A075DC" w:rsidP="00A075DC">
            <w:pPr>
              <w:pStyle w:val="ListBullet2"/>
            </w:pPr>
            <w:r w:rsidRPr="00A075DC">
              <w:t>older people</w:t>
            </w:r>
          </w:p>
          <w:p w:rsidR="00000000" w:rsidRPr="00A075DC" w:rsidP="00A075DC">
            <w:pPr>
              <w:pStyle w:val="ListBullet2"/>
            </w:pPr>
            <w:r w:rsidRPr="00A075DC">
              <w:t>people in rural and remote locations</w:t>
            </w:r>
          </w:p>
          <w:p w:rsidR="00000000" w:rsidRPr="00A075DC" w:rsidP="00A075DC">
            <w:pPr>
              <w:pStyle w:val="BodyText"/>
            </w:pPr>
            <w:r w:rsidRPr="00A075DC">
              <w:t xml:space="preserve">Assessment methods suitable for valid and reliable assessment of this competency may include, but are not limited to, a combination of 2 or more of: </w:t>
            </w:r>
          </w:p>
          <w:p w:rsidR="00000000" w:rsidRPr="00A075DC" w:rsidP="00A075DC">
            <w:pPr>
              <w:pStyle w:val="ListBullet2"/>
            </w:pPr>
            <w:r w:rsidRPr="00A075DC">
              <w:t>case studies</w:t>
            </w:r>
          </w:p>
          <w:p w:rsidR="00000000" w:rsidRPr="00A075DC" w:rsidP="00A075DC">
            <w:pPr>
              <w:pStyle w:val="ListBullet2"/>
            </w:pPr>
            <w:r w:rsidRPr="00A075DC">
              <w:t xml:space="preserve">demonstration </w:t>
            </w:r>
          </w:p>
          <w:p w:rsidR="00000000" w:rsidRPr="00A075DC" w:rsidP="00A075DC">
            <w:pPr>
              <w:pStyle w:val="ListBullet2"/>
            </w:pPr>
            <w:r w:rsidRPr="00A075DC">
              <w:t>observation</w:t>
            </w:r>
          </w:p>
          <w:p w:rsidR="00000000" w:rsidRPr="00A075DC" w:rsidP="00A075DC">
            <w:pPr>
              <w:pStyle w:val="ListBullet2"/>
            </w:pPr>
            <w:r w:rsidRPr="00A075DC">
              <w:t>que</w:t>
            </w:r>
            <w:r w:rsidRPr="00A075DC">
              <w:t>stioning</w:t>
            </w:r>
          </w:p>
          <w:p w:rsidR="00000000" w:rsidRPr="00A075DC" w:rsidP="00A075DC">
            <w:pPr>
              <w:pStyle w:val="ListBullet2"/>
            </w:pPr>
            <w:r w:rsidRPr="00A075DC">
              <w:t>scenarios</w:t>
            </w:r>
          </w:p>
          <w:p w:rsidR="00000000" w:rsidRPr="00A075DC" w:rsidP="00A075DC">
            <w:pPr>
              <w:pStyle w:val="ListBullet2"/>
            </w:pPr>
            <w:r w:rsidRPr="00A075DC">
              <w:t>simulation or role plays</w:t>
            </w:r>
          </w:p>
          <w:p w:rsidR="00000000" w:rsidP="00A075DC">
            <w:pPr>
              <w:pStyle w:val="ListBullet2"/>
              <w:rPr>
                <w:lang w:val="en-NZ"/>
              </w:rPr>
            </w:pPr>
            <w:r w:rsidRPr="00A075DC">
              <w:t>authenticated evidence from the workplace and/or training courses</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BodyText"/>
            </w:pPr>
            <w:r w:rsidRPr="00A075DC">
              <w:t>Evidence must be gathered over time in a range of contexts to ensure the person can achieve the unit outcome and apply the competency in different situations or environments</w:t>
            </w:r>
          </w:p>
        </w:tc>
      </w:tr>
    </w:tbl>
    <w:p w:rsidR="00000000" w:rsidRPr="00A075DC" w:rsidP="00A075DC">
      <w:pPr>
        <w:pStyle w:val="BodyText"/>
      </w:pPr>
    </w:p>
    <w:p w:rsidR="00000000" w:rsidRPr="00A075DC" w:rsidP="00A075DC">
      <w:pPr>
        <w:pStyle w:val="AllowPageBreak"/>
      </w:pPr>
    </w:p>
    <w:p w:rsidR="00000000" w:rsidRPr="00A075DC" w:rsidP="00A075DC">
      <w:pPr>
        <w:pStyle w:val="Heading1"/>
      </w:pPr>
      <w:bookmarkStart w:id="11" w:name="O_498211"/>
      <w:bookmarkEnd w:id="11"/>
      <w:r w:rsidRPr="00A075DC">
        <w:t>Range Statement</w:t>
      </w:r>
    </w:p>
    <w:tbl>
      <w:tblPr>
        <w:tblW w:w="9322" w:type="dxa"/>
        <w:tblLayout w:type="fixed"/>
        <w:tblCellMar>
          <w:left w:w="62" w:type="dxa"/>
          <w:right w:w="62" w:type="dxa"/>
        </w:tblCellMar>
        <w:tblLook w:val="0000"/>
      </w:tblPr>
      <w:tblGrid>
        <w:gridCol w:w="2660"/>
        <w:gridCol w:w="6662"/>
      </w:tblGrid>
      <w:tr w:rsidTr="003A523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t xml:space="preserve">The Range Statement provides information about </w:t>
            </w:r>
            <w:r w:rsidRPr="00A075DC">
              <w:t>the context in which the unit of competency is carried out. The variables cater for differences between States and Territories and the Commonwealth, and between organisations and workplaces. They allow for different work requirements, work practices and kn</w:t>
            </w:r>
            <w:r w:rsidRPr="00A075DC">
              <w:t xml:space="preserve">owledge. The Range Statement also provides a focus for assessment. It relates to the unit as a whole. Text in </w:t>
            </w:r>
            <w:r w:rsidRPr="00A075DC">
              <w:rPr>
                <w:rStyle w:val="BoldandItalics"/>
              </w:rPr>
              <w:t>bold italics</w:t>
            </w:r>
            <w:r w:rsidRPr="00A075DC">
              <w:t xml:space="preserve"> in the Performance Criteria is explained here.</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BoldandItalics"/>
              </w:rPr>
              <w:t>Legislation, policy and procedures</w:t>
            </w:r>
            <w:r w:rsidRPr="00A075D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Bullet2"/>
            </w:pPr>
            <w:r w:rsidRPr="00A075DC">
              <w:t>enabling legislation</w:t>
            </w:r>
          </w:p>
          <w:p w:rsidR="00000000" w:rsidRPr="00A075DC" w:rsidP="00A075DC">
            <w:pPr>
              <w:pStyle w:val="ListBullet2"/>
            </w:pPr>
            <w:r w:rsidRPr="00A075DC">
              <w:t>State/Territory or Commonwealth policy and procedures</w:t>
            </w:r>
          </w:p>
          <w:p w:rsidR="00000000" w:rsidRPr="00A075DC" w:rsidP="00A075DC">
            <w:pPr>
              <w:pStyle w:val="ListBullet2"/>
            </w:pPr>
            <w:r w:rsidRPr="00A075DC">
              <w:t>organisational procedures and processes</w:t>
            </w:r>
          </w:p>
          <w:p w:rsidR="00000000" w:rsidRPr="00A075DC" w:rsidP="00A075DC">
            <w:pPr>
              <w:pStyle w:val="ListBullet2"/>
            </w:pPr>
            <w:r w:rsidRPr="00A075DC">
              <w:t>codes of conduct</w:t>
            </w:r>
          </w:p>
          <w:p w:rsidR="00000000" w:rsidP="00A075DC">
            <w:pPr>
              <w:pStyle w:val="ListBullet2"/>
              <w:rPr>
                <w:lang w:val="en-NZ"/>
              </w:rPr>
            </w:pPr>
            <w:r w:rsidRPr="00A075DC">
              <w:t>equal employment opportunity and anti-discrimination law</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BoldandItalics"/>
              </w:rPr>
              <w:t xml:space="preserve">Assistance </w:t>
            </w:r>
            <w:r w:rsidRPr="00A075DC">
              <w:t>may include:</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Bullet2"/>
            </w:pPr>
            <w:r w:rsidRPr="00A075DC">
              <w:t>other officers</w:t>
            </w:r>
          </w:p>
          <w:p w:rsidR="00000000" w:rsidRPr="00A075DC" w:rsidP="00A075DC">
            <w:pPr>
              <w:pStyle w:val="ListBullet2"/>
            </w:pPr>
            <w:r w:rsidRPr="00A075DC">
              <w:t>other jurisdictions</w:t>
            </w:r>
          </w:p>
          <w:p w:rsidR="00000000" w:rsidRPr="00A075DC" w:rsidP="00A075DC">
            <w:pPr>
              <w:pStyle w:val="ListBullet2"/>
            </w:pPr>
            <w:r w:rsidRPr="00A075DC">
              <w:t>other organisations</w:t>
            </w:r>
          </w:p>
          <w:p w:rsidR="00000000" w:rsidP="00A075DC">
            <w:pPr>
              <w:pStyle w:val="ListBullet2"/>
              <w:rPr>
                <w:lang w:val="en-NZ"/>
              </w:rPr>
            </w:pPr>
            <w:r w:rsidRPr="00A075DC">
              <w:t>police</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BoldandItalics"/>
              </w:rPr>
              <w:t>Legal and administrative requirements relating to arres</w:t>
            </w:r>
            <w:r w:rsidRPr="00A075DC">
              <w:t>t may include:</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Bullet2"/>
            </w:pPr>
            <w:r w:rsidRPr="00A075DC">
              <w:t>telling person of the decision to arrest</w:t>
            </w:r>
          </w:p>
          <w:p w:rsidR="00000000" w:rsidRPr="00A075DC" w:rsidP="00A075DC">
            <w:pPr>
              <w:pStyle w:val="ListBullet2"/>
            </w:pPr>
            <w:r w:rsidRPr="00A075DC">
              <w:t xml:space="preserve">identifying self and authority to arrest </w:t>
            </w:r>
          </w:p>
          <w:p w:rsidR="00000000" w:rsidRPr="00A075DC" w:rsidP="00A075DC">
            <w:pPr>
              <w:pStyle w:val="ListBullet2"/>
            </w:pPr>
            <w:r w:rsidRPr="00A075DC">
              <w:t>identifying nature of offence, and ensuring alleged offender understands this</w:t>
            </w:r>
          </w:p>
          <w:p w:rsidR="00000000" w:rsidRPr="00A075DC" w:rsidP="00A075DC">
            <w:pPr>
              <w:pStyle w:val="ListBullet2"/>
            </w:pPr>
            <w:r w:rsidRPr="00A075DC">
              <w:t>reading the suspect their rights/giving the formal verbal caution</w:t>
            </w:r>
          </w:p>
          <w:p w:rsidR="00000000" w:rsidRPr="00A075DC" w:rsidP="00A075DC">
            <w:pPr>
              <w:pStyle w:val="ListBullet2"/>
            </w:pPr>
            <w:r w:rsidRPr="00A075DC">
              <w:t>State/Territory or Commonwealth procedures and guidelines</w:t>
            </w:r>
          </w:p>
          <w:p w:rsidR="00000000" w:rsidP="00A075DC">
            <w:pPr>
              <w:pStyle w:val="ListBullet2"/>
              <w:rPr>
                <w:lang w:val="en-NZ"/>
              </w:rPr>
            </w:pPr>
            <w:r w:rsidRPr="00A075DC">
              <w:t>organisational procedures/guidelines</w:t>
            </w:r>
          </w:p>
        </w:tc>
      </w:tr>
      <w:tr w:rsidTr="003A52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A075DC">
            <w:pPr>
              <w:pStyle w:val="BodyText"/>
              <w:rPr>
                <w:lang w:val="en-NZ"/>
              </w:rPr>
            </w:pPr>
            <w:r w:rsidRPr="00A075DC">
              <w:rPr>
                <w:rStyle w:val="BoldandItalics"/>
              </w:rPr>
              <w:t xml:space="preserve">Documentation </w:t>
            </w:r>
            <w:r w:rsidRPr="00A075DC">
              <w:t>may include:</w:t>
            </w:r>
          </w:p>
        </w:tc>
        <w:tc>
          <w:tcPr>
            <w:tcW w:w="6662" w:type="dxa"/>
            <w:tcBorders>
              <w:top w:val="nil"/>
              <w:left w:val="nil"/>
              <w:bottom w:val="nil"/>
              <w:right w:val="nil"/>
            </w:tcBorders>
            <w:tcMar>
              <w:top w:w="0" w:type="dxa"/>
              <w:left w:w="62" w:type="dxa"/>
              <w:bottom w:w="0" w:type="dxa"/>
              <w:right w:w="62" w:type="dxa"/>
            </w:tcMar>
          </w:tcPr>
          <w:p w:rsidR="00000000" w:rsidRPr="00A075DC" w:rsidP="00A075DC">
            <w:pPr>
              <w:pStyle w:val="ListBullet2"/>
            </w:pPr>
            <w:r w:rsidRPr="00A075DC">
              <w:t>recording facts in notebook</w:t>
            </w:r>
          </w:p>
          <w:p w:rsidR="00000000" w:rsidRPr="00A075DC" w:rsidP="00A075DC">
            <w:pPr>
              <w:pStyle w:val="ListBullet2"/>
            </w:pPr>
            <w:r w:rsidRPr="00A075DC">
              <w:t>incident report</w:t>
            </w:r>
          </w:p>
          <w:p w:rsidR="00000000" w:rsidRPr="00A075DC" w:rsidP="00A075DC">
            <w:pPr>
              <w:pStyle w:val="ListBullet2"/>
            </w:pPr>
            <w:r w:rsidRPr="00A075DC">
              <w:t>appointment certificat</w:t>
            </w:r>
            <w:r w:rsidRPr="00A075DC">
              <w:t>e</w:t>
            </w:r>
          </w:p>
          <w:p w:rsidR="00000000" w:rsidRPr="00A075DC" w:rsidP="00A075DC">
            <w:pPr>
              <w:pStyle w:val="ListBullet2"/>
            </w:pPr>
            <w:r w:rsidRPr="00A075DC">
              <w:t>police statement</w:t>
            </w:r>
          </w:p>
        </w:tc>
      </w:tr>
    </w:tbl>
    <w:p w:rsidR="003A523D" w:rsidP="00A075DC">
      <w:pPr>
        <w:pStyle w:val="BodyText"/>
      </w:pPr>
    </w:p>
    <w:p w:rsidR="003A523D" w:rsidP="00A075DC">
      <w:pPr>
        <w:pStyle w:val="BodyText"/>
      </w:pPr>
    </w:p>
    <w:p w:rsidR="00000000" w:rsidRPr="00A075DC" w:rsidP="00A075DC">
      <w:pPr>
        <w:pStyle w:val="Heading1"/>
      </w:pPr>
      <w:bookmarkStart w:id="12" w:name="O_498208"/>
      <w:bookmarkEnd w:id="12"/>
      <w:r w:rsidRPr="00A075DC">
        <w:t>Unit Sector(s)</w:t>
      </w:r>
    </w:p>
    <w:p w:rsidR="00000000" w:rsidRPr="00A075DC" w:rsidP="00A075DC">
      <w:pPr>
        <w:pStyle w:val="BodyText"/>
      </w:pPr>
      <w:r w:rsidRPr="00A075DC">
        <w:t>Not applicable.</w:t>
      </w:r>
    </w:p>
    <w:p w:rsidR="00000000" w:rsidRPr="00A075DC" w:rsidP="00A075DC">
      <w:pPr>
        <w:pStyle w:val="AllowPageBreak"/>
      </w:pPr>
    </w:p>
    <w:p w:rsidR="00000000" w:rsidRPr="00A075DC" w:rsidP="00A075DC">
      <w:pPr>
        <w:pStyle w:val="Heading1"/>
      </w:pPr>
      <w:bookmarkStart w:id="13" w:name="O_498217"/>
      <w:bookmarkEnd w:id="13"/>
      <w:r w:rsidRPr="00A075DC">
        <w:t>Competency field</w:t>
      </w:r>
    </w:p>
    <w:p w:rsidR="00000000" w:rsidRPr="00A075DC" w:rsidP="00A075DC">
      <w:pPr>
        <w:pStyle w:val="BodyText"/>
      </w:pPr>
      <w:r w:rsidRPr="00A075DC">
        <w:t>Regulatory.</w:t>
      </w:r>
    </w:p>
    <w:p w:rsidR="00000000" w:rsidRPr="00A075DC" w:rsidP="00A075DC"/>
    <w:sectPr w:rsidSect="00A07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23D" w:rsidP="003A52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3D" w:rsidP="00A075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523D" w:rsidP="00A075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523D" w:rsidP="00A075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DC" w:rsidRPr="003A523D" w:rsidP="003A52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3D" w:rsidRPr="002D2AF8" w:rsidP="00A075DC">
    <w:pPr>
      <w:pStyle w:val="Header"/>
      <w:framePr w:wrap="around"/>
    </w:pPr>
    <w:r>
      <w:fldChar w:fldCharType="begin"/>
    </w:r>
    <w:r>
      <w:instrText xml:space="preserve"> TITLE   \* MERGEFORMAT </w:instrText>
    </w:r>
    <w:r>
      <w:fldChar w:fldCharType="separate"/>
    </w:r>
    <w:r>
      <w:t>PSPREG406C Make arrests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A523D" w:rsidP="00A07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CA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2EED9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5DC"/>
    <w:pPr>
      <w:spacing w:before="360" w:after="60"/>
      <w:outlineLvl w:val="0"/>
    </w:pPr>
    <w:rPr>
      <w:sz w:val="32"/>
    </w:rPr>
  </w:style>
  <w:style w:type="paragraph" w:styleId="Heading2">
    <w:name w:val="heading 2"/>
    <w:basedOn w:val="HeadingBase"/>
    <w:next w:val="BodyText"/>
    <w:link w:val="Heading2Char"/>
    <w:qFormat/>
    <w:rsid w:val="00A075DC"/>
    <w:pPr>
      <w:keepLines/>
      <w:spacing w:before="240" w:after="120"/>
      <w:outlineLvl w:val="1"/>
    </w:pPr>
    <w:rPr>
      <w:sz w:val="28"/>
      <w:szCs w:val="40"/>
    </w:rPr>
  </w:style>
  <w:style w:type="paragraph" w:styleId="Heading3">
    <w:name w:val="heading 3"/>
    <w:basedOn w:val="HeadingBase"/>
    <w:next w:val="BodyText"/>
    <w:link w:val="Heading3Char"/>
    <w:qFormat/>
    <w:rsid w:val="00A075DC"/>
    <w:pPr>
      <w:spacing w:before="180" w:after="120"/>
      <w:outlineLvl w:val="2"/>
    </w:pPr>
    <w:rPr>
      <w:spacing w:val="-10"/>
      <w:kern w:val="32"/>
    </w:rPr>
  </w:style>
  <w:style w:type="paragraph" w:styleId="Heading4">
    <w:name w:val="heading 4"/>
    <w:basedOn w:val="HeadingBase"/>
    <w:next w:val="BodyText"/>
    <w:link w:val="Heading4Char"/>
    <w:qFormat/>
    <w:rsid w:val="00A075DC"/>
    <w:pPr>
      <w:spacing w:before="160" w:after="120"/>
      <w:outlineLvl w:val="3"/>
    </w:pPr>
    <w:rPr>
      <w:sz w:val="22"/>
    </w:rPr>
  </w:style>
  <w:style w:type="paragraph" w:styleId="Heading5">
    <w:name w:val="heading 5"/>
    <w:basedOn w:val="HeadingBase"/>
    <w:next w:val="Normal"/>
    <w:link w:val="Heading5Char"/>
    <w:qFormat/>
    <w:rsid w:val="00A075DC"/>
    <w:pPr>
      <w:spacing w:before="80"/>
      <w:outlineLvl w:val="4"/>
    </w:pPr>
    <w:rPr>
      <w:color w:val="918585"/>
      <w:sz w:val="20"/>
    </w:rPr>
  </w:style>
  <w:style w:type="paragraph" w:styleId="Heading6">
    <w:name w:val="heading 6"/>
    <w:basedOn w:val="HeadingBase"/>
    <w:next w:val="Normal"/>
    <w:link w:val="Heading6Char"/>
    <w:qFormat/>
    <w:rsid w:val="00A075DC"/>
    <w:pPr>
      <w:spacing w:before="60"/>
      <w:outlineLvl w:val="5"/>
    </w:pPr>
    <w:rPr>
      <w:color w:val="918585"/>
      <w:sz w:val="20"/>
    </w:rPr>
  </w:style>
  <w:style w:type="paragraph" w:styleId="Heading7">
    <w:name w:val="heading 7"/>
    <w:basedOn w:val="Normal"/>
    <w:next w:val="Normal"/>
    <w:link w:val="Heading7Char"/>
    <w:qFormat/>
    <w:rsid w:val="00A075DC"/>
    <w:pPr>
      <w:ind w:left="720"/>
      <w:outlineLvl w:val="6"/>
    </w:pPr>
    <w:rPr>
      <w:i/>
    </w:rPr>
  </w:style>
  <w:style w:type="paragraph" w:styleId="Heading8">
    <w:name w:val="heading 8"/>
    <w:basedOn w:val="Normal"/>
    <w:next w:val="Normal"/>
    <w:link w:val="Heading8Char"/>
    <w:qFormat/>
    <w:rsid w:val="00A075DC"/>
    <w:pPr>
      <w:ind w:left="720"/>
      <w:outlineLvl w:val="7"/>
    </w:pPr>
    <w:rPr>
      <w:i/>
    </w:rPr>
  </w:style>
  <w:style w:type="paragraph" w:styleId="Heading9">
    <w:name w:val="heading 9"/>
    <w:basedOn w:val="Normal"/>
    <w:next w:val="Normal"/>
    <w:link w:val="Heading9Char"/>
    <w:qFormat/>
    <w:rsid w:val="00A075DC"/>
    <w:pPr>
      <w:ind w:left="720"/>
      <w:outlineLvl w:val="8"/>
    </w:pPr>
    <w:rPr>
      <w:i/>
    </w:rPr>
  </w:style>
  <w:style w:type="character" w:default="1" w:styleId="DefaultParagraphFont">
    <w:name w:val="Default Paragraph Font"/>
    <w:uiPriority w:val="1"/>
    <w:unhideWhenUsed/>
    <w:rsid w:val="00A07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5DC"/>
  </w:style>
  <w:style w:type="character" w:customStyle="1" w:styleId="Heading1Char">
    <w:name w:val="Heading 1 Char"/>
    <w:basedOn w:val="DefaultParagraphFont"/>
    <w:link w:val="Heading1"/>
    <w:rsid w:val="00A075DC"/>
    <w:rPr>
      <w:rFonts w:ascii="Times New Roman" w:eastAsia="Times New Roman" w:hAnsi="Times New Roman" w:cs="Times New Roman"/>
      <w:b/>
      <w:sz w:val="32"/>
      <w:szCs w:val="20"/>
      <w:lang w:eastAsia="en-US"/>
    </w:rPr>
  </w:style>
  <w:style w:type="paragraph" w:styleId="BodyText">
    <w:name w:val="Body Text"/>
    <w:basedOn w:val="Normal"/>
    <w:link w:val="BodyTextChar"/>
    <w:rsid w:val="00A075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5DC"/>
    <w:rPr>
      <w:rFonts w:ascii="Times New Roman" w:eastAsia="Times New Roman" w:hAnsi="Times New Roman" w:cs="Times New Roman"/>
      <w:sz w:val="24"/>
      <w:lang w:eastAsia="en-US"/>
    </w:rPr>
  </w:style>
  <w:style w:type="paragraph" w:styleId="Footer">
    <w:name w:val="footer"/>
    <w:basedOn w:val="Normal"/>
    <w:link w:val="FooterChar"/>
    <w:rsid w:val="00A07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5DC"/>
    <w:rPr>
      <w:rFonts w:ascii="Times New Roman" w:eastAsia="Times New Roman" w:hAnsi="Times New Roman" w:cs="Times New Roman"/>
      <w:sz w:val="16"/>
      <w:lang w:eastAsia="en-US"/>
    </w:rPr>
  </w:style>
  <w:style w:type="paragraph" w:styleId="List">
    <w:name w:val="List"/>
    <w:basedOn w:val="BodyText"/>
    <w:next w:val="BodyText"/>
    <w:rsid w:val="00A075DC"/>
    <w:pPr>
      <w:tabs>
        <w:tab w:val="left" w:pos="340"/>
      </w:tabs>
      <w:spacing w:before="60" w:after="60"/>
      <w:ind w:left="340" w:hanging="340"/>
    </w:pPr>
  </w:style>
  <w:style w:type="character" w:customStyle="1" w:styleId="SpecialBold">
    <w:name w:val="Special Bold"/>
    <w:basedOn w:val="DefaultParagraphFont"/>
    <w:rsid w:val="00A075DC"/>
    <w:rPr>
      <w:b/>
      <w:spacing w:val="0"/>
    </w:rPr>
  </w:style>
  <w:style w:type="paragraph" w:styleId="ListBullet2">
    <w:name w:val="List Bullet 2"/>
    <w:basedOn w:val="List2"/>
    <w:rsid w:val="00A075DC"/>
    <w:pPr>
      <w:numPr>
        <w:numId w:val="14"/>
      </w:numPr>
      <w:tabs>
        <w:tab w:val="clear" w:pos="680"/>
      </w:tabs>
    </w:pPr>
  </w:style>
  <w:style w:type="character" w:styleId="Emphasis">
    <w:name w:val="Emphasis"/>
    <w:basedOn w:val="DefaultParagraphFont"/>
    <w:qFormat/>
    <w:rsid w:val="00A075DC"/>
    <w:rPr>
      <w:i/>
    </w:rPr>
  </w:style>
  <w:style w:type="paragraph" w:customStyle="1" w:styleId="SuperHeading">
    <w:name w:val="SuperHeading"/>
    <w:basedOn w:val="Normal"/>
    <w:rsid w:val="00A075DC"/>
    <w:pPr>
      <w:spacing w:before="240" w:after="120"/>
      <w:outlineLvl w:val="0"/>
    </w:pPr>
    <w:rPr>
      <w:rFonts w:ascii="Times New Roman" w:hAnsi="Times New Roman"/>
      <w:b/>
      <w:sz w:val="28"/>
    </w:rPr>
  </w:style>
  <w:style w:type="paragraph" w:customStyle="1" w:styleId="AllowPageBreak">
    <w:name w:val="AllowPageBreak"/>
    <w:rsid w:val="00A075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75DC"/>
    <w:pPr>
      <w:numPr>
        <w:numId w:val="2"/>
      </w:numPr>
      <w:tabs>
        <w:tab w:val="clear" w:pos="1021"/>
      </w:tabs>
      <w:ind w:left="1037" w:hanging="357"/>
    </w:pPr>
  </w:style>
  <w:style w:type="character" w:customStyle="1" w:styleId="Underline">
    <w:name w:val="Underline"/>
    <w:basedOn w:val="DefaultParagraphFont"/>
    <w:qFormat/>
    <w:rsid w:val="00A075DC"/>
    <w:rPr>
      <w:u w:val="single"/>
    </w:rPr>
  </w:style>
  <w:style w:type="character" w:customStyle="1" w:styleId="BoldandItalics">
    <w:name w:val="Bold and Italics"/>
    <w:qFormat/>
    <w:rsid w:val="00A075DC"/>
    <w:rPr>
      <w:b/>
      <w:i/>
      <w:u w:val="none"/>
    </w:rPr>
  </w:style>
  <w:style w:type="character" w:customStyle="1" w:styleId="Heading2Char">
    <w:name w:val="Heading 2 Char"/>
    <w:basedOn w:val="DefaultParagraphFont"/>
    <w:link w:val="Heading2"/>
    <w:rsid w:val="00A07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5DC"/>
    <w:rPr>
      <w:rFonts w:ascii="Courier New" w:eastAsia="Times New Roman" w:hAnsi="Courier New" w:cs="Times New Roman"/>
      <w:i/>
      <w:szCs w:val="20"/>
      <w:lang w:eastAsia="en-US"/>
    </w:rPr>
  </w:style>
  <w:style w:type="paragraph" w:customStyle="1" w:styleId="HeadingBase">
    <w:name w:val="Heading Base"/>
    <w:rsid w:val="00A07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5DC"/>
    <w:pPr>
      <w:tabs>
        <w:tab w:val="right" w:leader="dot" w:pos="9072"/>
      </w:tabs>
      <w:ind w:left="567"/>
    </w:pPr>
    <w:rPr>
      <w:szCs w:val="22"/>
    </w:rPr>
  </w:style>
  <w:style w:type="paragraph" w:customStyle="1" w:styleId="TOCBase">
    <w:name w:val="TOC Base"/>
    <w:rsid w:val="00A07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5DC"/>
    <w:pPr>
      <w:tabs>
        <w:tab w:val="right" w:leader="dot" w:pos="9072"/>
      </w:tabs>
      <w:spacing w:before="40" w:after="40"/>
      <w:ind w:left="284"/>
    </w:pPr>
    <w:rPr>
      <w:rFonts w:ascii="Times New Roman" w:hAnsi="Times New Roman"/>
    </w:rPr>
  </w:style>
  <w:style w:type="paragraph" w:styleId="TOC1">
    <w:name w:val="toc 1"/>
    <w:basedOn w:val="TOCBase"/>
    <w:next w:val="Normal"/>
    <w:rsid w:val="00A075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5DC"/>
    <w:pPr>
      <w:spacing w:before="5040"/>
      <w:jc w:val="center"/>
    </w:pPr>
    <w:rPr>
      <w:sz w:val="48"/>
      <w:szCs w:val="72"/>
      <w:lang w:val="en-US"/>
    </w:rPr>
  </w:style>
  <w:style w:type="character" w:customStyle="1" w:styleId="TitleChar">
    <w:name w:val="Title Char"/>
    <w:basedOn w:val="DefaultParagraphFont"/>
    <w:link w:val="Title"/>
    <w:rsid w:val="00A07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5DC"/>
    <w:pPr>
      <w:tabs>
        <w:tab w:val="left" w:pos="3600"/>
        <w:tab w:val="left" w:pos="3958"/>
      </w:tabs>
    </w:pPr>
  </w:style>
  <w:style w:type="paragraph" w:styleId="ListBullet">
    <w:name w:val="List Bullet"/>
    <w:basedOn w:val="List"/>
    <w:rsid w:val="00A075DC"/>
    <w:pPr>
      <w:numPr>
        <w:numId w:val="13"/>
      </w:numPr>
      <w:tabs>
        <w:tab w:val="clear" w:pos="340"/>
      </w:tabs>
      <w:spacing w:before="40" w:after="40"/>
    </w:pPr>
  </w:style>
  <w:style w:type="paragraph" w:customStyle="1" w:styleId="Note">
    <w:name w:val="Note"/>
    <w:basedOn w:val="BodyText"/>
    <w:rsid w:val="00A07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5DC"/>
    <w:pPr>
      <w:framePr w:wrap="auto" w:hAnchor="text" w:y="6049"/>
    </w:pPr>
    <w:rPr>
      <w:color w:val="000000"/>
      <w:sz w:val="40"/>
    </w:rPr>
  </w:style>
  <w:style w:type="paragraph" w:customStyle="1" w:styleId="TOCTitle">
    <w:name w:val="TOCTitle"/>
    <w:basedOn w:val="Heading1"/>
    <w:rsid w:val="00A075DC"/>
    <w:pPr>
      <w:spacing w:after="240"/>
      <w:jc w:val="center"/>
      <w:outlineLvl w:val="9"/>
    </w:pPr>
    <w:rPr>
      <w:caps/>
    </w:rPr>
  </w:style>
  <w:style w:type="paragraph" w:customStyle="1" w:styleId="Version">
    <w:name w:val="Version"/>
    <w:rsid w:val="00A07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5DC"/>
    <w:pPr>
      <w:keepNext w:val="0"/>
      <w:tabs>
        <w:tab w:val="right" w:pos="4176"/>
      </w:tabs>
      <w:ind w:left="198" w:hanging="198"/>
    </w:pPr>
    <w:rPr>
      <w:rFonts w:ascii="Garamond" w:hAnsi="Garamond"/>
    </w:rPr>
  </w:style>
  <w:style w:type="paragraph" w:styleId="IndexHeading">
    <w:name w:val="index heading"/>
    <w:basedOn w:val="Normal"/>
    <w:next w:val="Index1"/>
    <w:semiHidden/>
    <w:rsid w:val="00A075DC"/>
    <w:pPr>
      <w:spacing w:before="120" w:after="120"/>
    </w:pPr>
    <w:rPr>
      <w:rFonts w:ascii="Arial" w:hAnsi="Arial"/>
      <w:b/>
      <w:color w:val="918585"/>
      <w:sz w:val="24"/>
    </w:rPr>
  </w:style>
  <w:style w:type="paragraph" w:styleId="Header">
    <w:name w:val="header"/>
    <w:basedOn w:val="Normal"/>
    <w:link w:val="HeaderChar"/>
    <w:rsid w:val="00A07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5DC"/>
    <w:rPr>
      <w:rFonts w:ascii="Times New Roman" w:eastAsia="Times New Roman" w:hAnsi="Times New Roman" w:cs="Times New Roman"/>
      <w:sz w:val="16"/>
      <w:szCs w:val="20"/>
      <w:lang w:val="en-GB" w:eastAsia="en-US"/>
    </w:rPr>
  </w:style>
  <w:style w:type="paragraph" w:customStyle="1" w:styleId="Chapter">
    <w:name w:val="Chapter"/>
    <w:basedOn w:val="Normal"/>
    <w:rsid w:val="00A075DC"/>
    <w:pPr>
      <w:spacing w:before="240"/>
    </w:pPr>
    <w:rPr>
      <w:rFonts w:ascii="Times New Roman" w:hAnsi="Times New Roman"/>
      <w:smallCaps/>
      <w:spacing w:val="80"/>
      <w:sz w:val="28"/>
    </w:rPr>
  </w:style>
  <w:style w:type="paragraph" w:customStyle="1" w:styleId="InChapter">
    <w:name w:val="InChapter"/>
    <w:basedOn w:val="Heading3"/>
    <w:rsid w:val="00A075DC"/>
    <w:pPr>
      <w:spacing w:after="240"/>
      <w:outlineLvl w:val="9"/>
    </w:pPr>
    <w:rPr>
      <w:noProof/>
    </w:rPr>
  </w:style>
  <w:style w:type="paragraph" w:styleId="Index2">
    <w:name w:val="index 2"/>
    <w:basedOn w:val="Normal"/>
    <w:next w:val="Normal"/>
    <w:semiHidden/>
    <w:rsid w:val="00A075DC"/>
    <w:pPr>
      <w:tabs>
        <w:tab w:val="right" w:pos="4176"/>
      </w:tabs>
      <w:ind w:left="568" w:hanging="284"/>
    </w:pPr>
    <w:rPr>
      <w:rFonts w:ascii="Garamond" w:hAnsi="Garamond"/>
    </w:rPr>
  </w:style>
  <w:style w:type="paragraph" w:customStyle="1" w:styleId="Byline">
    <w:name w:val="Byline"/>
    <w:rsid w:val="00A07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5DC"/>
    <w:pPr>
      <w:tabs>
        <w:tab w:val="clear" w:pos="3600"/>
        <w:tab w:val="clear" w:pos="3958"/>
      </w:tabs>
      <w:jc w:val="right"/>
    </w:pPr>
  </w:style>
  <w:style w:type="paragraph" w:styleId="Caption">
    <w:name w:val="caption"/>
    <w:basedOn w:val="BodyText"/>
    <w:next w:val="Normal"/>
    <w:qFormat/>
    <w:rsid w:val="00A075DC"/>
    <w:pPr>
      <w:framePr w:w="2268" w:hSpace="181" w:vSpace="181" w:wrap="around" w:vAnchor="text" w:hAnchor="page" w:x="1135" w:y="285" w:anchorLock="1"/>
    </w:pPr>
    <w:rPr>
      <w:i/>
    </w:rPr>
  </w:style>
  <w:style w:type="paragraph" w:customStyle="1" w:styleId="MiniTOCTitle">
    <w:name w:val="MiniTOCTitle"/>
    <w:basedOn w:val="Heading4"/>
    <w:rsid w:val="00A075DC"/>
    <w:pPr>
      <w:spacing w:before="240"/>
      <w:outlineLvl w:val="9"/>
    </w:pPr>
    <w:rPr>
      <w:noProof/>
      <w:sz w:val="24"/>
    </w:rPr>
  </w:style>
  <w:style w:type="paragraph" w:customStyle="1" w:styleId="MiniTOCItem">
    <w:name w:val="MiniTOCItem"/>
    <w:basedOn w:val="ListBullet"/>
    <w:rsid w:val="00A075DC"/>
    <w:pPr>
      <w:numPr>
        <w:numId w:val="0"/>
      </w:numPr>
      <w:tabs>
        <w:tab w:val="right" w:leader="dot" w:pos="6521"/>
      </w:tabs>
      <w:spacing w:before="0" w:after="0"/>
    </w:pPr>
  </w:style>
  <w:style w:type="paragraph" w:customStyle="1" w:styleId="TOFTitle">
    <w:name w:val="TOFTitle"/>
    <w:basedOn w:val="TOCTitle"/>
    <w:rsid w:val="00A075DC"/>
  </w:style>
  <w:style w:type="paragraph" w:styleId="TableofFigures">
    <w:name w:val="table of figures"/>
    <w:basedOn w:val="Normal"/>
    <w:next w:val="Normal"/>
    <w:semiHidden/>
    <w:rsid w:val="00A075DC"/>
    <w:pPr>
      <w:tabs>
        <w:tab w:val="right" w:leader="dot" w:pos="9072"/>
      </w:tabs>
      <w:ind w:left="970" w:hanging="403"/>
    </w:pPr>
    <w:rPr>
      <w:rFonts w:ascii="Times New Roman" w:hAnsi="Times New Roman"/>
      <w:b/>
    </w:rPr>
  </w:style>
  <w:style w:type="paragraph" w:styleId="ListNumber">
    <w:name w:val="List Number"/>
    <w:basedOn w:val="List"/>
    <w:rsid w:val="00A075DC"/>
    <w:pPr>
      <w:numPr>
        <w:numId w:val="11"/>
      </w:numPr>
    </w:pPr>
  </w:style>
  <w:style w:type="character" w:customStyle="1" w:styleId="WingdingSymbols">
    <w:name w:val="Wingding Symbols"/>
    <w:rsid w:val="00A075DC"/>
    <w:rPr>
      <w:rFonts w:ascii="Wingdings" w:hAnsi="Wingdings"/>
    </w:rPr>
  </w:style>
  <w:style w:type="paragraph" w:customStyle="1" w:styleId="TableHeading">
    <w:name w:val="Table Heading"/>
    <w:basedOn w:val="HeadingBase"/>
    <w:rsid w:val="00A075DC"/>
    <w:pPr>
      <w:keepLines/>
      <w:pBdr>
        <w:bottom w:val="single" w:sz="6" w:space="1" w:color="918585"/>
      </w:pBdr>
      <w:spacing w:before="240"/>
    </w:pPr>
  </w:style>
  <w:style w:type="character" w:customStyle="1" w:styleId="HotSpot">
    <w:name w:val="HotSpot"/>
    <w:rsid w:val="00A075DC"/>
    <w:rPr>
      <w:color w:val="0033CC"/>
      <w:u w:val="none"/>
    </w:rPr>
  </w:style>
  <w:style w:type="paragraph" w:customStyle="1" w:styleId="BodyTextRight">
    <w:name w:val="Body Text Right"/>
    <w:basedOn w:val="BodyText"/>
    <w:rsid w:val="00A075DC"/>
    <w:pPr>
      <w:spacing w:before="0" w:after="0"/>
      <w:jc w:val="right"/>
    </w:pPr>
  </w:style>
  <w:style w:type="paragraph" w:styleId="Index3">
    <w:name w:val="index 3"/>
    <w:basedOn w:val="ListNumber2"/>
    <w:next w:val="Normal"/>
    <w:semiHidden/>
    <w:rsid w:val="00A075DC"/>
    <w:pPr>
      <w:numPr>
        <w:numId w:val="0"/>
      </w:numPr>
      <w:tabs>
        <w:tab w:val="right" w:leader="dot" w:pos="4176"/>
      </w:tabs>
    </w:pPr>
  </w:style>
  <w:style w:type="paragraph" w:styleId="ListNumber2">
    <w:name w:val="List Number 2"/>
    <w:basedOn w:val="List2"/>
    <w:rsid w:val="00A075DC"/>
    <w:pPr>
      <w:numPr>
        <w:numId w:val="10"/>
      </w:numPr>
      <w:tabs>
        <w:tab w:val="clear" w:pos="1060"/>
      </w:tabs>
    </w:pPr>
  </w:style>
  <w:style w:type="paragraph" w:customStyle="1" w:styleId="MarginNote">
    <w:name w:val="Margin Note"/>
    <w:basedOn w:val="BodyText"/>
    <w:rsid w:val="00A07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5DC"/>
    <w:rPr>
      <w:sz w:val="32"/>
    </w:rPr>
  </w:style>
  <w:style w:type="paragraph" w:customStyle="1" w:styleId="HeadingProcedure">
    <w:name w:val="Heading Procedure"/>
    <w:basedOn w:val="HeadingBase"/>
    <w:next w:val="Normal"/>
    <w:rsid w:val="00A075DC"/>
    <w:pPr>
      <w:tabs>
        <w:tab w:val="left" w:pos="0"/>
      </w:tabs>
      <w:spacing w:before="120" w:after="60"/>
    </w:pPr>
    <w:rPr>
      <w:i/>
      <w:color w:val="918585"/>
      <w:sz w:val="22"/>
    </w:rPr>
  </w:style>
  <w:style w:type="paragraph" w:customStyle="1" w:styleId="TableBodyText">
    <w:name w:val="Table Body Text"/>
    <w:basedOn w:val="BodyText"/>
    <w:rsid w:val="00A075DC"/>
    <w:pPr>
      <w:spacing w:before="60" w:after="60"/>
    </w:pPr>
  </w:style>
  <w:style w:type="paragraph" w:styleId="ListContinue">
    <w:name w:val="List Continue"/>
    <w:basedOn w:val="List"/>
    <w:rsid w:val="00A075DC"/>
    <w:pPr>
      <w:ind w:firstLine="0"/>
    </w:pPr>
  </w:style>
  <w:style w:type="paragraph" w:customStyle="1" w:styleId="ListNote">
    <w:name w:val="List Note"/>
    <w:basedOn w:val="List"/>
    <w:rsid w:val="00A075DC"/>
    <w:pPr>
      <w:pBdr>
        <w:top w:val="single" w:sz="6" w:space="2" w:color="918585"/>
        <w:bottom w:val="single" w:sz="6" w:space="2" w:color="918585"/>
      </w:pBdr>
      <w:tabs>
        <w:tab w:val="left" w:pos="1021"/>
      </w:tabs>
      <w:ind w:firstLine="0"/>
    </w:pPr>
  </w:style>
  <w:style w:type="paragraph" w:customStyle="1" w:styleId="Warning">
    <w:name w:val="Warning"/>
    <w:basedOn w:val="BodyText"/>
    <w:rsid w:val="00A075DC"/>
    <w:pPr>
      <w:shd w:val="clear" w:color="auto" w:fill="D9D9D9"/>
      <w:tabs>
        <w:tab w:val="left" w:pos="992"/>
      </w:tabs>
      <w:ind w:left="119" w:right="119"/>
    </w:pPr>
    <w:rPr>
      <w:sz w:val="20"/>
    </w:rPr>
  </w:style>
  <w:style w:type="paragraph" w:customStyle="1" w:styleId="MarginIcons">
    <w:name w:val="Margin Icons"/>
    <w:basedOn w:val="BodyText"/>
    <w:rsid w:val="00A07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5DC"/>
    <w:rPr>
      <w:rFonts w:ascii="Courier New" w:hAnsi="Courier New"/>
    </w:rPr>
  </w:style>
  <w:style w:type="paragraph" w:customStyle="1" w:styleId="NoteBullet">
    <w:name w:val="Note Bullet"/>
    <w:basedOn w:val="Note"/>
    <w:rsid w:val="00A075DC"/>
    <w:pPr>
      <w:tabs>
        <w:tab w:val="clear" w:pos="680"/>
      </w:tabs>
      <w:spacing w:before="60" w:after="60"/>
    </w:pPr>
  </w:style>
  <w:style w:type="paragraph" w:customStyle="1" w:styleId="SubHeading2">
    <w:name w:val="SubHeading2"/>
    <w:basedOn w:val="HeadingBase"/>
    <w:rsid w:val="00A075DC"/>
    <w:pPr>
      <w:spacing w:before="240" w:after="60"/>
    </w:pPr>
    <w:rPr>
      <w:sz w:val="20"/>
    </w:rPr>
  </w:style>
  <w:style w:type="paragraph" w:customStyle="1" w:styleId="SubHeading1">
    <w:name w:val="SubHeading1"/>
    <w:basedOn w:val="HeadingBase"/>
    <w:rsid w:val="00A075DC"/>
    <w:pPr>
      <w:spacing w:before="240" w:after="60"/>
    </w:pPr>
    <w:rPr>
      <w:color w:val="918585"/>
      <w:sz w:val="22"/>
    </w:rPr>
  </w:style>
  <w:style w:type="paragraph" w:customStyle="1" w:styleId="SideHeading">
    <w:name w:val="Side Heading"/>
    <w:basedOn w:val="HeadingBase"/>
    <w:rsid w:val="00A07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5DC"/>
    <w:pPr>
      <w:numPr>
        <w:numId w:val="12"/>
      </w:numPr>
    </w:pPr>
  </w:style>
  <w:style w:type="paragraph" w:styleId="PlainText">
    <w:name w:val="Plain Text"/>
    <w:basedOn w:val="Normal"/>
    <w:link w:val="PlainTextChar"/>
    <w:rsid w:val="00A075DC"/>
    <w:rPr>
      <w:sz w:val="20"/>
    </w:rPr>
  </w:style>
  <w:style w:type="character" w:customStyle="1" w:styleId="PlainTextChar">
    <w:name w:val="Plain Text Char"/>
    <w:basedOn w:val="DefaultParagraphFont"/>
    <w:link w:val="PlainText"/>
    <w:rsid w:val="00A075DC"/>
    <w:rPr>
      <w:rFonts w:ascii="Courier New" w:eastAsia="Times New Roman" w:hAnsi="Courier New" w:cs="Times New Roman"/>
      <w:sz w:val="20"/>
      <w:szCs w:val="20"/>
      <w:lang w:eastAsia="en-US"/>
    </w:rPr>
  </w:style>
  <w:style w:type="character" w:customStyle="1" w:styleId="MenuOption">
    <w:name w:val="Menu Option"/>
    <w:basedOn w:val="DefaultParagraphFont"/>
    <w:rsid w:val="00A075DC"/>
    <w:rPr>
      <w:b/>
      <w:smallCaps/>
    </w:rPr>
  </w:style>
  <w:style w:type="paragraph" w:customStyle="1" w:styleId="TableListNumber">
    <w:name w:val="Table List Number"/>
    <w:basedOn w:val="ListNumber"/>
    <w:rsid w:val="00A075DC"/>
    <w:pPr>
      <w:numPr>
        <w:numId w:val="0"/>
      </w:numPr>
    </w:pPr>
  </w:style>
  <w:style w:type="paragraph" w:styleId="TOC4">
    <w:name w:val="toc 4"/>
    <w:basedOn w:val="TOCBase"/>
    <w:next w:val="Normal"/>
    <w:semiHidden/>
    <w:rsid w:val="00A075DC"/>
    <w:pPr>
      <w:tabs>
        <w:tab w:val="right" w:leader="dot" w:pos="9071"/>
      </w:tabs>
      <w:ind w:left="1701"/>
    </w:pPr>
  </w:style>
  <w:style w:type="paragraph" w:customStyle="1" w:styleId="ListAlpha">
    <w:name w:val="List Alpha"/>
    <w:basedOn w:val="List"/>
    <w:rsid w:val="00A075DC"/>
    <w:pPr>
      <w:numPr>
        <w:numId w:val="9"/>
      </w:numPr>
    </w:pPr>
  </w:style>
  <w:style w:type="paragraph" w:customStyle="1" w:styleId="ListAlpha2">
    <w:name w:val="List Alpha 2"/>
    <w:basedOn w:val="List2"/>
    <w:rsid w:val="00A075DC"/>
    <w:pPr>
      <w:numPr>
        <w:numId w:val="8"/>
      </w:numPr>
    </w:pPr>
  </w:style>
  <w:style w:type="paragraph" w:styleId="List2">
    <w:name w:val="List 2"/>
    <w:basedOn w:val="BodyText"/>
    <w:rsid w:val="00A075DC"/>
    <w:pPr>
      <w:tabs>
        <w:tab w:val="left" w:pos="680"/>
      </w:tabs>
      <w:spacing w:before="60" w:after="60"/>
      <w:ind w:left="680" w:hanging="340"/>
    </w:pPr>
  </w:style>
  <w:style w:type="paragraph" w:styleId="List3">
    <w:name w:val="List 3"/>
    <w:basedOn w:val="BodyText"/>
    <w:rsid w:val="00A075DC"/>
    <w:pPr>
      <w:tabs>
        <w:tab w:val="left" w:pos="1021"/>
      </w:tabs>
      <w:spacing w:before="60" w:after="60"/>
      <w:ind w:left="1020" w:hanging="340"/>
    </w:pPr>
  </w:style>
  <w:style w:type="paragraph" w:styleId="List4">
    <w:name w:val="List 4"/>
    <w:basedOn w:val="BodyText"/>
    <w:rsid w:val="00A075DC"/>
    <w:pPr>
      <w:tabs>
        <w:tab w:val="left" w:pos="1361"/>
      </w:tabs>
      <w:spacing w:before="60" w:after="60"/>
      <w:ind w:left="1361" w:hanging="340"/>
    </w:pPr>
  </w:style>
  <w:style w:type="paragraph" w:styleId="List5">
    <w:name w:val="List 5"/>
    <w:basedOn w:val="BodyText"/>
    <w:rsid w:val="00A075DC"/>
    <w:pPr>
      <w:tabs>
        <w:tab w:val="left" w:pos="1701"/>
      </w:tabs>
      <w:spacing w:before="60" w:after="60"/>
      <w:ind w:left="1701" w:hanging="340"/>
    </w:pPr>
  </w:style>
  <w:style w:type="paragraph" w:styleId="ListBullet4">
    <w:name w:val="List Bullet 4"/>
    <w:basedOn w:val="List4"/>
    <w:rsid w:val="00A075DC"/>
    <w:pPr>
      <w:numPr>
        <w:numId w:val="3"/>
      </w:numPr>
    </w:pPr>
  </w:style>
  <w:style w:type="paragraph" w:styleId="ListBullet5">
    <w:name w:val="List Bullet 5"/>
    <w:basedOn w:val="List5"/>
    <w:rsid w:val="00A075DC"/>
    <w:pPr>
      <w:numPr>
        <w:numId w:val="4"/>
      </w:numPr>
    </w:pPr>
  </w:style>
  <w:style w:type="paragraph" w:styleId="ListContinue2">
    <w:name w:val="List Continue 2"/>
    <w:basedOn w:val="List2"/>
    <w:rsid w:val="00A075DC"/>
    <w:pPr>
      <w:ind w:firstLine="0"/>
    </w:pPr>
  </w:style>
  <w:style w:type="paragraph" w:styleId="ListContinue3">
    <w:name w:val="List Continue 3"/>
    <w:basedOn w:val="List3"/>
    <w:rsid w:val="00A075DC"/>
    <w:pPr>
      <w:ind w:left="1021" w:firstLine="0"/>
    </w:pPr>
  </w:style>
  <w:style w:type="paragraph" w:styleId="ListContinue4">
    <w:name w:val="List Continue 4"/>
    <w:basedOn w:val="List4"/>
    <w:rsid w:val="00A075DC"/>
    <w:pPr>
      <w:ind w:firstLine="0"/>
    </w:pPr>
  </w:style>
  <w:style w:type="paragraph" w:styleId="ListContinue5">
    <w:name w:val="List Continue 5"/>
    <w:basedOn w:val="List5"/>
    <w:rsid w:val="00A075DC"/>
    <w:pPr>
      <w:ind w:firstLine="0"/>
    </w:pPr>
  </w:style>
  <w:style w:type="paragraph" w:styleId="ListNumber3">
    <w:name w:val="List Number 3"/>
    <w:basedOn w:val="List3"/>
    <w:rsid w:val="00A075DC"/>
    <w:pPr>
      <w:numPr>
        <w:numId w:val="5"/>
      </w:numPr>
    </w:pPr>
  </w:style>
  <w:style w:type="paragraph" w:styleId="ListNumber4">
    <w:name w:val="List Number 4"/>
    <w:basedOn w:val="List4"/>
    <w:rsid w:val="00A075DC"/>
    <w:pPr>
      <w:numPr>
        <w:numId w:val="6"/>
      </w:numPr>
    </w:pPr>
  </w:style>
  <w:style w:type="paragraph" w:styleId="ListNumber5">
    <w:name w:val="List Number 5"/>
    <w:basedOn w:val="List5"/>
    <w:rsid w:val="00A075DC"/>
    <w:pPr>
      <w:numPr>
        <w:numId w:val="7"/>
      </w:numPr>
    </w:pPr>
  </w:style>
  <w:style w:type="paragraph" w:styleId="BlockText">
    <w:name w:val="Block Text"/>
    <w:basedOn w:val="Normal"/>
    <w:rsid w:val="00A075DC"/>
    <w:pPr>
      <w:spacing w:after="120"/>
      <w:ind w:left="1440" w:right="1440"/>
    </w:pPr>
  </w:style>
  <w:style w:type="character" w:customStyle="1" w:styleId="Subscript">
    <w:name w:val="Subscript"/>
    <w:basedOn w:val="DefaultParagraphFont"/>
    <w:rsid w:val="00A075DC"/>
    <w:rPr>
      <w:sz w:val="16"/>
      <w:vertAlign w:val="subscript"/>
    </w:rPr>
  </w:style>
  <w:style w:type="character" w:customStyle="1" w:styleId="Superscript">
    <w:name w:val="Superscript"/>
    <w:basedOn w:val="DefaultParagraphFont"/>
    <w:rsid w:val="00A075DC"/>
    <w:rPr>
      <w:sz w:val="16"/>
      <w:vertAlign w:val="superscript"/>
    </w:rPr>
  </w:style>
  <w:style w:type="character" w:customStyle="1" w:styleId="Symbols">
    <w:name w:val="Symbols"/>
    <w:basedOn w:val="DefaultParagraphFont"/>
    <w:rsid w:val="00A075DC"/>
    <w:rPr>
      <w:rFonts w:ascii="Symbol" w:hAnsi="Symbol"/>
    </w:rPr>
  </w:style>
  <w:style w:type="character" w:customStyle="1" w:styleId="MenuOptions">
    <w:name w:val="Menu Options"/>
    <w:basedOn w:val="DefaultParagraphFont"/>
    <w:rsid w:val="00A075DC"/>
    <w:rPr>
      <w:rFonts w:ascii="Arial Narrow" w:hAnsi="Arial Narrow"/>
      <w:smallCaps/>
    </w:rPr>
  </w:style>
  <w:style w:type="character" w:customStyle="1" w:styleId="Buttons">
    <w:name w:val="Buttons"/>
    <w:basedOn w:val="DefaultParagraphFont"/>
    <w:rsid w:val="00A075DC"/>
    <w:rPr>
      <w:b/>
    </w:rPr>
  </w:style>
  <w:style w:type="character" w:customStyle="1" w:styleId="Underlined">
    <w:name w:val="Underlined"/>
    <w:basedOn w:val="DefaultParagraphFont"/>
    <w:rsid w:val="00A075DC"/>
    <w:rPr>
      <w:u w:val="single"/>
    </w:rPr>
  </w:style>
  <w:style w:type="paragraph" w:customStyle="1" w:styleId="TableBodyTextRight">
    <w:name w:val="Table Body Text Right"/>
    <w:basedOn w:val="TableBodyText"/>
    <w:rsid w:val="00A075DC"/>
    <w:pPr>
      <w:widowControl w:val="0"/>
      <w:autoSpaceDE w:val="0"/>
      <w:autoSpaceDN w:val="0"/>
      <w:adjustRightInd w:val="0"/>
      <w:jc w:val="right"/>
    </w:pPr>
    <w:rPr>
      <w:rFonts w:cs="Arial"/>
      <w:szCs w:val="18"/>
    </w:rPr>
  </w:style>
  <w:style w:type="paragraph" w:customStyle="1" w:styleId="CopyrightText">
    <w:name w:val="Copyright Text"/>
    <w:basedOn w:val="BodyText"/>
    <w:rsid w:val="00A075DC"/>
    <w:rPr>
      <w:sz w:val="18"/>
    </w:rPr>
  </w:style>
  <w:style w:type="paragraph" w:customStyle="1" w:styleId="BodySmallRight">
    <w:name w:val="Body Small Right"/>
    <w:basedOn w:val="BodyTextRight"/>
    <w:rsid w:val="00A075DC"/>
    <w:rPr>
      <w:sz w:val="18"/>
      <w:szCs w:val="18"/>
    </w:rPr>
  </w:style>
  <w:style w:type="paragraph" w:customStyle="1" w:styleId="MarginEdition">
    <w:name w:val="Margin Edition"/>
    <w:basedOn w:val="MarginNote"/>
    <w:rsid w:val="00A075DC"/>
    <w:pPr>
      <w:spacing w:before="0" w:after="0"/>
    </w:pPr>
    <w:rPr>
      <w:rFonts w:ascii="Times New Roman" w:hAnsi="Times New Roman"/>
      <w:color w:val="999999"/>
    </w:rPr>
  </w:style>
  <w:style w:type="paragraph" w:customStyle="1" w:styleId="Spacer">
    <w:name w:val="Spacer"/>
    <w:basedOn w:val="Normal"/>
    <w:rsid w:val="00A075DC"/>
    <w:rPr>
      <w:sz w:val="2"/>
      <w:szCs w:val="2"/>
    </w:rPr>
  </w:style>
  <w:style w:type="character" w:customStyle="1" w:styleId="Small">
    <w:name w:val="Small"/>
    <w:basedOn w:val="DefaultParagraphFont"/>
    <w:rsid w:val="00A075DC"/>
    <w:rPr>
      <w:sz w:val="16"/>
    </w:rPr>
  </w:style>
  <w:style w:type="paragraph" w:customStyle="1" w:styleId="WideTable">
    <w:name w:val="Wide Table"/>
    <w:basedOn w:val="Normal"/>
    <w:rsid w:val="00A075DC"/>
    <w:pPr>
      <w:ind w:left="-1418"/>
    </w:pPr>
    <w:rPr>
      <w:sz w:val="2"/>
      <w:szCs w:val="2"/>
    </w:rPr>
  </w:style>
  <w:style w:type="character" w:styleId="PageNumber">
    <w:name w:val="page number"/>
    <w:basedOn w:val="DefaultParagraphFont"/>
    <w:rsid w:val="00A075DC"/>
  </w:style>
  <w:style w:type="paragraph" w:styleId="Quote">
    <w:name w:val="Quote"/>
    <w:basedOn w:val="Heading1"/>
    <w:link w:val="QuoteChar"/>
    <w:qFormat/>
    <w:rsid w:val="00A075DC"/>
    <w:rPr>
      <w:b w:val="0"/>
      <w:sz w:val="72"/>
      <w:szCs w:val="72"/>
      <w:lang w:val="en-NZ"/>
    </w:rPr>
  </w:style>
  <w:style w:type="character" w:customStyle="1" w:styleId="QuoteChar">
    <w:name w:val="Quote Char"/>
    <w:basedOn w:val="DefaultParagraphFont"/>
    <w:link w:val="Quote"/>
    <w:rsid w:val="00A07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5DC"/>
    <w:pPr>
      <w:pageBreakBefore/>
    </w:pPr>
  </w:style>
  <w:style w:type="paragraph" w:customStyle="1" w:styleId="Border">
    <w:name w:val="Border"/>
    <w:basedOn w:val="Normal"/>
    <w:qFormat/>
    <w:rsid w:val="00A07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5DC"/>
    <w:rPr>
      <w:b/>
      <w:bCs/>
      <w:i/>
      <w:iCs/>
      <w:color w:val="auto"/>
    </w:rPr>
  </w:style>
  <w:style w:type="paragraph" w:styleId="IntenseQuote">
    <w:name w:val="Intense Quote"/>
    <w:basedOn w:val="Normal"/>
    <w:next w:val="Normal"/>
    <w:link w:val="IntenseQuoteChar"/>
    <w:uiPriority w:val="30"/>
    <w:qFormat/>
    <w:rsid w:val="00A07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5DC"/>
    <w:rPr>
      <w:smallCaps/>
      <w:color w:val="auto"/>
      <w:u w:val="single"/>
    </w:rPr>
  </w:style>
  <w:style w:type="character" w:styleId="IntenseReference">
    <w:name w:val="Intense Reference"/>
    <w:basedOn w:val="DefaultParagraphFont"/>
    <w:uiPriority w:val="32"/>
    <w:qFormat/>
    <w:rsid w:val="00A075DC"/>
    <w:rPr>
      <w:b/>
      <w:bCs/>
      <w:smallCaps/>
      <w:color w:val="auto"/>
      <w:spacing w:val="5"/>
      <w:u w:val="single"/>
    </w:rPr>
  </w:style>
  <w:style w:type="paragraph" w:customStyle="1" w:styleId="2ColumnHeading">
    <w:name w:val="2Column Heading"/>
    <w:basedOn w:val="BodyText"/>
    <w:qFormat/>
    <w:rsid w:val="00A075DC"/>
    <w:pPr>
      <w:spacing w:after="60"/>
      <w:ind w:left="-2268"/>
    </w:pPr>
    <w:rPr>
      <w:b/>
    </w:rPr>
  </w:style>
  <w:style w:type="paragraph" w:customStyle="1" w:styleId="Heading1TOC">
    <w:name w:val="Heading1 TOC"/>
    <w:basedOn w:val="Normal"/>
    <w:qFormat/>
    <w:rsid w:val="00A075DC"/>
    <w:pPr>
      <w:spacing w:before="240" w:after="120"/>
    </w:pPr>
    <w:rPr>
      <w:rFonts w:ascii="Times New Roman" w:hAnsi="Times New Roman"/>
      <w:b/>
      <w:sz w:val="32"/>
    </w:rPr>
  </w:style>
  <w:style w:type="paragraph" w:customStyle="1" w:styleId="Heading2TOC">
    <w:name w:val="Heading2 TOC"/>
    <w:basedOn w:val="Normal"/>
    <w:qFormat/>
    <w:rsid w:val="00A075DC"/>
    <w:pPr>
      <w:spacing w:before="240" w:after="60"/>
    </w:pPr>
    <w:rPr>
      <w:rFonts w:ascii="Times New Roman" w:hAnsi="Times New Roman"/>
      <w:b/>
      <w:sz w:val="28"/>
    </w:rPr>
  </w:style>
  <w:style w:type="paragraph" w:styleId="BalloonText">
    <w:name w:val="Balloon Text"/>
    <w:basedOn w:val="Normal"/>
    <w:link w:val="BalloonTextChar"/>
    <w:rsid w:val="00A075DC"/>
    <w:rPr>
      <w:rFonts w:ascii="Tahoma" w:hAnsi="Tahoma" w:cs="Tahoma"/>
      <w:sz w:val="16"/>
      <w:szCs w:val="16"/>
    </w:rPr>
  </w:style>
  <w:style w:type="character" w:customStyle="1" w:styleId="BalloonTextChar">
    <w:name w:val="Balloon Text Char"/>
    <w:basedOn w:val="DefaultParagraphFont"/>
    <w:link w:val="BalloonText"/>
    <w:rsid w:val="00A07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5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5DC"/>
    <w:rPr>
      <w:b/>
      <w:color w:val="660033"/>
      <w:spacing w:val="0"/>
    </w:rPr>
  </w:style>
  <w:style w:type="paragraph" w:customStyle="1" w:styleId="Nameditemlist">
    <w:name w:val="Named item list"/>
    <w:basedOn w:val="BodyText"/>
    <w:qFormat/>
    <w:rsid w:val="00A075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6881</Characters>
  <Application>Microsoft Office Word</Application>
  <DocSecurity>0</DocSecurity>
  <Lines>232</Lines>
  <Paragraphs>139</Paragraphs>
  <ScaleCrop>false</ScaleCrop>
  <Company>Author-it Software Corporation Ltd.</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PSPREG406C Make arrests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2012-11-01T17:13:00Z</dcterms:created>
  <dcterms:modified xsi:type="dcterms:W3CDTF">2012-11-01T17:13:00Z</dcterms:modified>
</cp:coreProperties>
</file>