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AF1" w:rsidP="003D1AF1">
      <w:pPr>
        <w:pStyle w:val="Title"/>
      </w:pPr>
      <w:r>
        <w:fldChar w:fldCharType="begin"/>
      </w:r>
      <w:r>
        <w:instrText xml:space="preserve"> TITLE   \* MERGEFORMAT </w:instrText>
      </w:r>
      <w:r>
        <w:fldChar w:fldCharType="separate"/>
      </w:r>
      <w:r>
        <w:t>PSPREG405B Act on non-compliance</w:t>
      </w:r>
      <w:r>
        <w:fldChar w:fldCharType="end"/>
      </w:r>
    </w:p>
    <w:p w:rsidR="003D1AF1" w:rsidP="003D1AF1">
      <w:pPr>
        <w:pStyle w:val="Version"/>
        <w:sectPr w:rsidSect="001C47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C473E" w:rsidP="001C473E">
      <w:pPr>
        <w:pStyle w:val="SuperHeading"/>
      </w:pPr>
      <w:r w:rsidRPr="001C473E">
        <w:t>PSPREG405B Act on non-compliance</w:t>
      </w:r>
    </w:p>
    <w:p w:rsidR="00000000" w:rsidRPr="001C473E" w:rsidP="001C473E">
      <w:pPr>
        <w:pStyle w:val="SuperHeading"/>
      </w:pPr>
    </w:p>
    <w:p w:rsidR="00000000" w:rsidRPr="001C473E" w:rsidP="001C473E">
      <w:pPr>
        <w:pStyle w:val="Heading1"/>
      </w:pPr>
      <w:bookmarkStart w:id="1" w:name="O_498196"/>
      <w:bookmarkEnd w:id="1"/>
      <w:r w:rsidRPr="001C473E">
        <w:t>Modification History</w:t>
      </w:r>
    </w:p>
    <w:tbl>
      <w:tblPr>
        <w:tblW w:w="0" w:type="auto"/>
        <w:tblLayout w:type="fixed"/>
        <w:tblCellMar>
          <w:left w:w="62" w:type="dxa"/>
          <w:right w:w="62" w:type="dxa"/>
        </w:tblCellMar>
        <w:tblLook w:val="0000"/>
      </w:tblPr>
      <w:tblGrid>
        <w:gridCol w:w="3052"/>
        <w:gridCol w:w="3052"/>
        <w:gridCol w:w="3052"/>
      </w:tblGrid>
      <w:tr w:rsidTr="003D1AF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73E" w:rsidP="001C473E">
            <w:pPr>
              <w:pStyle w:val="BodyText"/>
            </w:pPr>
            <w:r w:rsidRPr="001C473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73E" w:rsidP="001C473E">
            <w:pPr>
              <w:pStyle w:val="BodyText"/>
            </w:pPr>
            <w:r w:rsidRPr="001C473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73E">
            <w:pPr>
              <w:pStyle w:val="BodyText"/>
              <w:rPr>
                <w:lang w:val="en-NZ"/>
              </w:rPr>
            </w:pPr>
            <w:r w:rsidRPr="001C473E">
              <w:rPr>
                <w:rStyle w:val="SpecialBold"/>
              </w:rPr>
              <w:t>Comments</w:t>
            </w:r>
          </w:p>
        </w:tc>
      </w:tr>
      <w:tr w:rsidTr="003D1AF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73E">
            <w:pPr>
              <w:pStyle w:val="BodyText"/>
              <w:rPr>
                <w:lang w:val="en-NZ"/>
              </w:rPr>
            </w:pPr>
            <w:r w:rsidRPr="001C473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73E">
            <w:pPr>
              <w:pStyle w:val="BodyText"/>
              <w:rPr>
                <w:lang w:val="en-NZ"/>
              </w:rPr>
            </w:pPr>
            <w:r w:rsidRPr="001C473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73E">
            <w:pPr>
              <w:pStyle w:val="BodyText"/>
              <w:rPr>
                <w:lang w:val="en-NZ"/>
              </w:rPr>
            </w:pPr>
            <w:r w:rsidRPr="001C473E">
              <w:t xml:space="preserve">Unit descriptor edited. </w:t>
            </w:r>
          </w:p>
        </w:tc>
      </w:tr>
      <w:tr w:rsidTr="003D1AF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73E">
            <w:pPr>
              <w:pStyle w:val="BodyText"/>
              <w:rPr>
                <w:lang w:val="en-NZ"/>
              </w:rPr>
            </w:pPr>
            <w:r w:rsidRPr="001C473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73E">
            <w:pPr>
              <w:pStyle w:val="BodyText"/>
              <w:rPr>
                <w:lang w:val="en-NZ"/>
              </w:rPr>
            </w:pPr>
            <w:r w:rsidRPr="001C473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73E">
            <w:pPr>
              <w:pStyle w:val="BodyText"/>
              <w:rPr>
                <w:lang w:val="en-NZ"/>
              </w:rPr>
            </w:pPr>
            <w:r w:rsidRPr="001C473E">
              <w:t>Layout adjusted. No changes to content.</w:t>
            </w:r>
          </w:p>
        </w:tc>
      </w:tr>
      <w:tr w:rsidTr="003D1AF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73E">
            <w:pPr>
              <w:pStyle w:val="BodyText"/>
              <w:rPr>
                <w:lang w:val="en-NZ"/>
              </w:rPr>
            </w:pPr>
            <w:r w:rsidRPr="001C473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73E">
            <w:pPr>
              <w:pStyle w:val="BodyText"/>
              <w:rPr>
                <w:lang w:val="en-NZ"/>
              </w:rPr>
            </w:pPr>
            <w:r w:rsidRPr="001C473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73E" w:rsidP="001C473E">
            <w:pPr>
              <w:pStyle w:val="BodyText"/>
            </w:pPr>
            <w:r w:rsidRPr="001C473E">
              <w:t>Primary release.</w:t>
            </w:r>
          </w:p>
        </w:tc>
      </w:tr>
    </w:tbl>
    <w:p w:rsidR="003D1AF1" w:rsidP="001C473E">
      <w:pPr>
        <w:pStyle w:val="BodyText"/>
      </w:pPr>
    </w:p>
    <w:p w:rsidR="003D1AF1" w:rsidP="001C473E">
      <w:pPr>
        <w:pStyle w:val="BodyText"/>
      </w:pPr>
    </w:p>
    <w:p w:rsidR="00000000" w:rsidRPr="001C473E" w:rsidP="001C473E">
      <w:pPr>
        <w:pStyle w:val="Heading1"/>
      </w:pPr>
      <w:bookmarkStart w:id="2" w:name="O_498195"/>
      <w:bookmarkEnd w:id="2"/>
      <w:r w:rsidRPr="001C473E">
        <w:t>Unit Descriptor</w:t>
      </w:r>
    </w:p>
    <w:p w:rsidR="00000000" w:rsidRPr="001C473E" w:rsidP="001C473E">
      <w:pPr>
        <w:pStyle w:val="BodyText"/>
      </w:pPr>
      <w:r w:rsidRPr="001C473E">
        <w:t>This unit covers the competency to issue advice, instructions, warnings, notices, fines and other actions in response to non-compliance situations.</w:t>
      </w:r>
      <w:r w:rsidRPr="001C473E">
        <w:t xml:space="preserve"> It includes attending situations where non-compliance is suspected/alleged, and taking action on non-compliance.</w:t>
      </w:r>
    </w:p>
    <w:p w:rsidR="00000000" w:rsidRPr="001C473E" w:rsidP="001C473E">
      <w:pPr>
        <w:pStyle w:val="BodyText"/>
      </w:pPr>
      <w:r w:rsidRPr="001C473E">
        <w:t xml:space="preserve">In practice, acting on non-compliance may overlap with other generalist or specialist public sector work activities such as acting ethically, </w:t>
      </w:r>
      <w:r w:rsidRPr="001C473E">
        <w:t>exercising regulatory powers, promoting compliance, assessing non-compliance.</w:t>
      </w:r>
    </w:p>
    <w:p w:rsidR="003D1AF1" w:rsidP="001C473E">
      <w:pPr>
        <w:pStyle w:val="BodyText"/>
      </w:pPr>
      <w:r w:rsidRPr="001C473E">
        <w:t>No licensing, legislative, regulatory or certification requirements apply to this unit at the time of endorsement.</w:t>
      </w:r>
    </w:p>
    <w:p w:rsidR="003D1AF1" w:rsidP="001C473E">
      <w:pPr>
        <w:pStyle w:val="BodyText"/>
      </w:pPr>
    </w:p>
    <w:p w:rsidR="00000000" w:rsidRPr="001C473E" w:rsidP="001C473E">
      <w:pPr>
        <w:pStyle w:val="Heading1"/>
      </w:pPr>
      <w:bookmarkStart w:id="3" w:name="O_498203"/>
      <w:bookmarkEnd w:id="3"/>
      <w:r w:rsidRPr="001C473E">
        <w:t>Application of the Unit</w:t>
      </w:r>
    </w:p>
    <w:p w:rsidR="00000000" w:rsidRPr="001C473E" w:rsidP="001C473E">
      <w:pPr>
        <w:pStyle w:val="BodyText"/>
      </w:pPr>
      <w:r w:rsidRPr="001C473E">
        <w:t>Not applicable.</w:t>
      </w:r>
    </w:p>
    <w:p w:rsidR="00000000" w:rsidRPr="001C473E" w:rsidP="001C473E">
      <w:pPr>
        <w:pStyle w:val="AllowPageBreak"/>
      </w:pPr>
    </w:p>
    <w:p w:rsidR="00000000" w:rsidRPr="001C473E" w:rsidP="001C473E">
      <w:pPr>
        <w:pStyle w:val="Heading1"/>
      </w:pPr>
      <w:bookmarkStart w:id="4" w:name="O_498190"/>
      <w:bookmarkEnd w:id="4"/>
      <w:r w:rsidRPr="001C473E">
        <w:t>Licensing/Regulatory Information</w:t>
      </w:r>
    </w:p>
    <w:p w:rsidR="00000000" w:rsidRPr="001C473E" w:rsidP="001C473E">
      <w:pPr>
        <w:pStyle w:val="BodyText"/>
      </w:pPr>
      <w:r w:rsidRPr="001C473E">
        <w:t>Not applicable.</w:t>
      </w:r>
    </w:p>
    <w:p w:rsidR="00000000" w:rsidRPr="001C473E" w:rsidP="001C473E">
      <w:pPr>
        <w:pStyle w:val="AllowPageBreak"/>
      </w:pPr>
    </w:p>
    <w:p w:rsidR="00000000" w:rsidRPr="001C473E" w:rsidP="001C473E">
      <w:pPr>
        <w:pStyle w:val="Heading1"/>
      </w:pPr>
      <w:bookmarkStart w:id="5" w:name="O_498192"/>
      <w:bookmarkEnd w:id="5"/>
      <w:r w:rsidRPr="001C473E">
        <w:t>Pre-Requisites</w:t>
      </w:r>
    </w:p>
    <w:p w:rsidR="00000000" w:rsidRPr="001C473E" w:rsidP="001C473E">
      <w:pPr>
        <w:pStyle w:val="BodyText"/>
      </w:pPr>
      <w:r w:rsidRPr="001C473E">
        <w:t>Not applicable.</w:t>
      </w:r>
    </w:p>
    <w:p w:rsidR="00000000" w:rsidRPr="001C473E" w:rsidP="001C473E">
      <w:pPr>
        <w:pStyle w:val="AllowPageBreak"/>
      </w:pPr>
    </w:p>
    <w:p w:rsidR="00000000" w:rsidRPr="001C473E" w:rsidP="001C473E">
      <w:pPr>
        <w:pStyle w:val="Heading1"/>
      </w:pPr>
      <w:bookmarkStart w:id="6" w:name="O_498199"/>
      <w:bookmarkEnd w:id="6"/>
      <w:r w:rsidRPr="001C473E">
        <w:t>Employability Skills Information</w:t>
      </w:r>
    </w:p>
    <w:p w:rsidR="00000000" w:rsidRPr="001C473E" w:rsidP="001C473E">
      <w:pPr>
        <w:pStyle w:val="BodyText"/>
      </w:pPr>
      <w:r w:rsidRPr="001C473E">
        <w:t>This unit contains employability skills.</w:t>
      </w:r>
    </w:p>
    <w:p w:rsidR="00000000" w:rsidRPr="001C473E" w:rsidP="001C473E">
      <w:pPr>
        <w:pStyle w:val="AllowPageBreak"/>
      </w:pPr>
    </w:p>
    <w:p w:rsidR="00000000" w:rsidRPr="001C473E" w:rsidP="001C473E">
      <w:pPr>
        <w:pStyle w:val="Heading1"/>
      </w:pPr>
      <w:bookmarkStart w:id="7" w:name="O_498200"/>
      <w:bookmarkEnd w:id="7"/>
      <w:r w:rsidRPr="001C473E">
        <w:t>Elements and Performance Criteria P</w:t>
      </w:r>
      <w:r w:rsidRPr="001C473E">
        <w:t>re-Content</w:t>
      </w:r>
    </w:p>
    <w:tbl>
      <w:tblPr>
        <w:tblW w:w="9322" w:type="dxa"/>
        <w:tblLayout w:type="fixed"/>
        <w:tblCellMar>
          <w:left w:w="62" w:type="dxa"/>
          <w:right w:w="62" w:type="dxa"/>
        </w:tblCellMar>
        <w:tblLook w:val="0000"/>
      </w:tblPr>
      <w:tblGrid>
        <w:gridCol w:w="2660"/>
        <w:gridCol w:w="6662"/>
      </w:tblGrid>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BodyText"/>
            </w:pPr>
            <w:r w:rsidRPr="001C473E">
              <w:t>Together, performance criteria specify the requirements for competent performance. Text in</w:t>
            </w:r>
            <w:r w:rsidRPr="001C473E">
              <w:rPr>
                <w:rStyle w:val="BoldandItalics"/>
              </w:rPr>
              <w:t xml:space="preserve"> bold italics</w:t>
            </w:r>
            <w:r w:rsidRPr="001C473E">
              <w:t xml:space="preserve"> is explained in the Range Statement following.</w:t>
            </w:r>
          </w:p>
        </w:tc>
      </w:tr>
    </w:tbl>
    <w:p w:rsidR="00000000" w:rsidRPr="001C473E" w:rsidP="001C473E">
      <w:pPr>
        <w:pStyle w:val="BodyText"/>
      </w:pPr>
    </w:p>
    <w:p w:rsidR="00000000" w:rsidRPr="001C473E" w:rsidP="001C473E">
      <w:pPr>
        <w:pStyle w:val="AllowPageBreak"/>
      </w:pPr>
    </w:p>
    <w:p w:rsidR="00000000" w:rsidRPr="001C473E" w:rsidP="001C473E">
      <w:pPr>
        <w:pStyle w:val="Heading1"/>
      </w:pPr>
      <w:bookmarkStart w:id="8" w:name="O_498201"/>
      <w:bookmarkEnd w:id="8"/>
      <w:r w:rsidRPr="001C473E">
        <w:t>Elements and Performance Criteria</w:t>
      </w:r>
    </w:p>
    <w:tbl>
      <w:tblPr>
        <w:tblW w:w="9322" w:type="dxa"/>
        <w:tblLayout w:type="fixed"/>
        <w:tblCellMar>
          <w:left w:w="62" w:type="dxa"/>
          <w:right w:w="62" w:type="dxa"/>
        </w:tblCellMar>
        <w:tblLook w:val="0000"/>
      </w:tblPr>
      <w:tblGrid>
        <w:gridCol w:w="2660"/>
        <w:gridCol w:w="6662"/>
      </w:tblGrid>
      <w:tr w:rsidTr="003D1AF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C473E" w:rsidP="001C473E">
            <w:pPr>
              <w:pStyle w:val="BodyText"/>
            </w:pPr>
            <w:r w:rsidRPr="001C473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rPr>
                <w:rStyle w:val="SpecialBold"/>
              </w:rPr>
              <w:t>PERFORMANCE CRITERIA</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List"/>
              <w:rPr>
                <w:lang w:val="en-NZ"/>
              </w:rPr>
            </w:pPr>
            <w:r w:rsidRPr="001C473E">
              <w:rPr>
                <w:rStyle w:val="SpecialBold"/>
              </w:rPr>
              <w:t>1</w:t>
            </w:r>
            <w:r w:rsidRPr="001C473E">
              <w:t>.</w:t>
            </w:r>
            <w:r w:rsidRPr="001C473E">
              <w:tab/>
            </w:r>
            <w:r w:rsidRPr="001C473E">
              <w:rPr>
                <w:rStyle w:val="SpecialBold"/>
              </w:rPr>
              <w:t>Attend situations where non-compliance is suspected</w:t>
            </w:r>
            <w:r w:rsidRPr="001C473E">
              <w:t>/</w:t>
            </w:r>
            <w:r w:rsidRPr="001C473E">
              <w:rPr>
                <w:rStyle w:val="SpecialBold"/>
              </w:rPr>
              <w:t>alleged</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List"/>
            </w:pPr>
            <w:r w:rsidRPr="001C473E">
              <w:t>1.1</w:t>
            </w:r>
            <w:r w:rsidRPr="001C473E">
              <w:tab/>
              <w:t>Procedure is followed in accordance with legal requirements and organisational policy and procedures.</w:t>
            </w:r>
          </w:p>
          <w:p w:rsidR="00000000" w:rsidRPr="001C473E" w:rsidP="001C473E">
            <w:pPr>
              <w:pStyle w:val="List"/>
            </w:pPr>
            <w:r w:rsidRPr="001C473E">
              <w:t>1.2</w:t>
            </w:r>
            <w:r w:rsidRPr="001C473E">
              <w:tab/>
            </w:r>
            <w:r w:rsidRPr="001C473E">
              <w:t>Personal conduct is maintained in accordance with organisational guidelines and protocols.</w:t>
            </w:r>
          </w:p>
          <w:p w:rsidR="00000000" w:rsidRPr="001C473E" w:rsidP="001C473E">
            <w:pPr>
              <w:pStyle w:val="List"/>
            </w:pPr>
            <w:r w:rsidRPr="001C473E">
              <w:t>1.3</w:t>
            </w:r>
            <w:r w:rsidRPr="001C473E">
              <w:tab/>
              <w:t>Safety of self and others is protected in accordance with operational policy and procedures.</w:t>
            </w:r>
          </w:p>
          <w:p w:rsidR="00000000" w:rsidRPr="001C473E" w:rsidP="001C473E">
            <w:pPr>
              <w:pStyle w:val="List"/>
            </w:pPr>
            <w:r w:rsidRPr="001C473E">
              <w:t>1.4</w:t>
            </w:r>
            <w:r w:rsidRPr="001C473E">
              <w:tab/>
              <w:t xml:space="preserve">When </w:t>
            </w:r>
            <w:r w:rsidRPr="001C473E">
              <w:rPr>
                <w:rStyle w:val="BoldandItalics"/>
              </w:rPr>
              <w:t xml:space="preserve">assistance </w:t>
            </w:r>
            <w:r w:rsidRPr="001C473E">
              <w:t>is required, requests are timely and in accordan</w:t>
            </w:r>
            <w:r w:rsidRPr="001C473E">
              <w:t xml:space="preserve">ce with </w:t>
            </w:r>
            <w:r w:rsidRPr="001C473E">
              <w:rPr>
                <w:rStyle w:val="BoldandItalics"/>
              </w:rPr>
              <w:t>legislation, policy and procedures</w:t>
            </w:r>
            <w:r w:rsidRPr="001C473E">
              <w:rPr>
                <w:rStyle w:val="Emphasis"/>
              </w:rPr>
              <w:t>.</w:t>
            </w:r>
          </w:p>
          <w:p w:rsidR="00000000" w:rsidP="001C473E">
            <w:pPr>
              <w:pStyle w:val="List"/>
              <w:rPr>
                <w:lang w:val="en-NZ"/>
              </w:rPr>
            </w:pPr>
            <w:r w:rsidRPr="001C473E">
              <w:t>1.5</w:t>
            </w:r>
            <w:r w:rsidRPr="001C473E">
              <w:tab/>
              <w:t>Activities and actions are carried out in accordance with legislation, organisational policy and procedures and the rules of evidence.</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List"/>
              <w:rPr>
                <w:lang w:val="en-NZ"/>
              </w:rPr>
            </w:pPr>
            <w:r w:rsidRPr="001C473E">
              <w:rPr>
                <w:rStyle w:val="SpecialBold"/>
              </w:rPr>
              <w:t>2</w:t>
            </w:r>
            <w:r w:rsidRPr="001C473E">
              <w:t>.</w:t>
            </w:r>
            <w:r w:rsidRPr="001C473E">
              <w:tab/>
            </w:r>
            <w:r w:rsidRPr="001C473E">
              <w:rPr>
                <w:rStyle w:val="SpecialBold"/>
              </w:rPr>
              <w:t>Take action on non-compliance</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List"/>
            </w:pPr>
            <w:r w:rsidRPr="001C473E">
              <w:t>2.1</w:t>
            </w:r>
            <w:r w:rsidRPr="001C473E">
              <w:tab/>
              <w:t>Mitigating circumstances are consid</w:t>
            </w:r>
            <w:r w:rsidRPr="001C473E">
              <w:t>ered, where appropriate, in accordance with organisational policy and procedures.</w:t>
            </w:r>
          </w:p>
          <w:p w:rsidR="00000000" w:rsidRPr="001C473E" w:rsidP="001C473E">
            <w:pPr>
              <w:pStyle w:val="List"/>
            </w:pPr>
            <w:r w:rsidRPr="001C473E">
              <w:t>2.2</w:t>
            </w:r>
            <w:r w:rsidRPr="001C473E">
              <w:tab/>
            </w:r>
            <w:r w:rsidRPr="001C473E">
              <w:rPr>
                <w:rStyle w:val="BoldandItalics"/>
              </w:rPr>
              <w:t>Action on non-compliance</w:t>
            </w:r>
            <w:r w:rsidRPr="001C473E">
              <w:t xml:space="preserve"> is selected to match the seriousness of the offence.</w:t>
            </w:r>
          </w:p>
          <w:p w:rsidR="00000000" w:rsidRPr="001C473E" w:rsidP="001C473E">
            <w:pPr>
              <w:pStyle w:val="List"/>
            </w:pPr>
            <w:r w:rsidRPr="001C473E">
              <w:t>2.3</w:t>
            </w:r>
            <w:r w:rsidRPr="001C473E">
              <w:tab/>
            </w:r>
            <w:r w:rsidRPr="001C473E">
              <w:rPr>
                <w:rStyle w:val="BoldandItalics"/>
              </w:rPr>
              <w:t xml:space="preserve">Clients </w:t>
            </w:r>
            <w:r w:rsidRPr="001C473E">
              <w:t>are informed of the action, justification for it and their rights of appeal in a</w:t>
            </w:r>
            <w:r w:rsidRPr="001C473E">
              <w:t>ccordance with legislation, organisational policy and procedures.</w:t>
            </w:r>
          </w:p>
          <w:p w:rsidR="00000000" w:rsidRPr="001C473E" w:rsidP="001C473E">
            <w:pPr>
              <w:pStyle w:val="List"/>
            </w:pPr>
            <w:r w:rsidRPr="001C473E">
              <w:t>2.4</w:t>
            </w:r>
            <w:r w:rsidRPr="001C473E">
              <w:tab/>
              <w:t>Action is taken in accordance with legal requirements and organisational guidelines.</w:t>
            </w:r>
          </w:p>
          <w:p w:rsidR="00000000" w:rsidRPr="001C473E" w:rsidP="001C473E">
            <w:pPr>
              <w:pStyle w:val="List"/>
            </w:pPr>
            <w:r w:rsidRPr="001C473E">
              <w:t>2.5</w:t>
            </w:r>
            <w:r w:rsidRPr="001C473E">
              <w:tab/>
              <w:t>Personal actions/conduct are carried out in accordance with organisational guidelines and protoco</w:t>
            </w:r>
            <w:r w:rsidRPr="001C473E">
              <w:t>ls and protect the rights and responsibilities of clients.</w:t>
            </w:r>
          </w:p>
        </w:tc>
      </w:tr>
    </w:tbl>
    <w:p w:rsidR="00000000" w:rsidRPr="001C473E" w:rsidP="001C473E">
      <w:pPr>
        <w:pStyle w:val="BodyText"/>
      </w:pPr>
    </w:p>
    <w:p w:rsidR="00000000" w:rsidRPr="001C473E" w:rsidP="001C473E">
      <w:pPr>
        <w:pStyle w:val="AllowPageBreak"/>
      </w:pPr>
    </w:p>
    <w:p w:rsidR="00000000" w:rsidRPr="001C473E" w:rsidP="001C473E">
      <w:pPr>
        <w:pStyle w:val="Heading1"/>
      </w:pPr>
      <w:bookmarkStart w:id="9" w:name="O_498197"/>
      <w:bookmarkEnd w:id="9"/>
      <w:r w:rsidRPr="001C473E">
        <w:t>Required Skills and Knowledge</w:t>
      </w:r>
    </w:p>
    <w:tbl>
      <w:tblPr>
        <w:tblW w:w="0" w:type="auto"/>
        <w:tblLayout w:type="fixed"/>
        <w:tblCellMar>
          <w:left w:w="62" w:type="dxa"/>
          <w:right w:w="62" w:type="dxa"/>
        </w:tblCellMar>
        <w:tblLook w:val="0000"/>
      </w:tblPr>
      <w:tblGrid>
        <w:gridCol w:w="8553"/>
      </w:tblGrid>
      <w:tr w:rsidTr="003D1AF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t>This section describes the essential skills and knowledge and their level, required for this unit.</w:t>
            </w:r>
          </w:p>
        </w:tc>
      </w:tr>
      <w:tr w:rsidTr="003D1AF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C473E" w:rsidP="001C473E">
            <w:pPr>
              <w:pStyle w:val="BodyText"/>
            </w:pPr>
            <w:r w:rsidRPr="001C473E">
              <w:rPr>
                <w:rStyle w:val="SpecialBold"/>
              </w:rPr>
              <w:t>Skill requirements</w:t>
            </w:r>
          </w:p>
          <w:p w:rsidR="00000000" w:rsidRPr="001C473E" w:rsidP="001C473E">
            <w:pPr>
              <w:pStyle w:val="BodyText"/>
            </w:pPr>
            <w:r w:rsidRPr="001C473E">
              <w:t>Look for evidence that confirms skills in:</w:t>
            </w:r>
          </w:p>
          <w:p w:rsidR="00000000" w:rsidRPr="001C473E" w:rsidP="001C473E">
            <w:pPr>
              <w:pStyle w:val="ListBullet2"/>
            </w:pPr>
            <w:r w:rsidRPr="001C473E">
              <w:t>undertaking negotiation and conflict resolution</w:t>
            </w:r>
          </w:p>
          <w:p w:rsidR="00000000" w:rsidRPr="001C473E" w:rsidP="001C473E">
            <w:pPr>
              <w:pStyle w:val="ListBullet2"/>
            </w:pPr>
            <w:r w:rsidRPr="001C473E">
              <w:t>applying risk management and self preservation techniques</w:t>
            </w:r>
          </w:p>
          <w:p w:rsidR="00000000" w:rsidRPr="001C473E" w:rsidP="001C473E">
            <w:pPr>
              <w:pStyle w:val="ListBullet2"/>
            </w:pPr>
            <w:r w:rsidRPr="001C473E">
              <w:t>using judgment and decision making</w:t>
            </w:r>
          </w:p>
          <w:p w:rsidR="00000000" w:rsidRPr="001C473E" w:rsidP="001C473E">
            <w:pPr>
              <w:pStyle w:val="ListBullet2"/>
            </w:pPr>
            <w:r w:rsidRPr="001C473E">
              <w:t>exchanging often complex oral information in a form to suit diverse audiences</w:t>
            </w:r>
          </w:p>
          <w:p w:rsidR="00000000" w:rsidRPr="001C473E" w:rsidP="001C473E">
            <w:pPr>
              <w:pStyle w:val="ListBullet2"/>
            </w:pPr>
            <w:r w:rsidRPr="001C473E">
              <w:t>responding to diversity, including gender and disability</w:t>
            </w:r>
          </w:p>
          <w:p w:rsidR="00000000" w:rsidRPr="001C473E" w:rsidP="001C473E">
            <w:pPr>
              <w:pStyle w:val="ListBullet2"/>
            </w:pPr>
            <w:r w:rsidRPr="001C473E">
              <w:t>writing requiring accuracy of expression and formality in structure and format</w:t>
            </w:r>
          </w:p>
          <w:p w:rsidR="00000000" w:rsidP="001C473E">
            <w:pPr>
              <w:pStyle w:val="ListBullet2"/>
              <w:rPr>
                <w:lang w:val="en-NZ"/>
              </w:rPr>
            </w:pPr>
            <w:r w:rsidRPr="001C473E">
              <w:t>applying public sector legislation such as</w:t>
            </w:r>
            <w:r w:rsidRPr="001C473E">
              <w:t xml:space="preserve"> occupational health and safety and environmental procedures in the context of actions on non-compliance</w:t>
            </w:r>
          </w:p>
        </w:tc>
      </w:tr>
      <w:tr w:rsidTr="003D1AF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C473E" w:rsidP="001C473E">
            <w:pPr>
              <w:pStyle w:val="BodyText"/>
            </w:pPr>
            <w:r w:rsidRPr="001C473E">
              <w:rPr>
                <w:rStyle w:val="SpecialBold"/>
              </w:rPr>
              <w:t>Knowledge requirements</w:t>
            </w:r>
          </w:p>
          <w:p w:rsidR="00000000" w:rsidRPr="001C473E" w:rsidP="001C473E">
            <w:pPr>
              <w:pStyle w:val="BodyText"/>
            </w:pPr>
            <w:r w:rsidRPr="001C473E">
              <w:t>Look for evidence that confirms knowledge and understanding of:</w:t>
            </w:r>
          </w:p>
          <w:p w:rsidR="00000000" w:rsidRPr="001C473E" w:rsidP="001C473E">
            <w:pPr>
              <w:pStyle w:val="ListBullet2"/>
            </w:pPr>
            <w:r w:rsidRPr="001C473E">
              <w:t>legislation, organisational procedures and guidelines</w:t>
            </w:r>
          </w:p>
          <w:p w:rsidR="00000000" w:rsidRPr="001C473E" w:rsidP="001C473E">
            <w:pPr>
              <w:pStyle w:val="ListBullet2"/>
            </w:pPr>
            <w:r w:rsidRPr="001C473E">
              <w:t>organisa</w:t>
            </w:r>
            <w:r w:rsidRPr="001C473E">
              <w:t>tional parameters for decision making</w:t>
            </w:r>
          </w:p>
          <w:p w:rsidR="00000000" w:rsidRPr="001C473E" w:rsidP="001C473E">
            <w:pPr>
              <w:pStyle w:val="ListBullet2"/>
            </w:pPr>
            <w:r w:rsidRPr="001C473E">
              <w:t>range of appropriate actions possible for different offences</w:t>
            </w:r>
          </w:p>
          <w:p w:rsidR="00000000" w:rsidRPr="001C473E" w:rsidP="001C473E">
            <w:pPr>
              <w:pStyle w:val="ListBullet2"/>
            </w:pPr>
            <w:r w:rsidRPr="001C473E">
              <w:t>negotiation in the context of achieving compliance</w:t>
            </w:r>
          </w:p>
          <w:p w:rsidR="00000000" w:rsidRPr="001C473E" w:rsidP="001C473E">
            <w:pPr>
              <w:pStyle w:val="ListBullet2"/>
            </w:pPr>
            <w:r w:rsidRPr="001C473E">
              <w:t>awareness of social and cultural issues (demographics)</w:t>
            </w:r>
          </w:p>
          <w:p w:rsidR="00000000" w:rsidRPr="001C473E" w:rsidP="001C473E">
            <w:pPr>
              <w:pStyle w:val="ListBullet2"/>
            </w:pPr>
            <w:r w:rsidRPr="001C473E">
              <w:t xml:space="preserve">public sector legislation and standards </w:t>
            </w:r>
          </w:p>
          <w:p w:rsidR="00000000" w:rsidRPr="001C473E" w:rsidP="001C473E">
            <w:pPr>
              <w:pStyle w:val="ListBullet2"/>
            </w:pPr>
            <w:r w:rsidRPr="001C473E">
              <w:t>occupational health and safety and environmental considerations to ensure the safety of self and others</w:t>
            </w:r>
          </w:p>
        </w:tc>
      </w:tr>
    </w:tbl>
    <w:p w:rsidR="00000000" w:rsidRPr="001C473E" w:rsidP="001C473E">
      <w:pPr>
        <w:pStyle w:val="BodyText"/>
      </w:pPr>
    </w:p>
    <w:p w:rsidR="00000000" w:rsidRPr="001C473E" w:rsidP="001C473E">
      <w:pPr>
        <w:pStyle w:val="AllowPageBreak"/>
      </w:pPr>
    </w:p>
    <w:p w:rsidR="00000000" w:rsidRPr="001C473E" w:rsidP="001C473E">
      <w:pPr>
        <w:pStyle w:val="Heading1"/>
      </w:pPr>
      <w:bookmarkStart w:id="10" w:name="O_498193"/>
      <w:bookmarkEnd w:id="10"/>
      <w:r w:rsidRPr="001C473E">
        <w:t>Evidence Guide</w:t>
      </w:r>
    </w:p>
    <w:tbl>
      <w:tblPr>
        <w:tblW w:w="9322" w:type="dxa"/>
        <w:tblLayout w:type="fixed"/>
        <w:tblCellMar>
          <w:left w:w="62" w:type="dxa"/>
          <w:right w:w="62" w:type="dxa"/>
        </w:tblCellMar>
        <w:tblLook w:val="0000"/>
      </w:tblPr>
      <w:tblGrid>
        <w:gridCol w:w="2660"/>
        <w:gridCol w:w="6662"/>
      </w:tblGrid>
      <w:tr w:rsidTr="003D1AF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t>The Evidence Guide specifies the evidence required to demonstrate achievement in the unit of competency as a whole. It</w:t>
            </w:r>
            <w:r w:rsidRPr="001C473E">
              <w:t xml:space="preserve"> must be read in conjunction with the Unit descriptor, Performance Criteria, the Range Statement and the Assessment Guidelines for the Public Sector Training Package.</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C473E" w:rsidP="001C473E">
            <w:pPr>
              <w:pStyle w:val="BodyText"/>
            </w:pPr>
            <w:r w:rsidRPr="001C473E">
              <w:rPr>
                <w:rStyle w:val="SpecialBold"/>
              </w:rPr>
              <w:t>Units to be assessed together</w:t>
            </w:r>
            <w:r w:rsidRPr="001C473E">
              <w:t xml:space="preserve"> </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ListBullet2"/>
            </w:pPr>
            <w:r w:rsidRPr="001C473E">
              <w:rPr>
                <w:rStyle w:val="Emphasis"/>
              </w:rPr>
              <w:t>Pre</w:t>
            </w:r>
            <w:r w:rsidRPr="001C473E">
              <w:t>-</w:t>
            </w:r>
            <w:r w:rsidRPr="001C473E">
              <w:rPr>
                <w:rStyle w:val="Emphasis"/>
              </w:rPr>
              <w:t>requisite</w:t>
            </w:r>
            <w:r w:rsidRPr="001C473E">
              <w:t xml:space="preserve"> units that </w:t>
            </w:r>
            <w:r w:rsidRPr="001C473E">
              <w:rPr>
                <w:rStyle w:val="Underline"/>
              </w:rPr>
              <w:t>must</w:t>
            </w:r>
            <w:r w:rsidRPr="001C473E">
              <w:t xml:space="preserve"> be achieved </w:t>
            </w:r>
            <w:r w:rsidRPr="001C473E">
              <w:rPr>
                <w:rStyle w:val="Underline"/>
              </w:rPr>
              <w:t>prior</w:t>
            </w:r>
            <w:r w:rsidRPr="001C473E">
              <w:t xml:space="preserve"> to t</w:t>
            </w:r>
            <w:r w:rsidRPr="001C473E">
              <w:t>his unit:</w:t>
            </w:r>
            <w:r w:rsidRPr="001C473E">
              <w:rPr>
                <w:rStyle w:val="Emphasis"/>
              </w:rPr>
              <w:t>Nil</w:t>
            </w:r>
          </w:p>
          <w:p w:rsidR="00000000" w:rsidRPr="001C473E" w:rsidP="001C473E">
            <w:pPr>
              <w:pStyle w:val="ListBullet2"/>
            </w:pPr>
            <w:r w:rsidRPr="001C473E">
              <w:rPr>
                <w:rStyle w:val="Emphasis"/>
              </w:rPr>
              <w:t>Co</w:t>
            </w:r>
            <w:r w:rsidRPr="001C473E">
              <w:t>-</w:t>
            </w:r>
            <w:r w:rsidRPr="001C473E">
              <w:rPr>
                <w:rStyle w:val="Emphasis"/>
              </w:rPr>
              <w:t>requisite</w:t>
            </w:r>
            <w:r w:rsidRPr="001C473E">
              <w:t xml:space="preserve"> units that </w:t>
            </w:r>
            <w:r w:rsidRPr="001C473E">
              <w:rPr>
                <w:rStyle w:val="Underline"/>
              </w:rPr>
              <w:t>must</w:t>
            </w:r>
            <w:r w:rsidRPr="001C473E">
              <w:t xml:space="preserve"> be assessed </w:t>
            </w:r>
            <w:r w:rsidRPr="001C473E">
              <w:rPr>
                <w:rStyle w:val="Underline"/>
              </w:rPr>
              <w:t>with</w:t>
            </w:r>
            <w:r w:rsidRPr="001C473E">
              <w:t xml:space="preserve"> this unit:</w:t>
            </w:r>
            <w:r w:rsidRPr="001C473E">
              <w:rPr>
                <w:rStyle w:val="Emphasis"/>
              </w:rPr>
              <w:t>Nil</w:t>
            </w:r>
          </w:p>
          <w:p w:rsidR="00000000" w:rsidRPr="001C473E" w:rsidP="001C473E">
            <w:pPr>
              <w:pStyle w:val="ListBullet2"/>
            </w:pPr>
            <w:r w:rsidRPr="001C473E">
              <w:rPr>
                <w:rStyle w:val="Emphasis"/>
              </w:rPr>
              <w:t>Co</w:t>
            </w:r>
            <w:r w:rsidRPr="001C473E">
              <w:t>-</w:t>
            </w:r>
            <w:r w:rsidRPr="001C473E">
              <w:rPr>
                <w:rStyle w:val="Emphasis"/>
              </w:rPr>
              <w:t>assessed units</w:t>
            </w:r>
            <w:r w:rsidRPr="001C473E">
              <w:t xml:space="preserve"> that </w:t>
            </w:r>
            <w:r w:rsidRPr="001C473E">
              <w:rPr>
                <w:rStyle w:val="Underline"/>
              </w:rPr>
              <w:t>may</w:t>
            </w:r>
            <w:r w:rsidRPr="001C473E">
              <w:t xml:space="preserve"> be assessed with this unit to increase the efficiency and realism of the assessment process include, but are not limited to:</w:t>
            </w:r>
          </w:p>
          <w:p w:rsidR="00000000" w:rsidRPr="001C473E" w:rsidP="001C473E">
            <w:pPr>
              <w:pStyle w:val="ListBullet3"/>
            </w:pPr>
            <w:r w:rsidRPr="001C473E">
              <w:t xml:space="preserve">PSPETHC401A Uphold and support the values and principles of public service </w:t>
            </w:r>
          </w:p>
          <w:p w:rsidR="00000000" w:rsidRPr="001C473E" w:rsidP="001C473E">
            <w:pPr>
              <w:pStyle w:val="ListBullet3"/>
            </w:pPr>
            <w:r w:rsidRPr="001C473E">
              <w:t xml:space="preserve">PSPGOV408A Value diversity </w:t>
            </w:r>
          </w:p>
          <w:p w:rsidR="00000000" w:rsidRPr="001C473E" w:rsidP="001C473E">
            <w:pPr>
              <w:pStyle w:val="ListBullet3"/>
            </w:pPr>
            <w:r w:rsidRPr="001C473E">
              <w:t>PSPGOV422A Apply government processes</w:t>
            </w:r>
          </w:p>
          <w:p w:rsidR="00000000" w:rsidRPr="001C473E" w:rsidP="001C473E">
            <w:pPr>
              <w:pStyle w:val="ListBullet3"/>
            </w:pPr>
            <w:r w:rsidRPr="001C473E">
              <w:t>PSPLEGN401A Encourage compliance with legislation in the public sector</w:t>
            </w:r>
          </w:p>
          <w:p w:rsidR="00000000" w:rsidRPr="001C473E" w:rsidP="001C473E">
            <w:pPr>
              <w:pStyle w:val="ListBullet3"/>
            </w:pPr>
            <w:r w:rsidRPr="001C473E">
              <w:t>PSPREG401C Exercise regulatory powers</w:t>
            </w:r>
          </w:p>
          <w:p w:rsidR="00000000" w:rsidRPr="001C473E" w:rsidP="001C473E">
            <w:pPr>
              <w:pStyle w:val="ListBullet3"/>
            </w:pPr>
            <w:r w:rsidRPr="001C473E">
              <w:t>PSPREG402C Promote client compliance</w:t>
            </w:r>
          </w:p>
          <w:p w:rsidR="00000000" w:rsidP="001C473E">
            <w:pPr>
              <w:pStyle w:val="ListBullet3"/>
              <w:rPr>
                <w:lang w:val="en-NZ"/>
              </w:rPr>
            </w:pPr>
            <w:r w:rsidRPr="001C473E">
              <w:t>PSPREG403B Assess compliance</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BodyText"/>
            </w:pPr>
            <w:r w:rsidRPr="001C473E">
              <w:t>In addition to integrated demonstration of the elements and their related performance criteria, look for evidence that confirms:</w:t>
            </w:r>
          </w:p>
          <w:p w:rsidR="00000000" w:rsidRPr="001C473E" w:rsidP="001C473E">
            <w:pPr>
              <w:pStyle w:val="ListBullet2"/>
            </w:pPr>
            <w:r w:rsidRPr="001C473E">
              <w:t>the knowledge requirement</w:t>
            </w:r>
            <w:r w:rsidRPr="001C473E">
              <w:t xml:space="preserve">s of this unit </w:t>
            </w:r>
          </w:p>
          <w:p w:rsidR="00000000" w:rsidRPr="001C473E" w:rsidP="001C473E">
            <w:pPr>
              <w:pStyle w:val="ListBullet2"/>
            </w:pPr>
            <w:r w:rsidRPr="001C473E">
              <w:t>the skill requirements of this unit</w:t>
            </w:r>
          </w:p>
          <w:p w:rsidR="00000000" w:rsidRPr="001C473E" w:rsidP="001C473E">
            <w:pPr>
              <w:pStyle w:val="ListBullet2"/>
            </w:pPr>
            <w:r w:rsidRPr="001C473E">
              <w:t>application of the Employability Skills as they relate to this unit (see Employability Summaries in Qualifications Framework)</w:t>
            </w:r>
          </w:p>
          <w:p w:rsidR="00000000" w:rsidP="001C473E">
            <w:pPr>
              <w:pStyle w:val="ListBullet2"/>
              <w:rPr>
                <w:lang w:val="en-NZ"/>
              </w:rPr>
            </w:pPr>
            <w:r w:rsidRPr="001C473E">
              <w:t>action on non-compliance in a range of (3 or more) contexts (or occasions, over time)</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BodyText"/>
            </w:pPr>
            <w:r w:rsidRPr="001C473E">
              <w:t>These resources include:</w:t>
            </w:r>
          </w:p>
          <w:p w:rsidR="00000000" w:rsidRPr="001C473E" w:rsidP="001C473E">
            <w:pPr>
              <w:pStyle w:val="ListBullet2"/>
            </w:pPr>
            <w:r w:rsidRPr="001C473E">
              <w:t>legislation, regulations, policy, guidelines and standards</w:t>
            </w:r>
          </w:p>
          <w:p w:rsidR="00000000" w:rsidRPr="001C473E" w:rsidP="001C473E">
            <w:pPr>
              <w:pStyle w:val="ListBullet2"/>
            </w:pPr>
            <w:r w:rsidRPr="001C473E">
              <w:t>public sector values and codes of conduct</w:t>
            </w:r>
            <w:r w:rsidRPr="001C473E">
              <w:t xml:space="preserve"> </w:t>
            </w:r>
          </w:p>
          <w:p w:rsidR="00000000" w:rsidRPr="001C473E" w:rsidP="001C473E">
            <w:pPr>
              <w:pStyle w:val="ListBullet2"/>
            </w:pPr>
            <w:r w:rsidRPr="001C473E">
              <w:t>range of actions appropriate for non-compliance under the legislation/regulations/standards</w:t>
            </w:r>
          </w:p>
          <w:p w:rsidR="00000000" w:rsidP="001C473E">
            <w:pPr>
              <w:pStyle w:val="ListBullet2"/>
              <w:rPr>
                <w:lang w:val="en-NZ"/>
              </w:rPr>
            </w:pPr>
            <w:r w:rsidRPr="001C473E">
              <w:t>case studies and workplace scenarios to capture the range of situations likely to be encountered when acting on non-compliance</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BodyText"/>
            </w:pPr>
            <w:r w:rsidRPr="001C473E">
              <w:t>V</w:t>
            </w:r>
            <w:r w:rsidRPr="001C473E">
              <w:t xml:space="preserve">alid assessment of this unit requires: </w:t>
            </w:r>
          </w:p>
          <w:p w:rsidR="00000000" w:rsidRPr="001C473E" w:rsidP="001C473E">
            <w:pPr>
              <w:pStyle w:val="ListBullet2"/>
            </w:pPr>
            <w:r w:rsidRPr="001C473E">
              <w:t>a workplace environment or one that closely resembles normal work practice and replicates the range of conditions likely to be encountered when acting on non-compliance, including coping with difficulties, irregular</w:t>
            </w:r>
            <w:r w:rsidRPr="001C473E">
              <w:t>ities and breakdowns in routine</w:t>
            </w:r>
          </w:p>
          <w:p w:rsidR="00000000" w:rsidRPr="001C473E" w:rsidP="001C473E">
            <w:pPr>
              <w:pStyle w:val="ListBullet2"/>
            </w:pPr>
            <w:r w:rsidRPr="001C473E">
              <w:t>action on non-compliance in a range of (3 or more) contexts (or occasions, over time)</w:t>
            </w:r>
          </w:p>
          <w:p w:rsidR="00000000" w:rsidRPr="001C473E" w:rsidP="001C473E">
            <w:pPr>
              <w:pStyle w:val="BodyText"/>
            </w:pPr>
            <w:r w:rsidRPr="001C473E">
              <w:t>Assessment methods should reflect workplace demands, such as literacy, and the needs of particular groups, such as:</w:t>
            </w:r>
          </w:p>
          <w:p w:rsidR="00000000" w:rsidRPr="001C473E" w:rsidP="001C473E">
            <w:pPr>
              <w:pStyle w:val="ListBullet2"/>
            </w:pPr>
            <w:r w:rsidRPr="001C473E">
              <w:t>people with disabilities</w:t>
            </w:r>
          </w:p>
          <w:p w:rsidR="00000000" w:rsidRPr="001C473E" w:rsidP="001C473E">
            <w:pPr>
              <w:pStyle w:val="ListBullet2"/>
            </w:pPr>
            <w:r w:rsidRPr="001C473E">
              <w:t>people from culturally and linguistically diverse backgrounds</w:t>
            </w:r>
          </w:p>
          <w:p w:rsidR="00000000" w:rsidRPr="001C473E" w:rsidP="001C473E">
            <w:pPr>
              <w:pStyle w:val="ListBullet2"/>
            </w:pPr>
            <w:r w:rsidRPr="001C473E">
              <w:t>Aboriginal and Torres Strait Islander people</w:t>
            </w:r>
          </w:p>
          <w:p w:rsidR="00000000" w:rsidRPr="001C473E" w:rsidP="001C473E">
            <w:pPr>
              <w:pStyle w:val="ListBullet2"/>
            </w:pPr>
            <w:r w:rsidRPr="001C473E">
              <w:t>women</w:t>
            </w:r>
          </w:p>
          <w:p w:rsidR="00000000" w:rsidRPr="001C473E" w:rsidP="001C473E">
            <w:pPr>
              <w:pStyle w:val="ListBullet2"/>
            </w:pPr>
            <w:r w:rsidRPr="001C473E">
              <w:t>young people</w:t>
            </w:r>
          </w:p>
          <w:p w:rsidR="00000000" w:rsidRPr="001C473E" w:rsidP="001C473E">
            <w:pPr>
              <w:pStyle w:val="ListBullet2"/>
            </w:pPr>
            <w:r w:rsidRPr="001C473E">
              <w:t>older people</w:t>
            </w:r>
          </w:p>
          <w:p w:rsidR="00000000" w:rsidRPr="001C473E" w:rsidP="001C473E">
            <w:pPr>
              <w:pStyle w:val="ListBullet2"/>
            </w:pPr>
            <w:r w:rsidRPr="001C473E">
              <w:t>people in rural and remote locations</w:t>
            </w:r>
          </w:p>
          <w:p w:rsidR="00000000" w:rsidRPr="001C473E" w:rsidP="001C473E">
            <w:pPr>
              <w:pStyle w:val="BodyText"/>
            </w:pPr>
            <w:r w:rsidRPr="001C473E">
              <w:t>Assessment methods suitable for valid and reliable asse</w:t>
            </w:r>
            <w:r w:rsidRPr="001C473E">
              <w:t xml:space="preserve">ssment of this competency may include, but are not limited to, a combination of 2 or more of: </w:t>
            </w:r>
          </w:p>
          <w:p w:rsidR="00000000" w:rsidRPr="001C473E" w:rsidP="001C473E">
            <w:pPr>
              <w:pStyle w:val="ListBullet2"/>
            </w:pPr>
            <w:r w:rsidRPr="001C473E">
              <w:t>case studies</w:t>
            </w:r>
          </w:p>
          <w:p w:rsidR="00000000" w:rsidRPr="001C473E" w:rsidP="001C473E">
            <w:pPr>
              <w:pStyle w:val="ListBullet2"/>
            </w:pPr>
            <w:r w:rsidRPr="001C473E">
              <w:t xml:space="preserve">portfolios </w:t>
            </w:r>
          </w:p>
          <w:p w:rsidR="00000000" w:rsidRPr="001C473E" w:rsidP="001C473E">
            <w:pPr>
              <w:pStyle w:val="ListBullet2"/>
            </w:pPr>
            <w:r w:rsidRPr="001C473E">
              <w:t>questioning</w:t>
            </w:r>
          </w:p>
          <w:p w:rsidR="00000000" w:rsidRPr="001C473E" w:rsidP="001C473E">
            <w:pPr>
              <w:pStyle w:val="ListBullet2"/>
            </w:pPr>
            <w:r w:rsidRPr="001C473E">
              <w:t>scenarios</w:t>
            </w:r>
          </w:p>
          <w:p w:rsidR="00000000" w:rsidP="001C473E">
            <w:pPr>
              <w:pStyle w:val="ListBullet2"/>
              <w:rPr>
                <w:lang w:val="en-NZ"/>
              </w:rPr>
            </w:pPr>
            <w:r w:rsidRPr="001C473E">
              <w:t xml:space="preserve">authenticated evidence from the workplace and/or training courses   </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BodyText"/>
            </w:pPr>
            <w:r w:rsidRPr="001C473E">
              <w:t>Evidence must be gathered over time in a range of contexts to ensure the person can achieve the unit outcome and apply the competency in different situations or environments</w:t>
            </w:r>
          </w:p>
        </w:tc>
      </w:tr>
    </w:tbl>
    <w:p w:rsidR="00000000" w:rsidRPr="001C473E" w:rsidP="001C473E">
      <w:pPr>
        <w:pStyle w:val="BodyText"/>
      </w:pPr>
    </w:p>
    <w:p w:rsidR="00000000" w:rsidRPr="001C473E" w:rsidP="001C473E">
      <w:pPr>
        <w:pStyle w:val="AllowPageBreak"/>
      </w:pPr>
    </w:p>
    <w:p w:rsidR="00000000" w:rsidRPr="001C473E" w:rsidP="001C473E">
      <w:pPr>
        <w:pStyle w:val="Heading1"/>
      </w:pPr>
      <w:bookmarkStart w:id="11" w:name="O_498191"/>
      <w:bookmarkEnd w:id="11"/>
      <w:r w:rsidRPr="001C473E">
        <w:t>Range Statement</w:t>
      </w:r>
    </w:p>
    <w:tbl>
      <w:tblPr>
        <w:tblW w:w="9322" w:type="dxa"/>
        <w:tblLayout w:type="fixed"/>
        <w:tblCellMar>
          <w:left w:w="62" w:type="dxa"/>
          <w:right w:w="62" w:type="dxa"/>
        </w:tblCellMar>
        <w:tblLook w:val="0000"/>
      </w:tblPr>
      <w:tblGrid>
        <w:gridCol w:w="2660"/>
        <w:gridCol w:w="6662"/>
      </w:tblGrid>
      <w:tr w:rsidTr="003D1AF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t xml:space="preserve">The Range Statement provides information about </w:t>
            </w:r>
            <w:r w:rsidRPr="001C473E">
              <w:t>the context in which the unit of competency is carried out. The variables cater for differences between States and Territories and the Commonwealth, and between organisations and workplaces. They allow for different work requirements, work practices and kn</w:t>
            </w:r>
            <w:r w:rsidRPr="001C473E">
              <w:t xml:space="preserve">owledge. The Range Statement also provides a focus for assessment. It relates to the unit as a whole. Text in </w:t>
            </w:r>
            <w:r w:rsidRPr="001C473E">
              <w:rPr>
                <w:rStyle w:val="BoldandItalics"/>
              </w:rPr>
              <w:t xml:space="preserve">bold italics </w:t>
            </w:r>
            <w:r w:rsidRPr="001C473E">
              <w:t>in the Performance Criteria is explained here.</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rPr>
                <w:rStyle w:val="BoldandItalics"/>
              </w:rPr>
              <w:t xml:space="preserve">Assistance </w:t>
            </w:r>
            <w:r w:rsidRPr="001C473E">
              <w:t>may include:</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ListBullet2"/>
            </w:pPr>
            <w:r w:rsidRPr="001C473E">
              <w:t>other officers</w:t>
            </w:r>
          </w:p>
          <w:p w:rsidR="00000000" w:rsidRPr="001C473E" w:rsidP="001C473E">
            <w:pPr>
              <w:pStyle w:val="ListBullet2"/>
            </w:pPr>
            <w:r w:rsidRPr="001C473E">
              <w:t>other jurisdictions</w:t>
            </w:r>
          </w:p>
          <w:p w:rsidR="00000000" w:rsidRPr="001C473E" w:rsidP="001C473E">
            <w:pPr>
              <w:pStyle w:val="ListBullet2"/>
            </w:pPr>
            <w:r w:rsidRPr="001C473E">
              <w:t>other organisations</w:t>
            </w:r>
          </w:p>
          <w:p w:rsidR="00000000" w:rsidP="001C473E">
            <w:pPr>
              <w:pStyle w:val="ListBullet2"/>
              <w:rPr>
                <w:lang w:val="en-NZ"/>
              </w:rPr>
            </w:pPr>
            <w:r w:rsidRPr="001C473E">
              <w:t>police</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rPr>
                <w:rStyle w:val="BoldandItalics"/>
              </w:rPr>
              <w:t>Legislation, policy and procedures</w:t>
            </w:r>
            <w:r w:rsidRPr="001C473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ListBullet2"/>
            </w:pPr>
            <w:r w:rsidRPr="001C473E">
              <w:t>enabling legislation</w:t>
            </w:r>
          </w:p>
          <w:p w:rsidR="00000000" w:rsidRPr="001C473E" w:rsidP="001C473E">
            <w:pPr>
              <w:pStyle w:val="ListBullet2"/>
            </w:pPr>
            <w:r w:rsidRPr="001C473E">
              <w:t>organisational processes</w:t>
            </w:r>
          </w:p>
          <w:p w:rsidR="00000000" w:rsidRPr="001C473E" w:rsidP="001C473E">
            <w:pPr>
              <w:pStyle w:val="ListBullet2"/>
            </w:pPr>
            <w:r w:rsidRPr="001C473E">
              <w:t>codes of conduct</w:t>
            </w:r>
          </w:p>
          <w:p w:rsidR="00000000" w:rsidP="001C473E">
            <w:pPr>
              <w:pStyle w:val="ListBullet2"/>
              <w:rPr>
                <w:lang w:val="en-NZ"/>
              </w:rPr>
            </w:pPr>
            <w:r w:rsidRPr="001C473E">
              <w:t>equal employment opportunity and anti-discrimination law</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rPr>
                <w:rStyle w:val="BoldandItalics"/>
              </w:rPr>
              <w:t>Action on non-compliance</w:t>
            </w:r>
            <w:r w:rsidRPr="001C473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ListBullet2"/>
            </w:pPr>
            <w:r w:rsidRPr="001C473E">
              <w:t>oral or written instructions</w:t>
            </w:r>
          </w:p>
          <w:p w:rsidR="00000000" w:rsidRPr="001C473E" w:rsidP="001C473E">
            <w:pPr>
              <w:pStyle w:val="ListBullet2"/>
            </w:pPr>
            <w:r w:rsidRPr="001C473E">
              <w:t>warnings</w:t>
            </w:r>
          </w:p>
          <w:p w:rsidR="00000000" w:rsidRPr="001C473E" w:rsidP="001C473E">
            <w:pPr>
              <w:pStyle w:val="ListBullet2"/>
            </w:pPr>
            <w:r w:rsidRPr="001C473E">
              <w:t>s</w:t>
            </w:r>
            <w:r w:rsidRPr="001C473E">
              <w:t>eizure</w:t>
            </w:r>
          </w:p>
          <w:p w:rsidR="00000000" w:rsidRPr="001C473E" w:rsidP="001C473E">
            <w:pPr>
              <w:pStyle w:val="ListBullet2"/>
            </w:pPr>
            <w:r w:rsidRPr="001C473E">
              <w:t>infringement notices</w:t>
            </w:r>
          </w:p>
          <w:p w:rsidR="00000000" w:rsidRPr="001C473E" w:rsidP="001C473E">
            <w:pPr>
              <w:pStyle w:val="ListBullet2"/>
            </w:pPr>
            <w:r w:rsidRPr="001C473E">
              <w:t>expiation</w:t>
            </w:r>
          </w:p>
          <w:p w:rsidR="00000000" w:rsidRPr="001C473E" w:rsidP="001C473E">
            <w:pPr>
              <w:pStyle w:val="ListBullet2"/>
            </w:pPr>
            <w:r w:rsidRPr="001C473E">
              <w:t>cautions</w:t>
            </w:r>
          </w:p>
          <w:p w:rsidR="00000000" w:rsidRPr="001C473E" w:rsidP="001C473E">
            <w:pPr>
              <w:pStyle w:val="ListBullet2"/>
            </w:pPr>
            <w:r w:rsidRPr="001C473E">
              <w:t>fines</w:t>
            </w:r>
          </w:p>
          <w:p w:rsidR="00000000" w:rsidRPr="001C473E" w:rsidP="001C473E">
            <w:pPr>
              <w:pStyle w:val="ListBullet2"/>
            </w:pPr>
            <w:r w:rsidRPr="001C473E">
              <w:t>summons</w:t>
            </w:r>
          </w:p>
          <w:p w:rsidR="00000000" w:rsidRPr="001C473E" w:rsidP="001C473E">
            <w:pPr>
              <w:pStyle w:val="ListBullet2"/>
            </w:pPr>
            <w:r w:rsidRPr="001C473E">
              <w:t>notice of legal action</w:t>
            </w:r>
          </w:p>
          <w:p w:rsidR="00000000" w:rsidP="001C473E">
            <w:pPr>
              <w:pStyle w:val="ListBullet2"/>
              <w:rPr>
                <w:lang w:val="en-NZ"/>
              </w:rPr>
            </w:pPr>
            <w:r w:rsidRPr="001C473E">
              <w:t>negotiation to achieve compliance if legally possible, and in accordance with organisational policy and procedures, undertaken when exercising prosecutorial discretion (sufficiency of evidence, public interest, reasonable prospect of success)</w:t>
            </w:r>
          </w:p>
        </w:tc>
      </w:tr>
      <w:tr w:rsidTr="003D1AF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C473E">
            <w:pPr>
              <w:pStyle w:val="BodyText"/>
              <w:rPr>
                <w:lang w:val="en-NZ"/>
              </w:rPr>
            </w:pPr>
            <w:r w:rsidRPr="001C473E">
              <w:rPr>
                <w:rStyle w:val="BoldandItalics"/>
              </w:rPr>
              <w:t xml:space="preserve">Clients </w:t>
            </w:r>
            <w:r w:rsidRPr="001C473E">
              <w:t xml:space="preserve">may </w:t>
            </w:r>
            <w:r w:rsidRPr="001C473E">
              <w:t>include:</w:t>
            </w:r>
          </w:p>
        </w:tc>
        <w:tc>
          <w:tcPr>
            <w:tcW w:w="6662" w:type="dxa"/>
            <w:tcBorders>
              <w:top w:val="nil"/>
              <w:left w:val="nil"/>
              <w:bottom w:val="nil"/>
              <w:right w:val="nil"/>
            </w:tcBorders>
            <w:tcMar>
              <w:top w:w="0" w:type="dxa"/>
              <w:left w:w="62" w:type="dxa"/>
              <w:bottom w:w="0" w:type="dxa"/>
              <w:right w:w="62" w:type="dxa"/>
            </w:tcMar>
          </w:tcPr>
          <w:p w:rsidR="00000000" w:rsidRPr="001C473E" w:rsidP="001C473E">
            <w:pPr>
              <w:pStyle w:val="ListBullet2"/>
            </w:pPr>
            <w:r w:rsidRPr="001C473E">
              <w:t>people from all age groups, cultural and linguistic backgrounds</w:t>
            </w:r>
          </w:p>
          <w:p w:rsidR="00000000" w:rsidRPr="001C473E" w:rsidP="001C473E">
            <w:pPr>
              <w:pStyle w:val="ListBullet2"/>
            </w:pPr>
            <w:r w:rsidRPr="001C473E">
              <w:t>other public sector or private sector organisations</w:t>
            </w:r>
          </w:p>
          <w:p w:rsidR="00000000" w:rsidRPr="001C473E" w:rsidP="001C473E">
            <w:pPr>
              <w:pStyle w:val="ListBullet2"/>
            </w:pPr>
            <w:r w:rsidRPr="001C473E">
              <w:t>people with weapons</w:t>
            </w:r>
          </w:p>
          <w:p w:rsidR="00000000" w:rsidRPr="001C473E" w:rsidP="001C473E">
            <w:pPr>
              <w:pStyle w:val="ListBullet2"/>
            </w:pPr>
            <w:r w:rsidRPr="001C473E">
              <w:t>people affected by alcohol or drugs</w:t>
            </w:r>
          </w:p>
        </w:tc>
      </w:tr>
    </w:tbl>
    <w:p w:rsidR="003D1AF1" w:rsidP="001C473E">
      <w:pPr>
        <w:pStyle w:val="BodyText"/>
      </w:pPr>
    </w:p>
    <w:p w:rsidR="003D1AF1" w:rsidP="001C473E">
      <w:pPr>
        <w:pStyle w:val="BodyText"/>
      </w:pPr>
    </w:p>
    <w:p w:rsidR="00000000" w:rsidRPr="001C473E" w:rsidP="001C473E">
      <w:pPr>
        <w:pStyle w:val="Heading1"/>
      </w:pPr>
      <w:bookmarkStart w:id="12" w:name="O_498198"/>
      <w:bookmarkEnd w:id="12"/>
      <w:r w:rsidRPr="001C473E">
        <w:t>Unit Sector(s)</w:t>
      </w:r>
    </w:p>
    <w:p w:rsidR="00000000" w:rsidRPr="001C473E" w:rsidP="001C473E">
      <w:pPr>
        <w:pStyle w:val="BodyText"/>
      </w:pPr>
      <w:r w:rsidRPr="001C473E">
        <w:t>Not applicable.</w:t>
      </w:r>
    </w:p>
    <w:p w:rsidR="00000000" w:rsidRPr="001C473E" w:rsidP="001C473E">
      <w:pPr>
        <w:pStyle w:val="AllowPageBreak"/>
      </w:pPr>
    </w:p>
    <w:p w:rsidR="00000000" w:rsidRPr="001C473E" w:rsidP="001C473E">
      <w:pPr>
        <w:pStyle w:val="Heading1"/>
      </w:pPr>
      <w:bookmarkStart w:id="13" w:name="O_498202"/>
      <w:bookmarkEnd w:id="13"/>
      <w:r w:rsidRPr="001C473E">
        <w:t>Competency field</w:t>
      </w:r>
    </w:p>
    <w:p w:rsidR="00000000" w:rsidRPr="001C473E" w:rsidP="001C473E">
      <w:pPr>
        <w:pStyle w:val="BodyText"/>
      </w:pPr>
      <w:r w:rsidRPr="001C473E">
        <w:t>Regulatory.</w:t>
      </w:r>
    </w:p>
    <w:p w:rsidR="00000000" w:rsidRPr="001C473E" w:rsidP="001C473E"/>
    <w:sectPr w:rsidSect="001C47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AF1" w:rsidP="003D1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AF1" w:rsidP="001C4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1AF1" w:rsidP="001C47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D1AF1" w:rsidP="001C47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3E" w:rsidRPr="003D1AF1" w:rsidP="003D1A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AF1" w:rsidRPr="002D2AF8" w:rsidP="001C473E">
    <w:pPr>
      <w:pStyle w:val="Header"/>
      <w:framePr w:wrap="around"/>
    </w:pPr>
    <w:r>
      <w:fldChar w:fldCharType="begin"/>
    </w:r>
    <w:r>
      <w:instrText xml:space="preserve"> TITLE   \* MERGEFORMAT </w:instrText>
    </w:r>
    <w:r>
      <w:fldChar w:fldCharType="separate"/>
    </w:r>
    <w:r>
      <w:t>PSPREG405B Act on non-compliance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D1AF1" w:rsidP="001C47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84A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7988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7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73E"/>
    <w:pPr>
      <w:spacing w:before="360" w:after="60"/>
      <w:outlineLvl w:val="0"/>
    </w:pPr>
    <w:rPr>
      <w:sz w:val="32"/>
    </w:rPr>
  </w:style>
  <w:style w:type="paragraph" w:styleId="Heading2">
    <w:name w:val="heading 2"/>
    <w:basedOn w:val="HeadingBase"/>
    <w:next w:val="BodyText"/>
    <w:link w:val="Heading2Char"/>
    <w:qFormat/>
    <w:rsid w:val="001C473E"/>
    <w:pPr>
      <w:keepLines/>
      <w:spacing w:before="240" w:after="120"/>
      <w:outlineLvl w:val="1"/>
    </w:pPr>
    <w:rPr>
      <w:sz w:val="28"/>
      <w:szCs w:val="40"/>
    </w:rPr>
  </w:style>
  <w:style w:type="paragraph" w:styleId="Heading3">
    <w:name w:val="heading 3"/>
    <w:basedOn w:val="HeadingBase"/>
    <w:next w:val="BodyText"/>
    <w:link w:val="Heading3Char"/>
    <w:qFormat/>
    <w:rsid w:val="001C473E"/>
    <w:pPr>
      <w:spacing w:before="180" w:after="120"/>
      <w:outlineLvl w:val="2"/>
    </w:pPr>
    <w:rPr>
      <w:spacing w:val="-10"/>
      <w:kern w:val="32"/>
    </w:rPr>
  </w:style>
  <w:style w:type="paragraph" w:styleId="Heading4">
    <w:name w:val="heading 4"/>
    <w:basedOn w:val="HeadingBase"/>
    <w:next w:val="BodyText"/>
    <w:link w:val="Heading4Char"/>
    <w:qFormat/>
    <w:rsid w:val="001C473E"/>
    <w:pPr>
      <w:spacing w:before="160" w:after="120"/>
      <w:outlineLvl w:val="3"/>
    </w:pPr>
    <w:rPr>
      <w:sz w:val="22"/>
    </w:rPr>
  </w:style>
  <w:style w:type="paragraph" w:styleId="Heading5">
    <w:name w:val="heading 5"/>
    <w:basedOn w:val="HeadingBase"/>
    <w:next w:val="Normal"/>
    <w:link w:val="Heading5Char"/>
    <w:qFormat/>
    <w:rsid w:val="001C473E"/>
    <w:pPr>
      <w:spacing w:before="80"/>
      <w:outlineLvl w:val="4"/>
    </w:pPr>
    <w:rPr>
      <w:color w:val="918585"/>
      <w:sz w:val="20"/>
    </w:rPr>
  </w:style>
  <w:style w:type="paragraph" w:styleId="Heading6">
    <w:name w:val="heading 6"/>
    <w:basedOn w:val="HeadingBase"/>
    <w:next w:val="Normal"/>
    <w:link w:val="Heading6Char"/>
    <w:qFormat/>
    <w:rsid w:val="001C473E"/>
    <w:pPr>
      <w:spacing w:before="60"/>
      <w:outlineLvl w:val="5"/>
    </w:pPr>
    <w:rPr>
      <w:color w:val="918585"/>
      <w:sz w:val="20"/>
    </w:rPr>
  </w:style>
  <w:style w:type="paragraph" w:styleId="Heading7">
    <w:name w:val="heading 7"/>
    <w:basedOn w:val="Normal"/>
    <w:next w:val="Normal"/>
    <w:link w:val="Heading7Char"/>
    <w:qFormat/>
    <w:rsid w:val="001C473E"/>
    <w:pPr>
      <w:ind w:left="720"/>
      <w:outlineLvl w:val="6"/>
    </w:pPr>
    <w:rPr>
      <w:i/>
    </w:rPr>
  </w:style>
  <w:style w:type="paragraph" w:styleId="Heading8">
    <w:name w:val="heading 8"/>
    <w:basedOn w:val="Normal"/>
    <w:next w:val="Normal"/>
    <w:link w:val="Heading8Char"/>
    <w:qFormat/>
    <w:rsid w:val="001C473E"/>
    <w:pPr>
      <w:ind w:left="720"/>
      <w:outlineLvl w:val="7"/>
    </w:pPr>
    <w:rPr>
      <w:i/>
    </w:rPr>
  </w:style>
  <w:style w:type="paragraph" w:styleId="Heading9">
    <w:name w:val="heading 9"/>
    <w:basedOn w:val="Normal"/>
    <w:next w:val="Normal"/>
    <w:link w:val="Heading9Char"/>
    <w:qFormat/>
    <w:rsid w:val="001C473E"/>
    <w:pPr>
      <w:ind w:left="720"/>
      <w:outlineLvl w:val="8"/>
    </w:pPr>
    <w:rPr>
      <w:i/>
    </w:rPr>
  </w:style>
  <w:style w:type="character" w:default="1" w:styleId="DefaultParagraphFont">
    <w:name w:val="Default Paragraph Font"/>
    <w:uiPriority w:val="1"/>
    <w:unhideWhenUsed/>
    <w:rsid w:val="001C4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73E"/>
  </w:style>
  <w:style w:type="character" w:customStyle="1" w:styleId="Heading1Char">
    <w:name w:val="Heading 1 Char"/>
    <w:basedOn w:val="DefaultParagraphFont"/>
    <w:link w:val="Heading1"/>
    <w:rsid w:val="001C473E"/>
    <w:rPr>
      <w:rFonts w:ascii="Times New Roman" w:eastAsia="Times New Roman" w:hAnsi="Times New Roman" w:cs="Times New Roman"/>
      <w:b/>
      <w:sz w:val="32"/>
      <w:szCs w:val="20"/>
      <w:lang w:eastAsia="en-US"/>
    </w:rPr>
  </w:style>
  <w:style w:type="paragraph" w:styleId="BodyText">
    <w:name w:val="Body Text"/>
    <w:basedOn w:val="Normal"/>
    <w:link w:val="BodyTextChar"/>
    <w:rsid w:val="001C47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73E"/>
    <w:rPr>
      <w:rFonts w:ascii="Times New Roman" w:eastAsia="Times New Roman" w:hAnsi="Times New Roman" w:cs="Times New Roman"/>
      <w:sz w:val="24"/>
      <w:lang w:eastAsia="en-US"/>
    </w:rPr>
  </w:style>
  <w:style w:type="paragraph" w:styleId="Footer">
    <w:name w:val="footer"/>
    <w:basedOn w:val="Normal"/>
    <w:link w:val="FooterChar"/>
    <w:rsid w:val="001C4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73E"/>
    <w:rPr>
      <w:rFonts w:ascii="Times New Roman" w:eastAsia="Times New Roman" w:hAnsi="Times New Roman" w:cs="Times New Roman"/>
      <w:sz w:val="16"/>
      <w:lang w:eastAsia="en-US"/>
    </w:rPr>
  </w:style>
  <w:style w:type="paragraph" w:styleId="List">
    <w:name w:val="List"/>
    <w:basedOn w:val="BodyText"/>
    <w:next w:val="BodyText"/>
    <w:rsid w:val="001C473E"/>
    <w:pPr>
      <w:tabs>
        <w:tab w:val="left" w:pos="340"/>
      </w:tabs>
      <w:spacing w:before="60" w:after="60"/>
      <w:ind w:left="340" w:hanging="340"/>
    </w:pPr>
  </w:style>
  <w:style w:type="character" w:customStyle="1" w:styleId="SpecialBold">
    <w:name w:val="Special Bold"/>
    <w:basedOn w:val="DefaultParagraphFont"/>
    <w:rsid w:val="001C473E"/>
    <w:rPr>
      <w:b/>
      <w:spacing w:val="0"/>
    </w:rPr>
  </w:style>
  <w:style w:type="paragraph" w:styleId="ListBullet2">
    <w:name w:val="List Bullet 2"/>
    <w:basedOn w:val="List2"/>
    <w:rsid w:val="001C473E"/>
    <w:pPr>
      <w:numPr>
        <w:numId w:val="14"/>
      </w:numPr>
      <w:tabs>
        <w:tab w:val="clear" w:pos="680"/>
      </w:tabs>
    </w:pPr>
  </w:style>
  <w:style w:type="character" w:styleId="Emphasis">
    <w:name w:val="Emphasis"/>
    <w:basedOn w:val="DefaultParagraphFont"/>
    <w:qFormat/>
    <w:rsid w:val="001C473E"/>
    <w:rPr>
      <w:i/>
    </w:rPr>
  </w:style>
  <w:style w:type="paragraph" w:customStyle="1" w:styleId="SuperHeading">
    <w:name w:val="SuperHeading"/>
    <w:basedOn w:val="Normal"/>
    <w:rsid w:val="001C473E"/>
    <w:pPr>
      <w:spacing w:before="240" w:after="120"/>
      <w:outlineLvl w:val="0"/>
    </w:pPr>
    <w:rPr>
      <w:rFonts w:ascii="Times New Roman" w:hAnsi="Times New Roman"/>
      <w:b/>
      <w:sz w:val="28"/>
    </w:rPr>
  </w:style>
  <w:style w:type="paragraph" w:customStyle="1" w:styleId="AllowPageBreak">
    <w:name w:val="AllowPageBreak"/>
    <w:rsid w:val="001C47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473E"/>
    <w:pPr>
      <w:numPr>
        <w:numId w:val="2"/>
      </w:numPr>
      <w:tabs>
        <w:tab w:val="clear" w:pos="1021"/>
      </w:tabs>
      <w:ind w:left="1037" w:hanging="357"/>
    </w:pPr>
  </w:style>
  <w:style w:type="character" w:customStyle="1" w:styleId="Underline">
    <w:name w:val="Underline"/>
    <w:basedOn w:val="DefaultParagraphFont"/>
    <w:qFormat/>
    <w:rsid w:val="001C473E"/>
    <w:rPr>
      <w:u w:val="single"/>
    </w:rPr>
  </w:style>
  <w:style w:type="character" w:customStyle="1" w:styleId="BoldandItalics">
    <w:name w:val="Bold and Italics"/>
    <w:qFormat/>
    <w:rsid w:val="001C473E"/>
    <w:rPr>
      <w:b/>
      <w:i/>
      <w:u w:val="none"/>
    </w:rPr>
  </w:style>
  <w:style w:type="character" w:customStyle="1" w:styleId="Heading2Char">
    <w:name w:val="Heading 2 Char"/>
    <w:basedOn w:val="DefaultParagraphFont"/>
    <w:link w:val="Heading2"/>
    <w:rsid w:val="001C4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7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7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73E"/>
    <w:rPr>
      <w:rFonts w:ascii="Courier New" w:eastAsia="Times New Roman" w:hAnsi="Courier New" w:cs="Times New Roman"/>
      <w:i/>
      <w:szCs w:val="20"/>
      <w:lang w:eastAsia="en-US"/>
    </w:rPr>
  </w:style>
  <w:style w:type="paragraph" w:customStyle="1" w:styleId="HeadingBase">
    <w:name w:val="Heading Base"/>
    <w:rsid w:val="001C4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73E"/>
    <w:pPr>
      <w:tabs>
        <w:tab w:val="right" w:leader="dot" w:pos="9072"/>
      </w:tabs>
      <w:ind w:left="567"/>
    </w:pPr>
    <w:rPr>
      <w:szCs w:val="22"/>
    </w:rPr>
  </w:style>
  <w:style w:type="paragraph" w:customStyle="1" w:styleId="TOCBase">
    <w:name w:val="TOC Base"/>
    <w:rsid w:val="001C4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73E"/>
    <w:pPr>
      <w:tabs>
        <w:tab w:val="right" w:leader="dot" w:pos="9072"/>
      </w:tabs>
      <w:spacing w:before="40" w:after="40"/>
      <w:ind w:left="284"/>
    </w:pPr>
    <w:rPr>
      <w:rFonts w:ascii="Times New Roman" w:hAnsi="Times New Roman"/>
    </w:rPr>
  </w:style>
  <w:style w:type="paragraph" w:styleId="TOC1">
    <w:name w:val="toc 1"/>
    <w:basedOn w:val="TOCBase"/>
    <w:next w:val="Normal"/>
    <w:rsid w:val="001C47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73E"/>
    <w:pPr>
      <w:spacing w:before="5040"/>
      <w:jc w:val="center"/>
    </w:pPr>
    <w:rPr>
      <w:sz w:val="48"/>
      <w:szCs w:val="72"/>
      <w:lang w:val="en-US"/>
    </w:rPr>
  </w:style>
  <w:style w:type="character" w:customStyle="1" w:styleId="TitleChar">
    <w:name w:val="Title Char"/>
    <w:basedOn w:val="DefaultParagraphFont"/>
    <w:link w:val="Title"/>
    <w:rsid w:val="001C4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73E"/>
    <w:pPr>
      <w:tabs>
        <w:tab w:val="left" w:pos="3600"/>
        <w:tab w:val="left" w:pos="3958"/>
      </w:tabs>
    </w:pPr>
  </w:style>
  <w:style w:type="paragraph" w:styleId="ListBullet">
    <w:name w:val="List Bullet"/>
    <w:basedOn w:val="List"/>
    <w:rsid w:val="001C473E"/>
    <w:pPr>
      <w:numPr>
        <w:numId w:val="13"/>
      </w:numPr>
      <w:tabs>
        <w:tab w:val="clear" w:pos="340"/>
      </w:tabs>
      <w:spacing w:before="40" w:after="40"/>
    </w:pPr>
  </w:style>
  <w:style w:type="paragraph" w:customStyle="1" w:styleId="Note">
    <w:name w:val="Note"/>
    <w:basedOn w:val="BodyText"/>
    <w:rsid w:val="001C4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73E"/>
    <w:pPr>
      <w:framePr w:wrap="auto" w:hAnchor="text" w:y="6049"/>
    </w:pPr>
    <w:rPr>
      <w:color w:val="000000"/>
      <w:sz w:val="40"/>
    </w:rPr>
  </w:style>
  <w:style w:type="paragraph" w:customStyle="1" w:styleId="TOCTitle">
    <w:name w:val="TOCTitle"/>
    <w:basedOn w:val="Heading1"/>
    <w:rsid w:val="001C473E"/>
    <w:pPr>
      <w:spacing w:after="240"/>
      <w:jc w:val="center"/>
      <w:outlineLvl w:val="9"/>
    </w:pPr>
    <w:rPr>
      <w:caps/>
    </w:rPr>
  </w:style>
  <w:style w:type="paragraph" w:customStyle="1" w:styleId="Version">
    <w:name w:val="Version"/>
    <w:rsid w:val="001C47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73E"/>
    <w:pPr>
      <w:keepNext w:val="0"/>
      <w:tabs>
        <w:tab w:val="right" w:pos="4176"/>
      </w:tabs>
      <w:ind w:left="198" w:hanging="198"/>
    </w:pPr>
    <w:rPr>
      <w:rFonts w:ascii="Garamond" w:hAnsi="Garamond"/>
    </w:rPr>
  </w:style>
  <w:style w:type="paragraph" w:styleId="IndexHeading">
    <w:name w:val="index heading"/>
    <w:basedOn w:val="Normal"/>
    <w:next w:val="Index1"/>
    <w:semiHidden/>
    <w:rsid w:val="001C473E"/>
    <w:pPr>
      <w:spacing w:before="120" w:after="120"/>
    </w:pPr>
    <w:rPr>
      <w:rFonts w:ascii="Arial" w:hAnsi="Arial"/>
      <w:b/>
      <w:color w:val="918585"/>
      <w:sz w:val="24"/>
    </w:rPr>
  </w:style>
  <w:style w:type="paragraph" w:styleId="Header">
    <w:name w:val="header"/>
    <w:basedOn w:val="Normal"/>
    <w:link w:val="HeaderChar"/>
    <w:rsid w:val="001C4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73E"/>
    <w:rPr>
      <w:rFonts w:ascii="Times New Roman" w:eastAsia="Times New Roman" w:hAnsi="Times New Roman" w:cs="Times New Roman"/>
      <w:sz w:val="16"/>
      <w:szCs w:val="20"/>
      <w:lang w:val="en-GB" w:eastAsia="en-US"/>
    </w:rPr>
  </w:style>
  <w:style w:type="paragraph" w:customStyle="1" w:styleId="Chapter">
    <w:name w:val="Chapter"/>
    <w:basedOn w:val="Normal"/>
    <w:rsid w:val="001C473E"/>
    <w:pPr>
      <w:spacing w:before="240"/>
    </w:pPr>
    <w:rPr>
      <w:rFonts w:ascii="Times New Roman" w:hAnsi="Times New Roman"/>
      <w:smallCaps/>
      <w:spacing w:val="80"/>
      <w:sz w:val="28"/>
    </w:rPr>
  </w:style>
  <w:style w:type="paragraph" w:customStyle="1" w:styleId="InChapter">
    <w:name w:val="InChapter"/>
    <w:basedOn w:val="Heading3"/>
    <w:rsid w:val="001C473E"/>
    <w:pPr>
      <w:spacing w:after="240"/>
      <w:outlineLvl w:val="9"/>
    </w:pPr>
    <w:rPr>
      <w:noProof/>
    </w:rPr>
  </w:style>
  <w:style w:type="paragraph" w:styleId="Index2">
    <w:name w:val="index 2"/>
    <w:basedOn w:val="Normal"/>
    <w:next w:val="Normal"/>
    <w:semiHidden/>
    <w:rsid w:val="001C473E"/>
    <w:pPr>
      <w:tabs>
        <w:tab w:val="right" w:pos="4176"/>
      </w:tabs>
      <w:ind w:left="568" w:hanging="284"/>
    </w:pPr>
    <w:rPr>
      <w:rFonts w:ascii="Garamond" w:hAnsi="Garamond"/>
    </w:rPr>
  </w:style>
  <w:style w:type="paragraph" w:customStyle="1" w:styleId="Byline">
    <w:name w:val="Byline"/>
    <w:rsid w:val="001C4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73E"/>
    <w:pPr>
      <w:tabs>
        <w:tab w:val="clear" w:pos="3600"/>
        <w:tab w:val="clear" w:pos="3958"/>
      </w:tabs>
      <w:jc w:val="right"/>
    </w:pPr>
  </w:style>
  <w:style w:type="paragraph" w:styleId="Caption">
    <w:name w:val="caption"/>
    <w:basedOn w:val="BodyText"/>
    <w:next w:val="Normal"/>
    <w:qFormat/>
    <w:rsid w:val="001C473E"/>
    <w:pPr>
      <w:framePr w:w="2268" w:hSpace="181" w:vSpace="181" w:wrap="around" w:vAnchor="text" w:hAnchor="page" w:x="1135" w:y="285" w:anchorLock="1"/>
    </w:pPr>
    <w:rPr>
      <w:i/>
    </w:rPr>
  </w:style>
  <w:style w:type="paragraph" w:customStyle="1" w:styleId="MiniTOCTitle">
    <w:name w:val="MiniTOCTitle"/>
    <w:basedOn w:val="Heading4"/>
    <w:rsid w:val="001C473E"/>
    <w:pPr>
      <w:spacing w:before="240"/>
      <w:outlineLvl w:val="9"/>
    </w:pPr>
    <w:rPr>
      <w:noProof/>
      <w:sz w:val="24"/>
    </w:rPr>
  </w:style>
  <w:style w:type="paragraph" w:customStyle="1" w:styleId="MiniTOCItem">
    <w:name w:val="MiniTOCItem"/>
    <w:basedOn w:val="ListBullet"/>
    <w:rsid w:val="001C473E"/>
    <w:pPr>
      <w:numPr>
        <w:numId w:val="0"/>
      </w:numPr>
      <w:tabs>
        <w:tab w:val="right" w:leader="dot" w:pos="6521"/>
      </w:tabs>
      <w:spacing w:before="0" w:after="0"/>
    </w:pPr>
  </w:style>
  <w:style w:type="paragraph" w:customStyle="1" w:styleId="TOFTitle">
    <w:name w:val="TOFTitle"/>
    <w:basedOn w:val="TOCTitle"/>
    <w:rsid w:val="001C473E"/>
  </w:style>
  <w:style w:type="paragraph" w:styleId="TableofFigures">
    <w:name w:val="table of figures"/>
    <w:basedOn w:val="Normal"/>
    <w:next w:val="Normal"/>
    <w:semiHidden/>
    <w:rsid w:val="001C473E"/>
    <w:pPr>
      <w:tabs>
        <w:tab w:val="right" w:leader="dot" w:pos="9072"/>
      </w:tabs>
      <w:ind w:left="970" w:hanging="403"/>
    </w:pPr>
    <w:rPr>
      <w:rFonts w:ascii="Times New Roman" w:hAnsi="Times New Roman"/>
      <w:b/>
    </w:rPr>
  </w:style>
  <w:style w:type="paragraph" w:styleId="ListNumber">
    <w:name w:val="List Number"/>
    <w:basedOn w:val="List"/>
    <w:rsid w:val="001C473E"/>
    <w:pPr>
      <w:numPr>
        <w:numId w:val="11"/>
      </w:numPr>
    </w:pPr>
  </w:style>
  <w:style w:type="character" w:customStyle="1" w:styleId="WingdingSymbols">
    <w:name w:val="Wingding Symbols"/>
    <w:rsid w:val="001C473E"/>
    <w:rPr>
      <w:rFonts w:ascii="Wingdings" w:hAnsi="Wingdings"/>
    </w:rPr>
  </w:style>
  <w:style w:type="paragraph" w:customStyle="1" w:styleId="TableHeading">
    <w:name w:val="Table Heading"/>
    <w:basedOn w:val="HeadingBase"/>
    <w:rsid w:val="001C473E"/>
    <w:pPr>
      <w:keepLines/>
      <w:pBdr>
        <w:bottom w:val="single" w:sz="6" w:space="1" w:color="918585"/>
      </w:pBdr>
      <w:spacing w:before="240"/>
    </w:pPr>
  </w:style>
  <w:style w:type="character" w:customStyle="1" w:styleId="HotSpot">
    <w:name w:val="HotSpot"/>
    <w:rsid w:val="001C473E"/>
    <w:rPr>
      <w:color w:val="0033CC"/>
      <w:u w:val="none"/>
    </w:rPr>
  </w:style>
  <w:style w:type="paragraph" w:customStyle="1" w:styleId="BodyTextRight">
    <w:name w:val="Body Text Right"/>
    <w:basedOn w:val="BodyText"/>
    <w:rsid w:val="001C473E"/>
    <w:pPr>
      <w:spacing w:before="0" w:after="0"/>
      <w:jc w:val="right"/>
    </w:pPr>
  </w:style>
  <w:style w:type="paragraph" w:styleId="Index3">
    <w:name w:val="index 3"/>
    <w:basedOn w:val="ListNumber2"/>
    <w:next w:val="Normal"/>
    <w:semiHidden/>
    <w:rsid w:val="001C473E"/>
    <w:pPr>
      <w:numPr>
        <w:numId w:val="0"/>
      </w:numPr>
      <w:tabs>
        <w:tab w:val="right" w:leader="dot" w:pos="4176"/>
      </w:tabs>
    </w:pPr>
  </w:style>
  <w:style w:type="paragraph" w:styleId="ListNumber2">
    <w:name w:val="List Number 2"/>
    <w:basedOn w:val="List2"/>
    <w:rsid w:val="001C473E"/>
    <w:pPr>
      <w:numPr>
        <w:numId w:val="10"/>
      </w:numPr>
      <w:tabs>
        <w:tab w:val="clear" w:pos="1060"/>
      </w:tabs>
    </w:pPr>
  </w:style>
  <w:style w:type="paragraph" w:customStyle="1" w:styleId="MarginNote">
    <w:name w:val="Margin Note"/>
    <w:basedOn w:val="BodyText"/>
    <w:rsid w:val="001C4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7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73E"/>
    <w:rPr>
      <w:sz w:val="32"/>
    </w:rPr>
  </w:style>
  <w:style w:type="paragraph" w:customStyle="1" w:styleId="HeadingProcedure">
    <w:name w:val="Heading Procedure"/>
    <w:basedOn w:val="HeadingBase"/>
    <w:next w:val="Normal"/>
    <w:rsid w:val="001C473E"/>
    <w:pPr>
      <w:tabs>
        <w:tab w:val="left" w:pos="0"/>
      </w:tabs>
      <w:spacing w:before="120" w:after="60"/>
    </w:pPr>
    <w:rPr>
      <w:i/>
      <w:color w:val="918585"/>
      <w:sz w:val="22"/>
    </w:rPr>
  </w:style>
  <w:style w:type="paragraph" w:customStyle="1" w:styleId="TableBodyText">
    <w:name w:val="Table Body Text"/>
    <w:basedOn w:val="BodyText"/>
    <w:rsid w:val="001C473E"/>
    <w:pPr>
      <w:spacing w:before="60" w:after="60"/>
    </w:pPr>
  </w:style>
  <w:style w:type="paragraph" w:styleId="ListContinue">
    <w:name w:val="List Continue"/>
    <w:basedOn w:val="List"/>
    <w:rsid w:val="001C473E"/>
    <w:pPr>
      <w:ind w:firstLine="0"/>
    </w:pPr>
  </w:style>
  <w:style w:type="paragraph" w:customStyle="1" w:styleId="ListNote">
    <w:name w:val="List Note"/>
    <w:basedOn w:val="List"/>
    <w:rsid w:val="001C473E"/>
    <w:pPr>
      <w:pBdr>
        <w:top w:val="single" w:sz="6" w:space="2" w:color="918585"/>
        <w:bottom w:val="single" w:sz="6" w:space="2" w:color="918585"/>
      </w:pBdr>
      <w:tabs>
        <w:tab w:val="left" w:pos="1021"/>
      </w:tabs>
      <w:ind w:firstLine="0"/>
    </w:pPr>
  </w:style>
  <w:style w:type="paragraph" w:customStyle="1" w:styleId="Warning">
    <w:name w:val="Warning"/>
    <w:basedOn w:val="BodyText"/>
    <w:rsid w:val="001C473E"/>
    <w:pPr>
      <w:shd w:val="clear" w:color="auto" w:fill="D9D9D9"/>
      <w:tabs>
        <w:tab w:val="left" w:pos="992"/>
      </w:tabs>
      <w:ind w:left="119" w:right="119"/>
    </w:pPr>
    <w:rPr>
      <w:sz w:val="20"/>
    </w:rPr>
  </w:style>
  <w:style w:type="paragraph" w:customStyle="1" w:styleId="MarginIcons">
    <w:name w:val="Margin Icons"/>
    <w:basedOn w:val="BodyText"/>
    <w:rsid w:val="001C4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73E"/>
    <w:rPr>
      <w:rFonts w:ascii="Courier New" w:hAnsi="Courier New"/>
    </w:rPr>
  </w:style>
  <w:style w:type="paragraph" w:customStyle="1" w:styleId="NoteBullet">
    <w:name w:val="Note Bullet"/>
    <w:basedOn w:val="Note"/>
    <w:rsid w:val="001C473E"/>
    <w:pPr>
      <w:tabs>
        <w:tab w:val="clear" w:pos="680"/>
      </w:tabs>
      <w:spacing w:before="60" w:after="60"/>
    </w:pPr>
  </w:style>
  <w:style w:type="paragraph" w:customStyle="1" w:styleId="SubHeading2">
    <w:name w:val="SubHeading2"/>
    <w:basedOn w:val="HeadingBase"/>
    <w:rsid w:val="001C473E"/>
    <w:pPr>
      <w:spacing w:before="240" w:after="60"/>
    </w:pPr>
    <w:rPr>
      <w:sz w:val="20"/>
    </w:rPr>
  </w:style>
  <w:style w:type="paragraph" w:customStyle="1" w:styleId="SubHeading1">
    <w:name w:val="SubHeading1"/>
    <w:basedOn w:val="HeadingBase"/>
    <w:rsid w:val="001C473E"/>
    <w:pPr>
      <w:spacing w:before="240" w:after="60"/>
    </w:pPr>
    <w:rPr>
      <w:color w:val="918585"/>
      <w:sz w:val="22"/>
    </w:rPr>
  </w:style>
  <w:style w:type="paragraph" w:customStyle="1" w:styleId="SideHeading">
    <w:name w:val="Side Heading"/>
    <w:basedOn w:val="HeadingBase"/>
    <w:rsid w:val="001C4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73E"/>
    <w:pPr>
      <w:numPr>
        <w:numId w:val="12"/>
      </w:numPr>
    </w:pPr>
  </w:style>
  <w:style w:type="paragraph" w:styleId="PlainText">
    <w:name w:val="Plain Text"/>
    <w:basedOn w:val="Normal"/>
    <w:link w:val="PlainTextChar"/>
    <w:rsid w:val="001C473E"/>
    <w:rPr>
      <w:sz w:val="20"/>
    </w:rPr>
  </w:style>
  <w:style w:type="character" w:customStyle="1" w:styleId="PlainTextChar">
    <w:name w:val="Plain Text Char"/>
    <w:basedOn w:val="DefaultParagraphFont"/>
    <w:link w:val="PlainText"/>
    <w:rsid w:val="001C473E"/>
    <w:rPr>
      <w:rFonts w:ascii="Courier New" w:eastAsia="Times New Roman" w:hAnsi="Courier New" w:cs="Times New Roman"/>
      <w:sz w:val="20"/>
      <w:szCs w:val="20"/>
      <w:lang w:eastAsia="en-US"/>
    </w:rPr>
  </w:style>
  <w:style w:type="character" w:customStyle="1" w:styleId="MenuOption">
    <w:name w:val="Menu Option"/>
    <w:basedOn w:val="DefaultParagraphFont"/>
    <w:rsid w:val="001C473E"/>
    <w:rPr>
      <w:b/>
      <w:smallCaps/>
    </w:rPr>
  </w:style>
  <w:style w:type="paragraph" w:customStyle="1" w:styleId="TableListNumber">
    <w:name w:val="Table List Number"/>
    <w:basedOn w:val="ListNumber"/>
    <w:rsid w:val="001C473E"/>
    <w:pPr>
      <w:numPr>
        <w:numId w:val="0"/>
      </w:numPr>
    </w:pPr>
  </w:style>
  <w:style w:type="paragraph" w:styleId="TOC4">
    <w:name w:val="toc 4"/>
    <w:basedOn w:val="TOCBase"/>
    <w:next w:val="Normal"/>
    <w:semiHidden/>
    <w:rsid w:val="001C473E"/>
    <w:pPr>
      <w:tabs>
        <w:tab w:val="right" w:leader="dot" w:pos="9071"/>
      </w:tabs>
      <w:ind w:left="1701"/>
    </w:pPr>
  </w:style>
  <w:style w:type="paragraph" w:customStyle="1" w:styleId="ListAlpha">
    <w:name w:val="List Alpha"/>
    <w:basedOn w:val="List"/>
    <w:rsid w:val="001C473E"/>
    <w:pPr>
      <w:numPr>
        <w:numId w:val="9"/>
      </w:numPr>
    </w:pPr>
  </w:style>
  <w:style w:type="paragraph" w:customStyle="1" w:styleId="ListAlpha2">
    <w:name w:val="List Alpha 2"/>
    <w:basedOn w:val="List2"/>
    <w:rsid w:val="001C473E"/>
    <w:pPr>
      <w:numPr>
        <w:numId w:val="8"/>
      </w:numPr>
    </w:pPr>
  </w:style>
  <w:style w:type="paragraph" w:styleId="List2">
    <w:name w:val="List 2"/>
    <w:basedOn w:val="BodyText"/>
    <w:rsid w:val="001C473E"/>
    <w:pPr>
      <w:tabs>
        <w:tab w:val="left" w:pos="680"/>
      </w:tabs>
      <w:spacing w:before="60" w:after="60"/>
      <w:ind w:left="680" w:hanging="340"/>
    </w:pPr>
  </w:style>
  <w:style w:type="paragraph" w:styleId="List3">
    <w:name w:val="List 3"/>
    <w:basedOn w:val="BodyText"/>
    <w:rsid w:val="001C473E"/>
    <w:pPr>
      <w:tabs>
        <w:tab w:val="left" w:pos="1021"/>
      </w:tabs>
      <w:spacing w:before="60" w:after="60"/>
      <w:ind w:left="1020" w:hanging="340"/>
    </w:pPr>
  </w:style>
  <w:style w:type="paragraph" w:styleId="List4">
    <w:name w:val="List 4"/>
    <w:basedOn w:val="BodyText"/>
    <w:rsid w:val="001C473E"/>
    <w:pPr>
      <w:tabs>
        <w:tab w:val="left" w:pos="1361"/>
      </w:tabs>
      <w:spacing w:before="60" w:after="60"/>
      <w:ind w:left="1361" w:hanging="340"/>
    </w:pPr>
  </w:style>
  <w:style w:type="paragraph" w:styleId="List5">
    <w:name w:val="List 5"/>
    <w:basedOn w:val="BodyText"/>
    <w:rsid w:val="001C473E"/>
    <w:pPr>
      <w:tabs>
        <w:tab w:val="left" w:pos="1701"/>
      </w:tabs>
      <w:spacing w:before="60" w:after="60"/>
      <w:ind w:left="1701" w:hanging="340"/>
    </w:pPr>
  </w:style>
  <w:style w:type="paragraph" w:styleId="ListBullet4">
    <w:name w:val="List Bullet 4"/>
    <w:basedOn w:val="List4"/>
    <w:rsid w:val="001C473E"/>
    <w:pPr>
      <w:numPr>
        <w:numId w:val="3"/>
      </w:numPr>
    </w:pPr>
  </w:style>
  <w:style w:type="paragraph" w:styleId="ListBullet5">
    <w:name w:val="List Bullet 5"/>
    <w:basedOn w:val="List5"/>
    <w:rsid w:val="001C473E"/>
    <w:pPr>
      <w:numPr>
        <w:numId w:val="4"/>
      </w:numPr>
    </w:pPr>
  </w:style>
  <w:style w:type="paragraph" w:styleId="ListContinue2">
    <w:name w:val="List Continue 2"/>
    <w:basedOn w:val="List2"/>
    <w:rsid w:val="001C473E"/>
    <w:pPr>
      <w:ind w:firstLine="0"/>
    </w:pPr>
  </w:style>
  <w:style w:type="paragraph" w:styleId="ListContinue3">
    <w:name w:val="List Continue 3"/>
    <w:basedOn w:val="List3"/>
    <w:rsid w:val="001C473E"/>
    <w:pPr>
      <w:ind w:left="1021" w:firstLine="0"/>
    </w:pPr>
  </w:style>
  <w:style w:type="paragraph" w:styleId="ListContinue4">
    <w:name w:val="List Continue 4"/>
    <w:basedOn w:val="List4"/>
    <w:rsid w:val="001C473E"/>
    <w:pPr>
      <w:ind w:firstLine="0"/>
    </w:pPr>
  </w:style>
  <w:style w:type="paragraph" w:styleId="ListContinue5">
    <w:name w:val="List Continue 5"/>
    <w:basedOn w:val="List5"/>
    <w:rsid w:val="001C473E"/>
    <w:pPr>
      <w:ind w:firstLine="0"/>
    </w:pPr>
  </w:style>
  <w:style w:type="paragraph" w:styleId="ListNumber3">
    <w:name w:val="List Number 3"/>
    <w:basedOn w:val="List3"/>
    <w:rsid w:val="001C473E"/>
    <w:pPr>
      <w:numPr>
        <w:numId w:val="5"/>
      </w:numPr>
    </w:pPr>
  </w:style>
  <w:style w:type="paragraph" w:styleId="ListNumber4">
    <w:name w:val="List Number 4"/>
    <w:basedOn w:val="List4"/>
    <w:rsid w:val="001C473E"/>
    <w:pPr>
      <w:numPr>
        <w:numId w:val="6"/>
      </w:numPr>
    </w:pPr>
  </w:style>
  <w:style w:type="paragraph" w:styleId="ListNumber5">
    <w:name w:val="List Number 5"/>
    <w:basedOn w:val="List5"/>
    <w:rsid w:val="001C473E"/>
    <w:pPr>
      <w:numPr>
        <w:numId w:val="7"/>
      </w:numPr>
    </w:pPr>
  </w:style>
  <w:style w:type="paragraph" w:styleId="BlockText">
    <w:name w:val="Block Text"/>
    <w:basedOn w:val="Normal"/>
    <w:rsid w:val="001C473E"/>
    <w:pPr>
      <w:spacing w:after="120"/>
      <w:ind w:left="1440" w:right="1440"/>
    </w:pPr>
  </w:style>
  <w:style w:type="character" w:customStyle="1" w:styleId="Subscript">
    <w:name w:val="Subscript"/>
    <w:basedOn w:val="DefaultParagraphFont"/>
    <w:rsid w:val="001C473E"/>
    <w:rPr>
      <w:sz w:val="16"/>
      <w:vertAlign w:val="subscript"/>
    </w:rPr>
  </w:style>
  <w:style w:type="character" w:customStyle="1" w:styleId="Superscript">
    <w:name w:val="Superscript"/>
    <w:basedOn w:val="DefaultParagraphFont"/>
    <w:rsid w:val="001C473E"/>
    <w:rPr>
      <w:sz w:val="16"/>
      <w:vertAlign w:val="superscript"/>
    </w:rPr>
  </w:style>
  <w:style w:type="character" w:customStyle="1" w:styleId="Symbols">
    <w:name w:val="Symbols"/>
    <w:basedOn w:val="DefaultParagraphFont"/>
    <w:rsid w:val="001C473E"/>
    <w:rPr>
      <w:rFonts w:ascii="Symbol" w:hAnsi="Symbol"/>
    </w:rPr>
  </w:style>
  <w:style w:type="character" w:customStyle="1" w:styleId="MenuOptions">
    <w:name w:val="Menu Options"/>
    <w:basedOn w:val="DefaultParagraphFont"/>
    <w:rsid w:val="001C473E"/>
    <w:rPr>
      <w:rFonts w:ascii="Arial Narrow" w:hAnsi="Arial Narrow"/>
      <w:smallCaps/>
    </w:rPr>
  </w:style>
  <w:style w:type="character" w:customStyle="1" w:styleId="Buttons">
    <w:name w:val="Buttons"/>
    <w:basedOn w:val="DefaultParagraphFont"/>
    <w:rsid w:val="001C473E"/>
    <w:rPr>
      <w:b/>
    </w:rPr>
  </w:style>
  <w:style w:type="character" w:customStyle="1" w:styleId="Underlined">
    <w:name w:val="Underlined"/>
    <w:basedOn w:val="DefaultParagraphFont"/>
    <w:rsid w:val="001C473E"/>
    <w:rPr>
      <w:u w:val="single"/>
    </w:rPr>
  </w:style>
  <w:style w:type="paragraph" w:customStyle="1" w:styleId="TableBodyTextRight">
    <w:name w:val="Table Body Text Right"/>
    <w:basedOn w:val="TableBodyText"/>
    <w:rsid w:val="001C473E"/>
    <w:pPr>
      <w:widowControl w:val="0"/>
      <w:autoSpaceDE w:val="0"/>
      <w:autoSpaceDN w:val="0"/>
      <w:adjustRightInd w:val="0"/>
      <w:jc w:val="right"/>
    </w:pPr>
    <w:rPr>
      <w:rFonts w:cs="Arial"/>
      <w:szCs w:val="18"/>
    </w:rPr>
  </w:style>
  <w:style w:type="paragraph" w:customStyle="1" w:styleId="CopyrightText">
    <w:name w:val="Copyright Text"/>
    <w:basedOn w:val="BodyText"/>
    <w:rsid w:val="001C473E"/>
    <w:rPr>
      <w:sz w:val="18"/>
    </w:rPr>
  </w:style>
  <w:style w:type="paragraph" w:customStyle="1" w:styleId="BodySmallRight">
    <w:name w:val="Body Small Right"/>
    <w:basedOn w:val="BodyTextRight"/>
    <w:rsid w:val="001C473E"/>
    <w:rPr>
      <w:sz w:val="18"/>
      <w:szCs w:val="18"/>
    </w:rPr>
  </w:style>
  <w:style w:type="paragraph" w:customStyle="1" w:styleId="MarginEdition">
    <w:name w:val="Margin Edition"/>
    <w:basedOn w:val="MarginNote"/>
    <w:rsid w:val="001C473E"/>
    <w:pPr>
      <w:spacing w:before="0" w:after="0"/>
    </w:pPr>
    <w:rPr>
      <w:rFonts w:ascii="Times New Roman" w:hAnsi="Times New Roman"/>
      <w:color w:val="999999"/>
    </w:rPr>
  </w:style>
  <w:style w:type="paragraph" w:customStyle="1" w:styleId="Spacer">
    <w:name w:val="Spacer"/>
    <w:basedOn w:val="Normal"/>
    <w:rsid w:val="001C473E"/>
    <w:rPr>
      <w:sz w:val="2"/>
      <w:szCs w:val="2"/>
    </w:rPr>
  </w:style>
  <w:style w:type="character" w:customStyle="1" w:styleId="Small">
    <w:name w:val="Small"/>
    <w:basedOn w:val="DefaultParagraphFont"/>
    <w:rsid w:val="001C473E"/>
    <w:rPr>
      <w:sz w:val="16"/>
    </w:rPr>
  </w:style>
  <w:style w:type="paragraph" w:customStyle="1" w:styleId="WideTable">
    <w:name w:val="Wide Table"/>
    <w:basedOn w:val="Normal"/>
    <w:rsid w:val="001C473E"/>
    <w:pPr>
      <w:ind w:left="-1418"/>
    </w:pPr>
    <w:rPr>
      <w:sz w:val="2"/>
      <w:szCs w:val="2"/>
    </w:rPr>
  </w:style>
  <w:style w:type="character" w:styleId="PageNumber">
    <w:name w:val="page number"/>
    <w:basedOn w:val="DefaultParagraphFont"/>
    <w:rsid w:val="001C473E"/>
  </w:style>
  <w:style w:type="paragraph" w:styleId="Quote">
    <w:name w:val="Quote"/>
    <w:basedOn w:val="Heading1"/>
    <w:link w:val="QuoteChar"/>
    <w:qFormat/>
    <w:rsid w:val="001C473E"/>
    <w:rPr>
      <w:b w:val="0"/>
      <w:sz w:val="72"/>
      <w:szCs w:val="72"/>
      <w:lang w:val="en-NZ"/>
    </w:rPr>
  </w:style>
  <w:style w:type="character" w:customStyle="1" w:styleId="QuoteChar">
    <w:name w:val="Quote Char"/>
    <w:basedOn w:val="DefaultParagraphFont"/>
    <w:link w:val="Quote"/>
    <w:rsid w:val="001C4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73E"/>
    <w:pPr>
      <w:pageBreakBefore/>
    </w:pPr>
  </w:style>
  <w:style w:type="paragraph" w:customStyle="1" w:styleId="Border">
    <w:name w:val="Border"/>
    <w:basedOn w:val="Normal"/>
    <w:qFormat/>
    <w:rsid w:val="001C4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73E"/>
    <w:rPr>
      <w:b/>
      <w:bCs/>
      <w:i/>
      <w:iCs/>
      <w:color w:val="auto"/>
    </w:rPr>
  </w:style>
  <w:style w:type="paragraph" w:styleId="IntenseQuote">
    <w:name w:val="Intense Quote"/>
    <w:basedOn w:val="Normal"/>
    <w:next w:val="Normal"/>
    <w:link w:val="IntenseQuoteChar"/>
    <w:uiPriority w:val="30"/>
    <w:qFormat/>
    <w:rsid w:val="001C4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7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73E"/>
    <w:rPr>
      <w:smallCaps/>
      <w:color w:val="auto"/>
      <w:u w:val="single"/>
    </w:rPr>
  </w:style>
  <w:style w:type="character" w:styleId="IntenseReference">
    <w:name w:val="Intense Reference"/>
    <w:basedOn w:val="DefaultParagraphFont"/>
    <w:uiPriority w:val="32"/>
    <w:qFormat/>
    <w:rsid w:val="001C473E"/>
    <w:rPr>
      <w:b/>
      <w:bCs/>
      <w:smallCaps/>
      <w:color w:val="auto"/>
      <w:spacing w:val="5"/>
      <w:u w:val="single"/>
    </w:rPr>
  </w:style>
  <w:style w:type="paragraph" w:customStyle="1" w:styleId="2ColumnHeading">
    <w:name w:val="2Column Heading"/>
    <w:basedOn w:val="BodyText"/>
    <w:qFormat/>
    <w:rsid w:val="001C473E"/>
    <w:pPr>
      <w:spacing w:after="60"/>
      <w:ind w:left="-2268"/>
    </w:pPr>
    <w:rPr>
      <w:b/>
    </w:rPr>
  </w:style>
  <w:style w:type="paragraph" w:customStyle="1" w:styleId="Heading1TOC">
    <w:name w:val="Heading1 TOC"/>
    <w:basedOn w:val="Normal"/>
    <w:qFormat/>
    <w:rsid w:val="001C473E"/>
    <w:pPr>
      <w:spacing w:before="240" w:after="120"/>
    </w:pPr>
    <w:rPr>
      <w:rFonts w:ascii="Times New Roman" w:hAnsi="Times New Roman"/>
      <w:b/>
      <w:sz w:val="32"/>
    </w:rPr>
  </w:style>
  <w:style w:type="paragraph" w:customStyle="1" w:styleId="Heading2TOC">
    <w:name w:val="Heading2 TOC"/>
    <w:basedOn w:val="Normal"/>
    <w:qFormat/>
    <w:rsid w:val="001C473E"/>
    <w:pPr>
      <w:spacing w:before="240" w:after="60"/>
    </w:pPr>
    <w:rPr>
      <w:rFonts w:ascii="Times New Roman" w:hAnsi="Times New Roman"/>
      <w:b/>
      <w:sz w:val="28"/>
    </w:rPr>
  </w:style>
  <w:style w:type="paragraph" w:styleId="BalloonText">
    <w:name w:val="Balloon Text"/>
    <w:basedOn w:val="Normal"/>
    <w:link w:val="BalloonTextChar"/>
    <w:rsid w:val="001C473E"/>
    <w:rPr>
      <w:rFonts w:ascii="Tahoma" w:hAnsi="Tahoma" w:cs="Tahoma"/>
      <w:sz w:val="16"/>
      <w:szCs w:val="16"/>
    </w:rPr>
  </w:style>
  <w:style w:type="character" w:customStyle="1" w:styleId="BalloonTextChar">
    <w:name w:val="Balloon Text Char"/>
    <w:basedOn w:val="DefaultParagraphFont"/>
    <w:link w:val="BalloonText"/>
    <w:rsid w:val="001C47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7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7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73E"/>
    <w:rPr>
      <w:b/>
      <w:color w:val="660033"/>
      <w:spacing w:val="0"/>
    </w:rPr>
  </w:style>
  <w:style w:type="paragraph" w:customStyle="1" w:styleId="Nameditemlist">
    <w:name w:val="Named item list"/>
    <w:basedOn w:val="BodyText"/>
    <w:qFormat/>
    <w:rsid w:val="001C47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7124</Characters>
  <Application>Microsoft Office Word</Application>
  <DocSecurity>0</DocSecurity>
  <Lines>238</Lines>
  <Paragraphs>143</Paragraphs>
  <ScaleCrop>false</ScaleCrop>
  <Company>Author-it Software Corporation Ltd.</Company>
  <LinksUpToDate>false</LinksUpToDate>
  <CharactersWithSpaces>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PSPREG405B Act on non-compliance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2012-11-01T03:09:00Z</dcterms:created>
  <dcterms:modified xsi:type="dcterms:W3CDTF">2012-11-01T03:09:00Z</dcterms:modified>
</cp:coreProperties>
</file>