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6BD" w:rsidP="000976BD">
      <w:pPr>
        <w:pStyle w:val="Title"/>
      </w:pPr>
      <w:bookmarkStart w:id="0" w:name="_GoBack"/>
      <w:bookmarkEnd w:id="0"/>
      <w:r>
        <w:fldChar w:fldCharType="begin"/>
      </w:r>
      <w:r>
        <w:instrText xml:space="preserve"> TITLE   \* MERGEFORMAT </w:instrText>
      </w:r>
      <w:r>
        <w:fldChar w:fldCharType="separate"/>
      </w:r>
      <w:r>
        <w:t>PSPREG403B Assess compliance</w:t>
      </w:r>
      <w:r>
        <w:fldChar w:fldCharType="end"/>
      </w:r>
    </w:p>
    <w:p w:rsidR="000976BD" w:rsidP="000976BD">
      <w:pPr>
        <w:pStyle w:val="Version"/>
        <w:sectPr w:rsidSect="00120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120CCC" w:rsidP="00120CCC">
      <w:pPr>
        <w:pStyle w:val="SuperHeading"/>
      </w:pPr>
      <w:r w:rsidRPr="00120CCC">
        <w:t xml:space="preserve">PSPREG403B Assess compliance </w:t>
      </w:r>
    </w:p>
    <w:p w:rsidR="00000000" w:rsidRPr="00120CCC" w:rsidP="00120CCC">
      <w:pPr>
        <w:pStyle w:val="SuperHeading"/>
      </w:pPr>
    </w:p>
    <w:p w:rsidR="00000000" w:rsidRPr="00120CCC" w:rsidP="00120CCC">
      <w:pPr>
        <w:pStyle w:val="Heading1"/>
      </w:pPr>
      <w:bookmarkStart w:id="1" w:name="O_498161"/>
      <w:bookmarkEnd w:id="1"/>
      <w:r w:rsidRPr="00120CCC">
        <w:t>Modification History</w:t>
      </w:r>
    </w:p>
    <w:tbl>
      <w:tblPr>
        <w:tblW w:w="0" w:type="auto"/>
        <w:tblLayout w:type="fixed"/>
        <w:tblCellMar>
          <w:left w:w="62" w:type="dxa"/>
          <w:right w:w="62" w:type="dxa"/>
        </w:tblCellMar>
        <w:tblLook w:val="0000"/>
      </w:tblPr>
      <w:tblGrid>
        <w:gridCol w:w="3052"/>
        <w:gridCol w:w="3052"/>
        <w:gridCol w:w="3052"/>
      </w:tblGrid>
      <w:tr w:rsidTr="000976B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CCC" w:rsidP="00120CCC">
            <w:pPr>
              <w:pStyle w:val="BodyText"/>
            </w:pPr>
            <w:r w:rsidRPr="00120CC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CCC" w:rsidP="00120CCC">
            <w:pPr>
              <w:pStyle w:val="BodyText"/>
            </w:pPr>
            <w:r w:rsidRPr="00120CC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rPr>
                <w:rStyle w:val="SpecialBold"/>
              </w:rPr>
              <w:t>Comments</w:t>
            </w:r>
          </w:p>
        </w:tc>
      </w:tr>
      <w:tr w:rsidTr="000976B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 xml:space="preserve">Unit descriptor edited. </w:t>
            </w:r>
          </w:p>
        </w:tc>
      </w:tr>
      <w:tr w:rsidTr="000976B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Layout adjusted. No changes to content.</w:t>
            </w:r>
          </w:p>
        </w:tc>
      </w:tr>
      <w:tr w:rsidTr="000976B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CCC">
            <w:pPr>
              <w:pStyle w:val="BodyText"/>
              <w:rPr>
                <w:lang w:val="en-NZ"/>
              </w:rPr>
            </w:pPr>
            <w:r w:rsidRPr="00120CC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CCC" w:rsidP="00120CCC">
            <w:pPr>
              <w:pStyle w:val="BodyText"/>
            </w:pPr>
            <w:r w:rsidRPr="00120CCC">
              <w:t>Primary release.</w:t>
            </w:r>
          </w:p>
        </w:tc>
      </w:tr>
    </w:tbl>
    <w:p w:rsidR="000976BD" w:rsidP="00120CCC">
      <w:pPr>
        <w:pStyle w:val="BodyText"/>
      </w:pPr>
    </w:p>
    <w:p w:rsidR="000976BD" w:rsidP="00120CCC">
      <w:pPr>
        <w:pStyle w:val="BodyText"/>
      </w:pPr>
    </w:p>
    <w:p w:rsidR="00000000" w:rsidRPr="00120CCC" w:rsidP="00120CCC">
      <w:pPr>
        <w:pStyle w:val="Heading1"/>
      </w:pPr>
      <w:bookmarkStart w:id="2" w:name="O_498167"/>
      <w:bookmarkEnd w:id="2"/>
      <w:r w:rsidRPr="00120CCC">
        <w:t>Unit Descriptor</w:t>
      </w:r>
    </w:p>
    <w:p w:rsidR="00000000" w:rsidRPr="00120CCC" w:rsidP="00120CCC">
      <w:pPr>
        <w:pStyle w:val="BodyText"/>
      </w:pPr>
      <w:r w:rsidRPr="00120CCC">
        <w:t>This unit covers risk assessment, monitoring of situations/environments/behaviours, and analysis of information to assess compliance with legislation</w:t>
      </w:r>
      <w:r w:rsidRPr="00120CCC">
        <w:t xml:space="preserve"> and/or standards. It includes monitoring areas under own jurisdiction, receiving or identifying allegations of non-compliance, and conducting research to determine levels of compliance.</w:t>
      </w:r>
    </w:p>
    <w:p w:rsidR="00000000" w:rsidRPr="00120CCC" w:rsidP="00120CCC">
      <w:pPr>
        <w:pStyle w:val="BodyText"/>
      </w:pPr>
      <w:r w:rsidRPr="00120CCC">
        <w:t>In practice, assessing compliance may overlap with other generalist o</w:t>
      </w:r>
      <w:r w:rsidRPr="00120CCC">
        <w:t xml:space="preserve">r specialist public sector work activities such as acting ethically, exercising regulatory powers, promoting compliance, acting on non-compliance. </w:t>
      </w:r>
    </w:p>
    <w:p w:rsidR="000976BD" w:rsidP="00120CCC">
      <w:pPr>
        <w:pStyle w:val="BodyText"/>
      </w:pPr>
      <w:r w:rsidRPr="00120CCC">
        <w:t>No licensing, legislative, regulatory or certification requirements apply to this unit at the time of endors</w:t>
      </w:r>
      <w:r w:rsidRPr="00120CCC">
        <w:t>ement.</w:t>
      </w:r>
    </w:p>
    <w:p w:rsidR="000976BD" w:rsidP="00120CCC">
      <w:pPr>
        <w:pStyle w:val="BodyText"/>
      </w:pPr>
    </w:p>
    <w:p w:rsidR="00000000" w:rsidRPr="00120CCC" w:rsidP="00120CCC">
      <w:pPr>
        <w:pStyle w:val="Heading1"/>
      </w:pPr>
      <w:bookmarkStart w:id="3" w:name="O_498173"/>
      <w:bookmarkEnd w:id="3"/>
      <w:r w:rsidRPr="00120CCC">
        <w:t>Application of the Unit</w:t>
      </w:r>
    </w:p>
    <w:p w:rsidR="00000000" w:rsidRPr="00120CCC" w:rsidP="00120CCC">
      <w:pPr>
        <w:pStyle w:val="BodyText"/>
      </w:pPr>
      <w:r w:rsidRPr="00120CCC">
        <w:t>Not applicable.</w:t>
      </w:r>
    </w:p>
    <w:p w:rsidR="00000000" w:rsidRPr="00120CCC" w:rsidP="00120CCC">
      <w:pPr>
        <w:pStyle w:val="AllowPageBreak"/>
      </w:pPr>
    </w:p>
    <w:p w:rsidR="00000000" w:rsidRPr="00120CCC" w:rsidP="00120CCC">
      <w:pPr>
        <w:pStyle w:val="Heading1"/>
      </w:pPr>
      <w:bookmarkStart w:id="4" w:name="O_498164"/>
      <w:bookmarkEnd w:id="4"/>
      <w:r w:rsidRPr="00120CCC">
        <w:t>Licensing/Regulatory Information</w:t>
      </w:r>
    </w:p>
    <w:p w:rsidR="00000000" w:rsidRPr="00120CCC" w:rsidP="00120CCC">
      <w:pPr>
        <w:pStyle w:val="BodyText"/>
      </w:pPr>
      <w:r w:rsidRPr="00120CCC">
        <w:t>Not applicable.</w:t>
      </w:r>
    </w:p>
    <w:p w:rsidR="00000000" w:rsidRPr="00120CCC" w:rsidP="00120CCC">
      <w:pPr>
        <w:pStyle w:val="AllowPageBreak"/>
      </w:pPr>
    </w:p>
    <w:p w:rsidR="00000000" w:rsidRPr="00120CCC" w:rsidP="00120CCC">
      <w:pPr>
        <w:pStyle w:val="Heading1"/>
      </w:pPr>
      <w:bookmarkStart w:id="5" w:name="O_498162"/>
      <w:bookmarkEnd w:id="5"/>
      <w:r w:rsidRPr="00120CCC">
        <w:t>Pre-Requisites</w:t>
      </w:r>
    </w:p>
    <w:p w:rsidR="00000000" w:rsidRPr="00120CCC" w:rsidP="00120CCC">
      <w:pPr>
        <w:pStyle w:val="BodyText"/>
      </w:pPr>
      <w:r w:rsidRPr="00120CCC">
        <w:t>Not applicable.</w:t>
      </w:r>
    </w:p>
    <w:p w:rsidR="00000000" w:rsidRPr="00120CCC" w:rsidP="00120CCC">
      <w:pPr>
        <w:pStyle w:val="AllowPageBreak"/>
      </w:pPr>
    </w:p>
    <w:p w:rsidR="00000000" w:rsidRPr="00120CCC" w:rsidP="00120CCC">
      <w:pPr>
        <w:pStyle w:val="Heading1"/>
      </w:pPr>
      <w:bookmarkStart w:id="6" w:name="O_498169"/>
      <w:bookmarkEnd w:id="6"/>
      <w:r w:rsidRPr="00120CCC">
        <w:t>Employability Skills Information</w:t>
      </w:r>
    </w:p>
    <w:p w:rsidR="00000000" w:rsidRPr="00120CCC" w:rsidP="00120CCC">
      <w:pPr>
        <w:pStyle w:val="BodyText"/>
      </w:pPr>
      <w:r w:rsidRPr="00120CCC">
        <w:t>This unit contains employability skills.</w:t>
      </w:r>
    </w:p>
    <w:p w:rsidR="00000000" w:rsidRPr="00120CCC" w:rsidP="00120CCC">
      <w:pPr>
        <w:pStyle w:val="AllowPageBreak"/>
      </w:pPr>
    </w:p>
    <w:p w:rsidR="00000000" w:rsidRPr="00120CCC" w:rsidP="00120CCC">
      <w:pPr>
        <w:pStyle w:val="Heading1"/>
      </w:pPr>
      <w:bookmarkStart w:id="7" w:name="O_498170"/>
      <w:bookmarkEnd w:id="7"/>
      <w:r w:rsidRPr="00120CCC">
        <w:t>Elements and Performance Criteria Pre-Content</w:t>
      </w:r>
    </w:p>
    <w:tbl>
      <w:tblPr>
        <w:tblW w:w="9322" w:type="dxa"/>
        <w:tblLayout w:type="fixed"/>
        <w:tblCellMar>
          <w:left w:w="62" w:type="dxa"/>
          <w:right w:w="62" w:type="dxa"/>
        </w:tblCellMar>
        <w:tblLook w:val="0000"/>
      </w:tblPr>
      <w:tblGrid>
        <w:gridCol w:w="2660"/>
        <w:gridCol w:w="6662"/>
      </w:tblGrid>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t>Together, performance criteria specify the requirements for competent performance. Text i</w:t>
            </w:r>
            <w:r w:rsidRPr="00120CCC">
              <w:t xml:space="preserve">n </w:t>
            </w:r>
            <w:r w:rsidRPr="00120CCC">
              <w:rPr>
                <w:rStyle w:val="BoldandItalics"/>
              </w:rPr>
              <w:t xml:space="preserve">bold italics </w:t>
            </w:r>
            <w:r w:rsidRPr="00120CCC">
              <w:t>is explained in the Range Statement following.</w:t>
            </w:r>
          </w:p>
        </w:tc>
      </w:tr>
    </w:tbl>
    <w:p w:rsidR="00000000" w:rsidRPr="00120CCC" w:rsidP="00120CCC">
      <w:pPr>
        <w:pStyle w:val="BodyText"/>
      </w:pPr>
    </w:p>
    <w:p w:rsidR="00000000" w:rsidRPr="00120CCC" w:rsidP="00120CCC">
      <w:pPr>
        <w:pStyle w:val="AllowPageBreak"/>
      </w:pPr>
    </w:p>
    <w:p w:rsidR="00000000" w:rsidRPr="00120CCC" w:rsidP="00120CCC">
      <w:pPr>
        <w:pStyle w:val="Heading1"/>
      </w:pPr>
      <w:bookmarkStart w:id="8" w:name="O_498171"/>
      <w:bookmarkEnd w:id="8"/>
      <w:r w:rsidRPr="00120CCC">
        <w:t>Elements and Performance Criteria</w:t>
      </w:r>
    </w:p>
    <w:tbl>
      <w:tblPr>
        <w:tblW w:w="9322" w:type="dxa"/>
        <w:tblLayout w:type="fixed"/>
        <w:tblCellMar>
          <w:left w:w="62" w:type="dxa"/>
          <w:right w:w="62" w:type="dxa"/>
        </w:tblCellMar>
        <w:tblLook w:val="0000"/>
      </w:tblPr>
      <w:tblGrid>
        <w:gridCol w:w="2660"/>
        <w:gridCol w:w="6662"/>
      </w:tblGrid>
      <w:tr w:rsidTr="000976B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SpecialBold"/>
              </w:rPr>
              <w:t>PERFORMANCE CRITERIA</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List"/>
              <w:rPr>
                <w:lang w:val="en-NZ"/>
              </w:rPr>
            </w:pPr>
            <w:r w:rsidRPr="00120CCC">
              <w:rPr>
                <w:rStyle w:val="SpecialBold"/>
              </w:rPr>
              <w:t>1</w:t>
            </w:r>
            <w:r w:rsidRPr="00120CCC">
              <w:t>.</w:t>
            </w:r>
            <w:r w:rsidRPr="00120CCC">
              <w:tab/>
            </w:r>
            <w:r w:rsidRPr="00120CCC">
              <w:rPr>
                <w:rStyle w:val="SpecialBold"/>
              </w:rPr>
              <w:t>Monitor areas under jurisdiction</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
            </w:pPr>
            <w:r w:rsidRPr="00120CCC">
              <w:t>1.1</w:t>
            </w:r>
            <w:r w:rsidRPr="00120CCC">
              <w:tab/>
            </w:r>
            <w:r w:rsidRPr="00120CCC">
              <w:rPr>
                <w:rStyle w:val="BoldandItalics"/>
              </w:rPr>
              <w:t xml:space="preserve">Risk assessment </w:t>
            </w:r>
            <w:r w:rsidRPr="00120CCC">
              <w:t>analysis is conducted to identify and priorit</w:t>
            </w:r>
            <w:r w:rsidRPr="00120CCC">
              <w:t xml:space="preserve">ise areas for </w:t>
            </w:r>
            <w:r w:rsidRPr="00120CCC">
              <w:rPr>
                <w:rStyle w:val="BoldandItalics"/>
              </w:rPr>
              <w:t xml:space="preserve">monitoring </w:t>
            </w:r>
            <w:r w:rsidRPr="00120CCC">
              <w:t>and to identify methodology.</w:t>
            </w:r>
          </w:p>
          <w:p w:rsidR="00000000" w:rsidRPr="00120CCC" w:rsidP="00120CCC">
            <w:pPr>
              <w:pStyle w:val="List"/>
            </w:pPr>
            <w:r w:rsidRPr="00120CCC">
              <w:t>1.2</w:t>
            </w:r>
            <w:r w:rsidRPr="00120CCC">
              <w:tab/>
              <w:t xml:space="preserve">Monitoring is conducted in accordance with </w:t>
            </w:r>
            <w:r w:rsidRPr="00120CCC">
              <w:rPr>
                <w:rStyle w:val="BoldandItalics"/>
              </w:rPr>
              <w:t>legislation, policy and procedures</w:t>
            </w:r>
            <w:r w:rsidRPr="00120CCC">
              <w:t>.</w:t>
            </w:r>
          </w:p>
          <w:p w:rsidR="00000000" w:rsidRPr="00120CCC" w:rsidP="00120CCC">
            <w:pPr>
              <w:pStyle w:val="List"/>
            </w:pPr>
            <w:r w:rsidRPr="00120CCC">
              <w:t>1.3</w:t>
            </w:r>
            <w:r w:rsidRPr="00120CCC">
              <w:tab/>
              <w:t>Inspections and/or compliance audits are conducted in accordance with organisational policy and procedures.</w:t>
            </w:r>
          </w:p>
          <w:p w:rsidR="00000000" w:rsidRPr="00120CCC" w:rsidP="00120CCC">
            <w:pPr>
              <w:pStyle w:val="List"/>
            </w:pPr>
            <w:r w:rsidRPr="00120CCC">
              <w:t>1.4</w:t>
            </w:r>
            <w:r w:rsidRPr="00120CCC">
              <w:tab/>
            </w:r>
            <w:r w:rsidRPr="00120CCC">
              <w:rPr>
                <w:rStyle w:val="BoldandItalics"/>
              </w:rPr>
              <w:t>Spe</w:t>
            </w:r>
            <w:r w:rsidRPr="00120CCC">
              <w:rPr>
                <w:rStyle w:val="BoldandItalics"/>
              </w:rPr>
              <w:t xml:space="preserve">cialist equipment </w:t>
            </w:r>
            <w:r w:rsidRPr="00120CCC">
              <w:t>is utilised when required, in accordance with legislation, policy and procedures.</w:t>
            </w:r>
          </w:p>
          <w:p w:rsidR="00000000" w:rsidRPr="00120CCC" w:rsidP="00120CCC">
            <w:pPr>
              <w:pStyle w:val="List"/>
            </w:pPr>
            <w:r w:rsidRPr="00120CCC">
              <w:t>1.5</w:t>
            </w:r>
            <w:r w:rsidRPr="00120CCC">
              <w:tab/>
              <w:t>Safety of self and others is protected in accordance with legislation, policy and procedures.</w:t>
            </w:r>
          </w:p>
          <w:p w:rsidR="00000000" w:rsidP="00120CCC">
            <w:pPr>
              <w:pStyle w:val="List"/>
              <w:rPr>
                <w:lang w:val="en-NZ"/>
              </w:rPr>
            </w:pPr>
            <w:r w:rsidRPr="00120CCC">
              <w:t>1.6</w:t>
            </w:r>
            <w:r w:rsidRPr="00120CCC">
              <w:tab/>
              <w:t>Cooperation with</w:t>
            </w:r>
            <w:r w:rsidRPr="00120CCC">
              <w:rPr>
                <w:rStyle w:val="BoldandItalics"/>
              </w:rPr>
              <w:t xml:space="preserve"> other organisations and jurisdictions</w:t>
            </w:r>
            <w:r w:rsidRPr="00120CCC">
              <w:t xml:space="preserve"> is facilitated in accordance with organisational policy and procedures.</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List"/>
              <w:rPr>
                <w:lang w:val="en-NZ"/>
              </w:rPr>
            </w:pPr>
            <w:r w:rsidRPr="00120CCC">
              <w:rPr>
                <w:rStyle w:val="SpecialBold"/>
              </w:rPr>
              <w:t>2</w:t>
            </w:r>
            <w:r w:rsidRPr="00120CCC">
              <w:t>.</w:t>
            </w:r>
            <w:r w:rsidRPr="00120CCC">
              <w:tab/>
            </w:r>
            <w:r w:rsidRPr="00120CCC">
              <w:rPr>
                <w:rStyle w:val="SpecialBold"/>
              </w:rPr>
              <w:t>Receive or identify allegation of non-compliance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
            </w:pPr>
            <w:r w:rsidRPr="00120CCC">
              <w:t>2.1</w:t>
            </w:r>
            <w:r w:rsidRPr="00120CCC">
              <w:tab/>
            </w:r>
            <w:r w:rsidRPr="00120CCC">
              <w:rPr>
                <w:rStyle w:val="BoldandItalics"/>
              </w:rPr>
              <w:t xml:space="preserve">Referrals </w:t>
            </w:r>
            <w:r w:rsidRPr="00120CCC">
              <w:t>relating to non-compliance are recorded in accordance with legislation, policy and procedures.</w:t>
            </w:r>
          </w:p>
          <w:p w:rsidR="00000000" w:rsidRPr="00120CCC" w:rsidP="00120CCC">
            <w:pPr>
              <w:pStyle w:val="List"/>
            </w:pPr>
            <w:r w:rsidRPr="00120CCC">
              <w:t>2.2</w:t>
            </w:r>
            <w:r w:rsidRPr="00120CCC">
              <w:tab/>
              <w:t>Possible and pote</w:t>
            </w:r>
            <w:r w:rsidRPr="00120CCC">
              <w:t>ntial breaches are responded to in a timely manner in accordance with legislation, policy and procedures.</w:t>
            </w:r>
          </w:p>
          <w:p w:rsidR="00000000" w:rsidRPr="00120CCC" w:rsidP="00120CCC">
            <w:pPr>
              <w:pStyle w:val="List"/>
            </w:pPr>
            <w:r w:rsidRPr="00120CCC">
              <w:t>2.3</w:t>
            </w:r>
            <w:r w:rsidRPr="00120CCC">
              <w:tab/>
              <w:t>Preliminary information is assessed to establish the offence and is validated to confirm the need for action in accordance with organisational pol</w:t>
            </w:r>
            <w:r w:rsidRPr="00120CCC">
              <w:t>icy and procedures.</w:t>
            </w:r>
          </w:p>
          <w:p w:rsidR="00000000" w:rsidP="00120CCC">
            <w:pPr>
              <w:pStyle w:val="List"/>
              <w:rPr>
                <w:lang w:val="en-NZ"/>
              </w:rPr>
            </w:pPr>
            <w:r w:rsidRPr="00120CCC">
              <w:t>2.4</w:t>
            </w:r>
            <w:r w:rsidRPr="00120CCC">
              <w:tab/>
              <w:t>Complainants are handled in accordance with organisational guidelines which may indicate referral to more senior personnel.</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List"/>
              <w:rPr>
                <w:lang w:val="en-NZ"/>
              </w:rPr>
            </w:pPr>
            <w:r w:rsidRPr="00120CCC">
              <w:rPr>
                <w:rStyle w:val="SpecialBold"/>
              </w:rPr>
              <w:t>3</w:t>
            </w:r>
            <w:r w:rsidRPr="00120CCC">
              <w:t>.</w:t>
            </w:r>
            <w:r w:rsidRPr="00120CCC">
              <w:tab/>
            </w:r>
            <w:r w:rsidRPr="00120CCC">
              <w:rPr>
                <w:rStyle w:val="SpecialBold"/>
              </w:rPr>
              <w:t>Determine levels of compliance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
            </w:pPr>
            <w:r w:rsidRPr="00120CCC">
              <w:t>3.1</w:t>
            </w:r>
            <w:r w:rsidRPr="00120CCC">
              <w:tab/>
              <w:t>Timely consultation is undertaken as necessary to obtain advice on me</w:t>
            </w:r>
            <w:r w:rsidRPr="00120CCC">
              <w:t>thodology to adopt and prevent gaps occurring in evidence collection.</w:t>
            </w:r>
          </w:p>
          <w:p w:rsidR="00000000" w:rsidRPr="00120CCC" w:rsidP="00120CCC">
            <w:pPr>
              <w:pStyle w:val="List"/>
            </w:pPr>
            <w:r w:rsidRPr="00120CCC">
              <w:t>3.2</w:t>
            </w:r>
            <w:r w:rsidRPr="00120CCC">
              <w:tab/>
            </w:r>
            <w:r w:rsidRPr="00120CCC">
              <w:rPr>
                <w:rStyle w:val="BoldandItalics"/>
              </w:rPr>
              <w:t xml:space="preserve">Evidence collection methodology </w:t>
            </w:r>
            <w:r w:rsidRPr="00120CCC">
              <w:t>is selected according to the purpose, situation and operational guidelines.</w:t>
            </w:r>
          </w:p>
          <w:p w:rsidR="00000000" w:rsidRPr="00120CCC" w:rsidP="00120CCC">
            <w:pPr>
              <w:pStyle w:val="List"/>
            </w:pPr>
            <w:r w:rsidRPr="00120CCC">
              <w:t>3.3</w:t>
            </w:r>
            <w:r w:rsidRPr="00120CCC">
              <w:tab/>
            </w:r>
            <w:r w:rsidRPr="00120CCC">
              <w:t>Information/samples are collected, analysed and secured in accordance with legislation, policy and procedures.</w:t>
            </w:r>
          </w:p>
          <w:p w:rsidR="00000000" w:rsidRPr="00120CCC" w:rsidP="00120CCC">
            <w:pPr>
              <w:pStyle w:val="List"/>
            </w:pPr>
            <w:r w:rsidRPr="00120CCC">
              <w:t>3.4</w:t>
            </w:r>
            <w:r w:rsidRPr="00120CCC">
              <w:tab/>
              <w:t>Information/samples are relevant and sufficient for the purpose identified.</w:t>
            </w:r>
          </w:p>
          <w:p w:rsidR="00000000" w:rsidRPr="00120CCC" w:rsidP="00120CCC">
            <w:pPr>
              <w:pStyle w:val="List"/>
            </w:pPr>
            <w:r w:rsidRPr="00120CCC">
              <w:t>3.5</w:t>
            </w:r>
            <w:r w:rsidRPr="00120CCC">
              <w:tab/>
              <w:t>Assessment is made against the requirements of the legislatio</w:t>
            </w:r>
            <w:r w:rsidRPr="00120CCC">
              <w:t>n and the level of compliance is identified and documented according to legal and organisational requirements.</w:t>
            </w:r>
          </w:p>
          <w:p w:rsidR="00000000" w:rsidRPr="00120CCC" w:rsidP="00120CCC">
            <w:pPr>
              <w:pStyle w:val="List"/>
            </w:pPr>
            <w:r w:rsidRPr="00120CCC">
              <w:t>3.6</w:t>
            </w:r>
            <w:r w:rsidRPr="00120CCC">
              <w:tab/>
              <w:t xml:space="preserve">Further action is determined consistent with the level of compliance and is </w:t>
            </w:r>
            <w:r w:rsidRPr="00120CCC">
              <w:rPr>
                <w:rStyle w:val="BoldandItalics"/>
              </w:rPr>
              <w:t>recorded/reported</w:t>
            </w:r>
            <w:r w:rsidRPr="00120CCC">
              <w:t xml:space="preserve"> in accordance with legislation, policy and proc</w:t>
            </w:r>
            <w:r w:rsidRPr="00120CCC">
              <w:t>edures.</w:t>
            </w:r>
          </w:p>
        </w:tc>
      </w:tr>
    </w:tbl>
    <w:p w:rsidR="00000000" w:rsidRPr="00120CCC" w:rsidP="00120CCC">
      <w:pPr>
        <w:pStyle w:val="BodyText"/>
      </w:pPr>
    </w:p>
    <w:p w:rsidR="00000000" w:rsidRPr="00120CCC" w:rsidP="00120CCC">
      <w:pPr>
        <w:pStyle w:val="AllowPageBreak"/>
      </w:pPr>
    </w:p>
    <w:p w:rsidR="00000000" w:rsidRPr="00120CCC" w:rsidP="00120CCC">
      <w:pPr>
        <w:pStyle w:val="Heading1"/>
      </w:pPr>
      <w:bookmarkStart w:id="9" w:name="O_498168"/>
      <w:bookmarkEnd w:id="9"/>
      <w:r w:rsidRPr="00120CCC">
        <w:t>Required Skills and Knowledge</w:t>
      </w:r>
    </w:p>
    <w:tbl>
      <w:tblPr>
        <w:tblW w:w="0" w:type="auto"/>
        <w:tblLayout w:type="fixed"/>
        <w:tblCellMar>
          <w:left w:w="62" w:type="dxa"/>
          <w:right w:w="62" w:type="dxa"/>
        </w:tblCellMar>
        <w:tblLook w:val="0000"/>
      </w:tblPr>
      <w:tblGrid>
        <w:gridCol w:w="8553"/>
      </w:tblGrid>
      <w:tr w:rsidTr="000976B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t>This section describes the essential skills and knowledge and their level, required for this unit.</w:t>
            </w:r>
          </w:p>
        </w:tc>
      </w:tr>
      <w:tr w:rsidTr="000976B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rPr>
                <w:rStyle w:val="SpecialBold"/>
              </w:rPr>
              <w:t>Skill requirements</w:t>
            </w:r>
          </w:p>
          <w:p w:rsidR="00000000" w:rsidRPr="00120CCC" w:rsidP="00120CCC">
            <w:pPr>
              <w:pStyle w:val="BodyText"/>
            </w:pPr>
            <w:r w:rsidRPr="00120CCC">
              <w:t>Look for evidence that confirms skills in:</w:t>
            </w:r>
          </w:p>
          <w:p w:rsidR="00000000" w:rsidRPr="00120CCC" w:rsidP="00120CCC">
            <w:pPr>
              <w:pStyle w:val="ListBullet2"/>
            </w:pPr>
            <w:r w:rsidRPr="00120CCC">
              <w:t>undertaking research, analysis and p</w:t>
            </w:r>
            <w:r w:rsidRPr="00120CCC">
              <w:t>roblem solving in the context of assessing compliance</w:t>
            </w:r>
          </w:p>
          <w:p w:rsidR="00000000" w:rsidRPr="00120CCC" w:rsidP="00120CCC">
            <w:pPr>
              <w:pStyle w:val="ListBullet2"/>
            </w:pPr>
            <w:r w:rsidRPr="00120CCC">
              <w:t>applying regulations and codes of practice</w:t>
            </w:r>
          </w:p>
          <w:p w:rsidR="00000000" w:rsidRPr="00120CCC" w:rsidP="00120CCC">
            <w:pPr>
              <w:pStyle w:val="ListBullet2"/>
            </w:pPr>
            <w:r w:rsidRPr="00120CCC">
              <w:t>using information technology for data analysis, recording and reporting</w:t>
            </w:r>
          </w:p>
          <w:p w:rsidR="00000000" w:rsidRPr="00120CCC" w:rsidP="00120CCC">
            <w:pPr>
              <w:pStyle w:val="ListBullet2"/>
            </w:pPr>
            <w:r w:rsidRPr="00120CCC">
              <w:t>com</w:t>
            </w:r>
            <w:r w:rsidRPr="00120CCC">
              <w:t>municating including questioning and negotiating of meaning in sometimes difficult situations</w:t>
            </w:r>
          </w:p>
          <w:p w:rsidR="00000000" w:rsidRPr="00120CCC" w:rsidP="00120CCC">
            <w:pPr>
              <w:pStyle w:val="ListBullet2"/>
            </w:pPr>
            <w:r w:rsidRPr="00120CCC">
              <w:t>responding to diversity, including gender and disability</w:t>
            </w:r>
          </w:p>
          <w:p w:rsidR="00000000" w:rsidRPr="00120CCC" w:rsidP="00120CCC">
            <w:pPr>
              <w:pStyle w:val="ListBullet2"/>
            </w:pPr>
            <w:r w:rsidRPr="00120CCC">
              <w:t>reading and applying complex information from legislation</w:t>
            </w:r>
          </w:p>
          <w:p w:rsidR="00000000" w:rsidP="00120CCC">
            <w:pPr>
              <w:pStyle w:val="ListBullet2"/>
              <w:rPr>
                <w:lang w:val="en-NZ"/>
              </w:rPr>
            </w:pPr>
            <w:r w:rsidRPr="00120CCC">
              <w:t>applying public sector legislation such as occu</w:t>
            </w:r>
            <w:r w:rsidRPr="00120CCC">
              <w:t xml:space="preserve">pational health and safety and environmental and sustainability procedures in the context of assessing client compliance </w:t>
            </w:r>
          </w:p>
        </w:tc>
      </w:tr>
      <w:tr w:rsidTr="000976B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rPr>
                <w:rStyle w:val="SpecialBold"/>
              </w:rPr>
              <w:t>Knowledge requirements</w:t>
            </w:r>
          </w:p>
          <w:p w:rsidR="00000000" w:rsidRPr="00120CCC" w:rsidP="00120CCC">
            <w:pPr>
              <w:pStyle w:val="BodyText"/>
            </w:pPr>
            <w:r w:rsidRPr="00120CCC">
              <w:t>Look for evidence that confirms knowledge and understanding of:</w:t>
            </w:r>
          </w:p>
          <w:p w:rsidR="00000000" w:rsidRPr="00120CCC" w:rsidP="00120CCC">
            <w:pPr>
              <w:pStyle w:val="ListBullet2"/>
            </w:pPr>
            <w:r w:rsidRPr="00120CCC">
              <w:t>legislation, standards, policies and legal pr</w:t>
            </w:r>
            <w:r w:rsidRPr="00120CCC">
              <w:t>ecedents</w:t>
            </w:r>
          </w:p>
          <w:p w:rsidR="00000000" w:rsidRPr="00120CCC" w:rsidP="00120CCC">
            <w:pPr>
              <w:pStyle w:val="ListBullet2"/>
            </w:pPr>
            <w:r w:rsidRPr="00120CCC">
              <w:t>organisational procedures, guidelines and protocols</w:t>
            </w:r>
          </w:p>
          <w:p w:rsidR="00000000" w:rsidRPr="00120CCC" w:rsidP="00120CCC">
            <w:pPr>
              <w:pStyle w:val="ListBullet2"/>
            </w:pPr>
            <w:r w:rsidRPr="00120CCC">
              <w:t>knowledge of own and others' jurisdictions</w:t>
            </w:r>
          </w:p>
          <w:p w:rsidR="00000000" w:rsidRPr="00120CCC" w:rsidP="00120CCC">
            <w:pPr>
              <w:pStyle w:val="ListBullet2"/>
            </w:pPr>
            <w:r w:rsidRPr="00120CCC">
              <w:t>risk management in the context of compliance assessment</w:t>
            </w:r>
          </w:p>
          <w:p w:rsidR="00000000" w:rsidRPr="00120CCC" w:rsidP="00120CCC">
            <w:pPr>
              <w:pStyle w:val="ListBullet2"/>
            </w:pPr>
            <w:r w:rsidRPr="00120CCC">
              <w:t>application of audit tools</w:t>
            </w:r>
          </w:p>
          <w:p w:rsidR="00000000" w:rsidRPr="00120CCC" w:rsidP="00120CCC">
            <w:pPr>
              <w:pStyle w:val="ListBullet2"/>
            </w:pPr>
            <w:r w:rsidRPr="00120CCC">
              <w:t>research and sampling methodologies</w:t>
            </w:r>
          </w:p>
          <w:p w:rsidR="00000000" w:rsidRPr="00120CCC" w:rsidP="00120CCC">
            <w:pPr>
              <w:pStyle w:val="ListBullet2"/>
            </w:pPr>
            <w:r w:rsidRPr="00120CCC">
              <w:t>security storage of evidence/information</w:t>
            </w:r>
          </w:p>
          <w:p w:rsidR="00000000" w:rsidRPr="00120CCC" w:rsidP="00120CCC">
            <w:pPr>
              <w:pStyle w:val="ListBullet2"/>
            </w:pPr>
            <w:r w:rsidRPr="00120CCC">
              <w:t>procedures for recording allegations/complaints</w:t>
            </w:r>
          </w:p>
          <w:p w:rsidR="00000000" w:rsidRPr="00120CCC" w:rsidP="00120CCC">
            <w:pPr>
              <w:pStyle w:val="ListBullet2"/>
            </w:pPr>
            <w:r w:rsidRPr="00120CCC">
              <w:t>specialist equipment</w:t>
            </w:r>
          </w:p>
          <w:p w:rsidR="00000000" w:rsidRPr="00120CCC" w:rsidP="00120CCC">
            <w:pPr>
              <w:pStyle w:val="ListBullet2"/>
            </w:pPr>
            <w:r w:rsidRPr="00120CCC">
              <w:t>equal employment opportunity, equity and diversity principles</w:t>
            </w:r>
          </w:p>
          <w:p w:rsidR="00000000" w:rsidRPr="00120CCC" w:rsidP="00120CCC">
            <w:pPr>
              <w:pStyle w:val="ListBullet2"/>
            </w:pPr>
            <w:r w:rsidRPr="00120CCC">
              <w:t>public sector legislation such as occupational health and safety and environment and</w:t>
            </w:r>
            <w:r w:rsidRPr="00120CCC">
              <w:t xml:space="preserve"> sustainability relating to the assessment of client compliance</w:t>
            </w:r>
          </w:p>
        </w:tc>
      </w:tr>
    </w:tbl>
    <w:p w:rsidR="00000000" w:rsidRPr="00120CCC" w:rsidP="00120CCC">
      <w:pPr>
        <w:pStyle w:val="BodyText"/>
      </w:pPr>
    </w:p>
    <w:p w:rsidR="00000000" w:rsidRPr="00120CCC" w:rsidP="00120CCC">
      <w:pPr>
        <w:pStyle w:val="AllowPageBreak"/>
      </w:pPr>
    </w:p>
    <w:p w:rsidR="00000000" w:rsidRPr="00120CCC" w:rsidP="00120CCC">
      <w:pPr>
        <w:pStyle w:val="Heading1"/>
      </w:pPr>
      <w:bookmarkStart w:id="10" w:name="O_498165"/>
      <w:bookmarkEnd w:id="10"/>
      <w:r w:rsidRPr="00120CCC">
        <w:t>Evidence Guide</w:t>
      </w:r>
    </w:p>
    <w:tbl>
      <w:tblPr>
        <w:tblW w:w="9322" w:type="dxa"/>
        <w:tblLayout w:type="fixed"/>
        <w:tblCellMar>
          <w:left w:w="62" w:type="dxa"/>
          <w:right w:w="62" w:type="dxa"/>
        </w:tblCellMar>
        <w:tblLook w:val="0000"/>
      </w:tblPr>
      <w:tblGrid>
        <w:gridCol w:w="2660"/>
        <w:gridCol w:w="6662"/>
      </w:tblGrid>
      <w:tr w:rsidTr="000976B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t>The Evidence Guide specifies the evidence required to demonstrate achievement in the unit of competency as a whole. It must be read in conjunction with the Un</w:t>
            </w:r>
            <w:r w:rsidRPr="00120CCC">
              <w:t>it descriptor, Performance Criteria, the Range Statement and the Assessment Guidelines for the Public Sector Training Package.</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rPr>
                <w:rStyle w:val="SpecialBold"/>
              </w:rPr>
              <w:t>Units to be assessed together</w:t>
            </w:r>
            <w:r w:rsidRPr="00120CCC">
              <w:t xml:space="preserve"> </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rPr>
                <w:rStyle w:val="Emphasis"/>
              </w:rPr>
              <w:t>Pre</w:t>
            </w:r>
            <w:r w:rsidRPr="00120CCC">
              <w:t>-</w:t>
            </w:r>
            <w:r w:rsidRPr="00120CCC">
              <w:rPr>
                <w:rStyle w:val="Emphasis"/>
              </w:rPr>
              <w:t>requisite</w:t>
            </w:r>
            <w:r w:rsidRPr="00120CCC">
              <w:t xml:space="preserve"> units that </w:t>
            </w:r>
            <w:r w:rsidRPr="00120CCC">
              <w:rPr>
                <w:rStyle w:val="Underline"/>
              </w:rPr>
              <w:t>must</w:t>
            </w:r>
            <w:r w:rsidRPr="00120CCC">
              <w:t xml:space="preserve"> be achieved </w:t>
            </w:r>
            <w:r w:rsidRPr="00120CCC">
              <w:rPr>
                <w:rStyle w:val="Underline"/>
              </w:rPr>
              <w:t>prior</w:t>
            </w:r>
            <w:r w:rsidRPr="00120CCC">
              <w:t xml:space="preserve"> to this unit:</w:t>
            </w:r>
            <w:r w:rsidRPr="00120CCC">
              <w:rPr>
                <w:rStyle w:val="Emphasis"/>
              </w:rPr>
              <w:t>Nil</w:t>
            </w:r>
          </w:p>
          <w:p w:rsidR="00000000" w:rsidRPr="00120CCC" w:rsidP="00120CCC">
            <w:pPr>
              <w:pStyle w:val="ListBullet2"/>
            </w:pPr>
            <w:r w:rsidRPr="00120CCC">
              <w:rPr>
                <w:rStyle w:val="Emphasis"/>
              </w:rPr>
              <w:t>Co</w:t>
            </w:r>
            <w:r w:rsidRPr="00120CCC">
              <w:t>-</w:t>
            </w:r>
            <w:r w:rsidRPr="00120CCC">
              <w:rPr>
                <w:rStyle w:val="Emphasis"/>
              </w:rPr>
              <w:t>requisite</w:t>
            </w:r>
            <w:r w:rsidRPr="00120CCC">
              <w:t xml:space="preserve"> units that </w:t>
            </w:r>
            <w:r w:rsidRPr="00120CCC">
              <w:rPr>
                <w:rStyle w:val="Underline"/>
              </w:rPr>
              <w:t>must</w:t>
            </w:r>
            <w:r w:rsidRPr="00120CCC">
              <w:t xml:space="preserve"> be assessed </w:t>
            </w:r>
            <w:r w:rsidRPr="00120CCC">
              <w:rPr>
                <w:rStyle w:val="Underline"/>
              </w:rPr>
              <w:t>with</w:t>
            </w:r>
            <w:r w:rsidRPr="00120CCC">
              <w:t xml:space="preserve"> this unit:</w:t>
            </w:r>
            <w:r w:rsidRPr="00120CCC">
              <w:rPr>
                <w:rStyle w:val="Emphasis"/>
              </w:rPr>
              <w:t>Nil</w:t>
            </w:r>
          </w:p>
          <w:p w:rsidR="00000000" w:rsidRPr="00120CCC" w:rsidP="00120CCC">
            <w:pPr>
              <w:pStyle w:val="ListBullet2"/>
            </w:pPr>
            <w:r w:rsidRPr="00120CCC">
              <w:rPr>
                <w:rStyle w:val="Emphasis"/>
              </w:rPr>
              <w:t>Co</w:t>
            </w:r>
            <w:r w:rsidRPr="00120CCC">
              <w:t>-</w:t>
            </w:r>
            <w:r w:rsidRPr="00120CCC">
              <w:rPr>
                <w:rStyle w:val="Emphasis"/>
              </w:rPr>
              <w:t>assessed units</w:t>
            </w:r>
            <w:r w:rsidRPr="00120CCC">
              <w:t xml:space="preserve"> that </w:t>
            </w:r>
            <w:r w:rsidRPr="00120CCC">
              <w:rPr>
                <w:rStyle w:val="Underline"/>
              </w:rPr>
              <w:t>may</w:t>
            </w:r>
            <w:r w:rsidRPr="00120CCC">
              <w:t xml:space="preserve"> be assessed with this unit to increase the efficiency and realism of the assessment process include, but are not limited to:</w:t>
            </w:r>
          </w:p>
          <w:p w:rsidR="00000000" w:rsidRPr="00120CCC" w:rsidP="00120CCC">
            <w:pPr>
              <w:pStyle w:val="ListBullet3"/>
            </w:pPr>
            <w:r w:rsidRPr="00120CCC">
              <w:t>PSPETHC401A Uphold and support the values and principles of public serv</w:t>
            </w:r>
            <w:r w:rsidRPr="00120CCC">
              <w:t xml:space="preserve">ice </w:t>
            </w:r>
          </w:p>
          <w:p w:rsidR="00000000" w:rsidRPr="00120CCC" w:rsidP="00120CCC">
            <w:pPr>
              <w:pStyle w:val="ListBullet3"/>
            </w:pPr>
            <w:r w:rsidRPr="00120CCC">
              <w:t xml:space="preserve">PSPGOV408A Value diversity </w:t>
            </w:r>
          </w:p>
          <w:p w:rsidR="00000000" w:rsidRPr="00120CCC" w:rsidP="00120CCC">
            <w:pPr>
              <w:pStyle w:val="ListBullet3"/>
            </w:pPr>
            <w:r w:rsidRPr="00120CCC">
              <w:t>PSPGOV422A Apply government processes</w:t>
            </w:r>
          </w:p>
          <w:p w:rsidR="00000000" w:rsidRPr="00120CCC" w:rsidP="00120CCC">
            <w:pPr>
              <w:pStyle w:val="ListBullet3"/>
            </w:pPr>
            <w:r w:rsidRPr="00120CCC">
              <w:t>PSPLEGN401A Encourage compliance with legislation in the public sector</w:t>
            </w:r>
          </w:p>
          <w:p w:rsidR="00000000" w:rsidRPr="00120CCC" w:rsidP="00120CCC">
            <w:pPr>
              <w:pStyle w:val="ListBullet3"/>
            </w:pPr>
            <w:r w:rsidRPr="00120CCC">
              <w:t>PSPREG401C Exercise regulatory powers</w:t>
            </w:r>
          </w:p>
          <w:p w:rsidR="00000000" w:rsidRPr="00120CCC" w:rsidP="00120CCC">
            <w:pPr>
              <w:pStyle w:val="ListBullet3"/>
            </w:pPr>
            <w:r w:rsidRPr="00120CCC">
              <w:t>PSPREG402C Promote client compliance</w:t>
            </w:r>
          </w:p>
          <w:p w:rsidR="00000000" w:rsidP="00120CCC">
            <w:pPr>
              <w:pStyle w:val="ListBullet3"/>
              <w:rPr>
                <w:lang w:val="en-NZ"/>
              </w:rPr>
            </w:pPr>
            <w:r w:rsidRPr="00120CCC">
              <w:t>PSPREG405B Act on non-compliance</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t>In addition to integrated demonstration of the elements and their related performance criteria, look for evidence that confirms:</w:t>
            </w:r>
          </w:p>
          <w:p w:rsidR="00000000" w:rsidRPr="00120CCC" w:rsidP="00120CCC">
            <w:pPr>
              <w:pStyle w:val="ListBullet2"/>
            </w:pPr>
            <w:r w:rsidRPr="00120CCC">
              <w:t xml:space="preserve">the knowledge requirements of this unit </w:t>
            </w:r>
          </w:p>
          <w:p w:rsidR="00000000" w:rsidRPr="00120CCC" w:rsidP="00120CCC">
            <w:pPr>
              <w:pStyle w:val="ListBullet2"/>
            </w:pPr>
            <w:r w:rsidRPr="00120CCC">
              <w:t>the skill requirements of this unit</w:t>
            </w:r>
          </w:p>
          <w:p w:rsidR="00000000" w:rsidRPr="00120CCC" w:rsidP="00120CCC">
            <w:pPr>
              <w:pStyle w:val="ListBullet2"/>
            </w:pPr>
            <w:r w:rsidRPr="00120CCC">
              <w:t>application of the Employability Skills as they relate to this unit (see Employability Summaries in Qualifications Framework)</w:t>
            </w:r>
          </w:p>
          <w:p w:rsidR="00000000" w:rsidP="00120CCC">
            <w:pPr>
              <w:pStyle w:val="ListBullet2"/>
              <w:rPr>
                <w:lang w:val="en-NZ"/>
              </w:rPr>
            </w:pPr>
            <w:r w:rsidRPr="00120CCC">
              <w:t>assessment of compliance in a range of (3 or more) contexts (or occasions, over time)</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t>These resources include:</w:t>
            </w:r>
          </w:p>
          <w:p w:rsidR="00000000" w:rsidRPr="00120CCC" w:rsidP="00120CCC">
            <w:pPr>
              <w:pStyle w:val="ListBullet2"/>
            </w:pPr>
            <w:r w:rsidRPr="00120CCC">
              <w:t>legislation, regulations, policy, guidelines and standards</w:t>
            </w:r>
          </w:p>
          <w:p w:rsidR="00000000" w:rsidRPr="00120CCC" w:rsidP="00120CCC">
            <w:pPr>
              <w:pStyle w:val="ListBullet2"/>
            </w:pPr>
            <w:r w:rsidRPr="00120CCC">
              <w:t xml:space="preserve">public sector values and codes of conduct </w:t>
            </w:r>
          </w:p>
          <w:p w:rsidR="00000000" w:rsidRPr="00120CCC" w:rsidP="00120CCC">
            <w:pPr>
              <w:pStyle w:val="ListBullet2"/>
            </w:pPr>
            <w:r w:rsidRPr="00120CCC">
              <w:t>evidence gathering methodology</w:t>
            </w:r>
          </w:p>
          <w:p w:rsidR="00000000" w:rsidP="00120CCC">
            <w:pPr>
              <w:pStyle w:val="ListBullet2"/>
              <w:rPr>
                <w:lang w:val="en-NZ"/>
              </w:rPr>
            </w:pPr>
            <w:r w:rsidRPr="00120CCC">
              <w:t xml:space="preserve">case studies and workplace scenarios to capture the range of situations likely to be encountered </w:t>
            </w:r>
            <w:r w:rsidRPr="00120CCC">
              <w:t>when assessing compliance</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t xml:space="preserve">Valid assessment of this unit requires: </w:t>
            </w:r>
          </w:p>
          <w:p w:rsidR="00000000" w:rsidRPr="00120CCC" w:rsidP="00120CCC">
            <w:pPr>
              <w:pStyle w:val="ListBullet2"/>
            </w:pPr>
            <w:r w:rsidRPr="00120CCC">
              <w:t xml:space="preserve">a workplace environment or one that closely resembles normal work practice and replicates the range of conditions likely to be encountered when assessing </w:t>
            </w:r>
            <w:r w:rsidRPr="00120CCC">
              <w:t>compliance, including coping with difficulties, irregularities and breakdowns in routine</w:t>
            </w:r>
          </w:p>
          <w:p w:rsidR="00000000" w:rsidRPr="00120CCC" w:rsidP="00120CCC">
            <w:pPr>
              <w:pStyle w:val="ListBullet2"/>
            </w:pPr>
            <w:r w:rsidRPr="00120CCC">
              <w:t>assessment of compliance in a range of (3 or more) contexts (or occasions, over time)</w:t>
            </w:r>
          </w:p>
          <w:p w:rsidR="00000000" w:rsidRPr="00120CCC" w:rsidP="00120CCC">
            <w:pPr>
              <w:pStyle w:val="BodyText"/>
            </w:pPr>
            <w:r w:rsidRPr="00120CCC">
              <w:t>Assessment methods should reflect workplace demands, such as literacy, and the needs of particular groups, such as:</w:t>
            </w:r>
          </w:p>
          <w:p w:rsidR="00000000" w:rsidRPr="00120CCC" w:rsidP="00120CCC">
            <w:pPr>
              <w:pStyle w:val="ListBullet2"/>
            </w:pPr>
            <w:r w:rsidRPr="00120CCC">
              <w:t>people with disabilities</w:t>
            </w:r>
          </w:p>
          <w:p w:rsidR="00000000" w:rsidRPr="00120CCC" w:rsidP="00120CCC">
            <w:pPr>
              <w:pStyle w:val="ListBullet2"/>
            </w:pPr>
            <w:r w:rsidRPr="00120CCC">
              <w:t>people from culturally and linguistically diverse backgrounds</w:t>
            </w:r>
          </w:p>
          <w:p w:rsidR="00000000" w:rsidRPr="00120CCC" w:rsidP="00120CCC">
            <w:pPr>
              <w:pStyle w:val="ListBullet2"/>
            </w:pPr>
            <w:r w:rsidRPr="00120CCC">
              <w:t>Aboriginal and Torres Strait Islander people</w:t>
            </w:r>
          </w:p>
          <w:p w:rsidR="00000000" w:rsidRPr="00120CCC" w:rsidP="00120CCC">
            <w:pPr>
              <w:pStyle w:val="ListBullet2"/>
            </w:pPr>
            <w:r w:rsidRPr="00120CCC">
              <w:t>women</w:t>
            </w:r>
          </w:p>
          <w:p w:rsidR="00000000" w:rsidRPr="00120CCC" w:rsidP="00120CCC">
            <w:pPr>
              <w:pStyle w:val="ListBullet2"/>
            </w:pPr>
            <w:r w:rsidRPr="00120CCC">
              <w:t>y</w:t>
            </w:r>
            <w:r w:rsidRPr="00120CCC">
              <w:t>oung people</w:t>
            </w:r>
          </w:p>
          <w:p w:rsidR="00000000" w:rsidRPr="00120CCC" w:rsidP="00120CCC">
            <w:pPr>
              <w:pStyle w:val="ListBullet2"/>
            </w:pPr>
            <w:r w:rsidRPr="00120CCC">
              <w:t>older people</w:t>
            </w:r>
          </w:p>
          <w:p w:rsidR="00000000" w:rsidRPr="00120CCC" w:rsidP="00120CCC">
            <w:pPr>
              <w:pStyle w:val="ListBullet2"/>
            </w:pPr>
            <w:r w:rsidRPr="00120CCC">
              <w:t>people in rural and remote locations</w:t>
            </w:r>
          </w:p>
          <w:p w:rsidR="00000000" w:rsidRPr="00120CCC" w:rsidP="00120CCC">
            <w:pPr>
              <w:pStyle w:val="BodyText"/>
            </w:pPr>
            <w:r w:rsidRPr="00120CCC">
              <w:t xml:space="preserve">Assessment methods suitable for valid and reliable assessment of this competency may include, but are not limited to, a combination of 2 or more of: </w:t>
            </w:r>
          </w:p>
          <w:p w:rsidR="00000000" w:rsidRPr="00120CCC" w:rsidP="00120CCC">
            <w:pPr>
              <w:pStyle w:val="ListBullet2"/>
            </w:pPr>
            <w:r w:rsidRPr="00120CCC">
              <w:t>case studies</w:t>
            </w:r>
          </w:p>
          <w:p w:rsidR="00000000" w:rsidRPr="00120CCC" w:rsidP="00120CCC">
            <w:pPr>
              <w:pStyle w:val="ListBullet2"/>
            </w:pPr>
            <w:r w:rsidRPr="00120CCC">
              <w:t xml:space="preserve">portfolios </w:t>
            </w:r>
          </w:p>
          <w:p w:rsidR="00000000" w:rsidRPr="00120CCC" w:rsidP="00120CCC">
            <w:pPr>
              <w:pStyle w:val="ListBullet2"/>
            </w:pPr>
            <w:r w:rsidRPr="00120CCC">
              <w:t>questioning</w:t>
            </w:r>
          </w:p>
          <w:p w:rsidR="00000000" w:rsidRPr="00120CCC" w:rsidP="00120CCC">
            <w:pPr>
              <w:pStyle w:val="ListBullet2"/>
            </w:pPr>
            <w:r w:rsidRPr="00120CCC">
              <w:t>scenar</w:t>
            </w:r>
            <w:r w:rsidRPr="00120CCC">
              <w:t>ios</w:t>
            </w:r>
          </w:p>
          <w:p w:rsidR="00000000" w:rsidRPr="00120CCC" w:rsidP="00120CCC">
            <w:pPr>
              <w:pStyle w:val="ListBullet2"/>
            </w:pPr>
            <w:r w:rsidRPr="00120CCC">
              <w:t>simulation or role plays</w:t>
            </w:r>
          </w:p>
          <w:p w:rsidR="00000000" w:rsidP="00120CCC">
            <w:pPr>
              <w:pStyle w:val="ListBullet2"/>
              <w:rPr>
                <w:lang w:val="en-NZ"/>
              </w:rPr>
            </w:pPr>
            <w:r w:rsidRPr="00120CCC">
              <w:t xml:space="preserve">authenticated evidence from the workplace and/or training courses   </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BodyText"/>
            </w:pPr>
            <w:r w:rsidRPr="00120CCC">
              <w:t>Evidence must be gathered over time in a range of contexts to ensure the person can achieve the unit outcome and apply the competency in different situations or environments</w:t>
            </w:r>
          </w:p>
        </w:tc>
      </w:tr>
    </w:tbl>
    <w:p w:rsidR="00000000" w:rsidRPr="00120CCC" w:rsidP="00120CCC">
      <w:pPr>
        <w:pStyle w:val="BodyText"/>
      </w:pPr>
    </w:p>
    <w:p w:rsidR="00000000" w:rsidRPr="00120CCC" w:rsidP="00120CCC">
      <w:pPr>
        <w:pStyle w:val="AllowPageBreak"/>
      </w:pPr>
    </w:p>
    <w:p w:rsidR="00000000" w:rsidRPr="00120CCC" w:rsidP="00120CCC">
      <w:pPr>
        <w:pStyle w:val="Heading1"/>
      </w:pPr>
      <w:bookmarkStart w:id="11" w:name="O_498166"/>
      <w:bookmarkEnd w:id="11"/>
      <w:r w:rsidRPr="00120CCC">
        <w:t>Range Statement</w:t>
      </w:r>
    </w:p>
    <w:tbl>
      <w:tblPr>
        <w:tblW w:w="9322" w:type="dxa"/>
        <w:tblLayout w:type="fixed"/>
        <w:tblCellMar>
          <w:left w:w="62" w:type="dxa"/>
          <w:right w:w="62" w:type="dxa"/>
        </w:tblCellMar>
        <w:tblLook w:val="0000"/>
      </w:tblPr>
      <w:tblGrid>
        <w:gridCol w:w="2660"/>
        <w:gridCol w:w="6662"/>
      </w:tblGrid>
      <w:tr w:rsidTr="000976B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t xml:space="preserve">The Range Statement provides information about </w:t>
            </w:r>
            <w:r w:rsidRPr="00120CCC">
              <w:t>the context in which the unit of competency is carried out. The variables cater for differences between States and Territories and the Commonwealth, and between organisations and workplaces. They allow for different work requirements, work practices and kn</w:t>
            </w:r>
            <w:r w:rsidRPr="00120CCC">
              <w:t>owledge. The Range Statement also provides a focus for assessment. It relates to the unit as a whole. Text in</w:t>
            </w:r>
            <w:r w:rsidRPr="00120CCC">
              <w:rPr>
                <w:rStyle w:val="BoldandItalics"/>
              </w:rPr>
              <w:t xml:space="preserve"> bold italics </w:t>
            </w:r>
            <w:r w:rsidRPr="00120CCC">
              <w:t>in the Performance Criteria is explained here.</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 xml:space="preserve">Risk assessment </w:t>
            </w:r>
            <w:r w:rsidRPr="00120CCC">
              <w:t>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formal risk management cycle</w:t>
            </w:r>
          </w:p>
          <w:p w:rsidR="00000000" w:rsidP="00120CCC">
            <w:pPr>
              <w:pStyle w:val="ListBullet2"/>
              <w:rPr>
                <w:lang w:val="en-NZ"/>
              </w:rPr>
            </w:pPr>
            <w:r w:rsidRPr="00120CCC">
              <w:t>informal risk assessment</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 xml:space="preserve">Monitoring </w:t>
            </w:r>
            <w:r w:rsidRPr="00120CCC">
              <w:t>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surveillance</w:t>
            </w:r>
          </w:p>
          <w:p w:rsidR="00000000" w:rsidRPr="00120CCC" w:rsidP="00120CCC">
            <w:pPr>
              <w:pStyle w:val="ListBullet2"/>
            </w:pPr>
            <w:r w:rsidRPr="00120CCC">
              <w:t>spot checks</w:t>
            </w:r>
          </w:p>
          <w:p w:rsidR="00000000" w:rsidRPr="00120CCC" w:rsidP="00120CCC">
            <w:pPr>
              <w:pStyle w:val="ListBullet2"/>
            </w:pPr>
            <w:r w:rsidRPr="00120CCC">
              <w:t>comparison of data over time</w:t>
            </w:r>
          </w:p>
          <w:p w:rsidR="00000000" w:rsidRPr="00120CCC" w:rsidP="00120CCC">
            <w:pPr>
              <w:pStyle w:val="ListBullet2"/>
            </w:pPr>
            <w:r w:rsidRPr="00120CCC">
              <w:t>audit</w:t>
            </w:r>
          </w:p>
          <w:p w:rsidR="00000000" w:rsidP="00120CCC">
            <w:pPr>
              <w:pStyle w:val="ListBullet2"/>
              <w:rPr>
                <w:lang w:val="en-NZ"/>
              </w:rPr>
            </w:pPr>
            <w:r w:rsidRPr="00120CCC">
              <w:t>quality assurance reviews</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 xml:space="preserve">Legislation, policy and procedures </w:t>
            </w:r>
            <w:r w:rsidRPr="00120CCC">
              <w:t>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enabling legislation</w:t>
            </w:r>
          </w:p>
          <w:p w:rsidR="00000000" w:rsidRPr="00120CCC" w:rsidP="00120CCC">
            <w:pPr>
              <w:pStyle w:val="ListBullet2"/>
            </w:pPr>
            <w:r w:rsidRPr="00120CCC">
              <w:t>occupational health and safety legislation</w:t>
            </w:r>
          </w:p>
          <w:p w:rsidR="00000000" w:rsidRPr="00120CCC" w:rsidP="00120CCC">
            <w:pPr>
              <w:pStyle w:val="ListBullet2"/>
            </w:pPr>
            <w:r w:rsidRPr="00120CCC">
              <w:t>workers compensation legislati</w:t>
            </w:r>
            <w:r w:rsidRPr="00120CCC">
              <w:t>on</w:t>
            </w:r>
          </w:p>
          <w:p w:rsidR="00000000" w:rsidRPr="00120CCC" w:rsidP="00120CCC">
            <w:pPr>
              <w:pStyle w:val="ListBullet2"/>
            </w:pPr>
            <w:r w:rsidRPr="00120CCC">
              <w:t>equal employment opportunity and anti-discrimination law</w:t>
            </w:r>
          </w:p>
          <w:p w:rsidR="00000000" w:rsidRPr="00120CCC" w:rsidP="00120CCC">
            <w:pPr>
              <w:pStyle w:val="ListBullet2"/>
            </w:pPr>
            <w:r w:rsidRPr="00120CCC">
              <w:t>environment legislation and sustainability procedures</w:t>
            </w:r>
          </w:p>
          <w:p w:rsidR="00000000" w:rsidRPr="00120CCC" w:rsidP="00120CCC">
            <w:pPr>
              <w:pStyle w:val="ListBullet2"/>
            </w:pPr>
            <w:r w:rsidRPr="00120CCC">
              <w:t>listening devices legislation</w:t>
            </w:r>
          </w:p>
          <w:p w:rsidR="00000000" w:rsidRPr="00120CCC" w:rsidP="00120CCC">
            <w:pPr>
              <w:pStyle w:val="ListBullet2"/>
            </w:pPr>
            <w:r w:rsidRPr="00120CCC">
              <w:t>privacy legislation/instructions</w:t>
            </w:r>
          </w:p>
          <w:p w:rsidR="00000000" w:rsidRPr="00120CCC" w:rsidP="00120CCC">
            <w:pPr>
              <w:pStyle w:val="ListBullet2"/>
            </w:pPr>
            <w:r w:rsidRPr="00120CCC">
              <w:t>organisational procedures and protocols</w:t>
            </w:r>
          </w:p>
          <w:p w:rsidR="00000000" w:rsidRPr="00120CCC" w:rsidP="00120CCC">
            <w:pPr>
              <w:pStyle w:val="ListBullet2"/>
            </w:pPr>
            <w:r w:rsidRPr="00120CCC">
              <w:t>standard operating procedures</w:t>
            </w:r>
          </w:p>
          <w:p w:rsidR="00000000" w:rsidP="00120CCC">
            <w:pPr>
              <w:pStyle w:val="ListBullet2"/>
              <w:rPr>
                <w:lang w:val="en-NZ"/>
              </w:rPr>
            </w:pPr>
            <w:r w:rsidRPr="00120CCC">
              <w:t>Australian standards</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 xml:space="preserve">Specialist equipment </w:t>
            </w:r>
            <w:r w:rsidRPr="00120CCC">
              <w:t>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computer data analysis systems</w:t>
            </w:r>
          </w:p>
          <w:p w:rsidR="00000000" w:rsidRPr="00120CCC" w:rsidP="00120CCC">
            <w:pPr>
              <w:pStyle w:val="ListBullet2"/>
            </w:pPr>
            <w:r w:rsidRPr="00120CCC">
              <w:t>computer aided auditing techniques</w:t>
            </w:r>
          </w:p>
          <w:p w:rsidR="00000000" w:rsidRPr="00120CCC" w:rsidP="00120CCC">
            <w:pPr>
              <w:pStyle w:val="ListBullet2"/>
            </w:pPr>
            <w:r w:rsidRPr="00120CCC">
              <w:t>electronic equipment</w:t>
            </w:r>
          </w:p>
          <w:p w:rsidR="00000000" w:rsidRPr="00120CCC" w:rsidP="00120CCC">
            <w:pPr>
              <w:pStyle w:val="ListBullet2"/>
            </w:pPr>
            <w:r w:rsidRPr="00120CCC">
              <w:t>listening devices</w:t>
            </w:r>
          </w:p>
          <w:p w:rsidR="00000000" w:rsidRPr="00120CCC" w:rsidP="00120CCC">
            <w:pPr>
              <w:pStyle w:val="ListBullet2"/>
            </w:pPr>
            <w:r w:rsidRPr="00120CCC">
              <w:t>cameras</w:t>
            </w:r>
          </w:p>
          <w:p w:rsidR="00000000" w:rsidRPr="00120CCC" w:rsidP="00120CCC">
            <w:pPr>
              <w:pStyle w:val="ListBullet2"/>
            </w:pPr>
            <w:r w:rsidRPr="00120CCC">
              <w:t>chemical analysis kits</w:t>
            </w:r>
          </w:p>
          <w:p w:rsidR="00000000" w:rsidRPr="00120CCC" w:rsidP="00120CCC">
            <w:pPr>
              <w:pStyle w:val="ListBullet2"/>
            </w:pPr>
            <w:r w:rsidRPr="00120CCC">
              <w:t>security cupboards</w:t>
            </w:r>
          </w:p>
          <w:p w:rsidR="00000000" w:rsidRPr="00120CCC" w:rsidP="00120CCC">
            <w:pPr>
              <w:pStyle w:val="ListBullet2"/>
            </w:pPr>
            <w:r w:rsidRPr="00120CCC">
              <w:t>oil sampling kits</w:t>
            </w:r>
          </w:p>
          <w:p w:rsidR="00000000" w:rsidP="00120CCC">
            <w:pPr>
              <w:pStyle w:val="ListBullet2"/>
              <w:rPr>
                <w:lang w:val="en-NZ"/>
              </w:rPr>
            </w:pPr>
            <w:r w:rsidRPr="00120CCC">
              <w:t>personal protective equipment</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Other organisations/ jurisdictions</w:t>
            </w:r>
            <w:r w:rsidRPr="00120CC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State/Territory police and special units</w:t>
            </w:r>
          </w:p>
          <w:p w:rsidR="00000000" w:rsidRPr="00120CCC" w:rsidP="00120CCC">
            <w:pPr>
              <w:pStyle w:val="ListBullet2"/>
            </w:pPr>
            <w:r w:rsidRPr="00120CCC">
              <w:t>federal police</w:t>
            </w:r>
          </w:p>
          <w:p w:rsidR="00000000" w:rsidRPr="00120CCC" w:rsidP="00120CCC">
            <w:pPr>
              <w:pStyle w:val="ListBullet2"/>
            </w:pPr>
            <w:r w:rsidRPr="00120CCC">
              <w:t>military police</w:t>
            </w:r>
          </w:p>
          <w:p w:rsidR="00000000" w:rsidRPr="00120CCC" w:rsidP="00120CCC">
            <w:pPr>
              <w:pStyle w:val="ListBullet2"/>
            </w:pPr>
            <w:r w:rsidRPr="00120CCC">
              <w:t>Commonwealth regulatory agencies</w:t>
            </w:r>
          </w:p>
          <w:p w:rsidR="00000000" w:rsidRPr="00120CCC" w:rsidP="00120CCC">
            <w:pPr>
              <w:pStyle w:val="ListBullet2"/>
            </w:pPr>
            <w:r w:rsidRPr="00120CCC">
              <w:t>Local Government law enforcement officers</w:t>
            </w:r>
          </w:p>
          <w:p w:rsidR="00000000" w:rsidRPr="00120CCC" w:rsidP="00120CCC">
            <w:pPr>
              <w:pStyle w:val="ListBullet2"/>
            </w:pPr>
            <w:r w:rsidRPr="00120CCC">
              <w:t>fire and rescue</w:t>
            </w:r>
          </w:p>
          <w:p w:rsidR="00000000" w:rsidP="00120CCC">
            <w:pPr>
              <w:pStyle w:val="ListBullet2"/>
              <w:rPr>
                <w:lang w:val="en-NZ"/>
              </w:rPr>
            </w:pPr>
            <w:r w:rsidRPr="00120CCC">
              <w:t>emergency ser</w:t>
            </w:r>
            <w:r w:rsidRPr="00120CCC">
              <w:t>vices</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 xml:space="preserve">Referrals </w:t>
            </w:r>
            <w:r w:rsidRPr="00120CCC">
              <w:t>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suspicions</w:t>
            </w:r>
          </w:p>
          <w:p w:rsidR="00000000" w:rsidRPr="00120CCC" w:rsidP="00120CCC">
            <w:pPr>
              <w:pStyle w:val="ListBullet2"/>
            </w:pPr>
            <w:r w:rsidRPr="00120CCC">
              <w:t>complaints</w:t>
            </w:r>
          </w:p>
          <w:p w:rsidR="00000000" w:rsidP="00120CCC">
            <w:pPr>
              <w:pStyle w:val="ListBullet2"/>
              <w:rPr>
                <w:lang w:val="en-NZ"/>
              </w:rPr>
            </w:pPr>
            <w:r w:rsidRPr="00120CCC">
              <w:t>allegations of non-compliance</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Evidence collection methodology</w:t>
            </w:r>
            <w:r w:rsidRPr="00120CC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sampling</w:t>
            </w:r>
          </w:p>
          <w:p w:rsidR="00000000" w:rsidRPr="00120CCC" w:rsidP="00120CCC">
            <w:pPr>
              <w:pStyle w:val="ListBullet2"/>
            </w:pPr>
            <w:r w:rsidRPr="00120CCC">
              <w:t>audit</w:t>
            </w:r>
          </w:p>
          <w:p w:rsidR="00000000" w:rsidRPr="00120CCC" w:rsidP="00120CCC">
            <w:pPr>
              <w:pStyle w:val="ListBullet2"/>
            </w:pPr>
            <w:r w:rsidRPr="00120CCC">
              <w:t>interviews</w:t>
            </w:r>
          </w:p>
          <w:p w:rsidR="00000000" w:rsidRPr="00120CCC" w:rsidP="00120CCC">
            <w:pPr>
              <w:pStyle w:val="ListBullet2"/>
            </w:pPr>
            <w:r w:rsidRPr="00120CCC">
              <w:t>data analysis</w:t>
            </w:r>
          </w:p>
          <w:p w:rsidR="00000000" w:rsidP="00120CCC">
            <w:pPr>
              <w:pStyle w:val="ListBullet2"/>
              <w:rPr>
                <w:lang w:val="en-NZ"/>
              </w:rPr>
            </w:pPr>
            <w:r w:rsidRPr="00120CCC">
              <w:t>document analysis</w:t>
            </w:r>
          </w:p>
        </w:tc>
      </w:tr>
      <w:tr w:rsidTr="000976B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20CCC">
            <w:pPr>
              <w:pStyle w:val="BodyText"/>
              <w:rPr>
                <w:lang w:val="en-NZ"/>
              </w:rPr>
            </w:pPr>
            <w:r w:rsidRPr="00120CCC">
              <w:rPr>
                <w:rStyle w:val="BoldandItalics"/>
              </w:rPr>
              <w:t>Recording/reporting of further action</w:t>
            </w:r>
            <w:r w:rsidRPr="00120CC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120CCC" w:rsidP="00120CCC">
            <w:pPr>
              <w:pStyle w:val="ListBullet2"/>
            </w:pPr>
            <w:r w:rsidRPr="00120CCC">
              <w:t>decision to proceed/not proceed</w:t>
            </w:r>
          </w:p>
          <w:p w:rsidR="00000000" w:rsidRPr="00120CCC" w:rsidP="00120CCC">
            <w:pPr>
              <w:pStyle w:val="ListBullet2"/>
            </w:pPr>
            <w:r w:rsidRPr="00120CCC">
              <w:t>justification for decision</w:t>
            </w:r>
          </w:p>
          <w:p w:rsidR="00000000" w:rsidRPr="00120CCC" w:rsidP="00120CCC">
            <w:pPr>
              <w:pStyle w:val="ListBullet2"/>
            </w:pPr>
            <w:r w:rsidRPr="00120CCC">
              <w:t>informing other areas or organisations of information received/gathered and the action to be taken, if any, subject to confidentiality and privacy legislation</w:t>
            </w:r>
          </w:p>
        </w:tc>
      </w:tr>
    </w:tbl>
    <w:p w:rsidR="000976BD" w:rsidP="00120CCC">
      <w:pPr>
        <w:pStyle w:val="BodyText"/>
      </w:pPr>
    </w:p>
    <w:p w:rsidR="000976BD" w:rsidP="00120CCC">
      <w:pPr>
        <w:pStyle w:val="BodyText"/>
      </w:pPr>
    </w:p>
    <w:p w:rsidR="00000000" w:rsidRPr="00120CCC" w:rsidP="00120CCC">
      <w:pPr>
        <w:pStyle w:val="Heading1"/>
      </w:pPr>
      <w:bookmarkStart w:id="12" w:name="O_498163"/>
      <w:bookmarkEnd w:id="12"/>
      <w:r w:rsidRPr="00120CCC">
        <w:t>Unit Sector(s)</w:t>
      </w:r>
    </w:p>
    <w:p w:rsidR="00000000" w:rsidRPr="00120CCC" w:rsidP="00120CCC">
      <w:pPr>
        <w:pStyle w:val="BodyText"/>
      </w:pPr>
      <w:r w:rsidRPr="00120CCC">
        <w:t>Not applicable.</w:t>
      </w:r>
    </w:p>
    <w:p w:rsidR="00000000" w:rsidRPr="00120CCC" w:rsidP="00120CCC">
      <w:pPr>
        <w:pStyle w:val="AllowPageBreak"/>
      </w:pPr>
    </w:p>
    <w:p w:rsidR="00000000" w:rsidRPr="00120CCC" w:rsidP="00120CCC">
      <w:pPr>
        <w:pStyle w:val="Heading1"/>
      </w:pPr>
      <w:bookmarkStart w:id="13" w:name="O_498172"/>
      <w:bookmarkEnd w:id="13"/>
      <w:r w:rsidRPr="00120CCC">
        <w:t>Competency field</w:t>
      </w:r>
    </w:p>
    <w:p w:rsidR="00000000" w:rsidRPr="00120CCC" w:rsidP="00120CCC">
      <w:pPr>
        <w:pStyle w:val="BodyText"/>
      </w:pPr>
      <w:r w:rsidRPr="00120CCC">
        <w:t>Regulatory.</w:t>
      </w:r>
    </w:p>
    <w:p w:rsidR="00000000" w:rsidRPr="00120CCC" w:rsidP="00120CCC"/>
    <w:sectPr w:rsidSect="00120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6BD" w:rsidP="000976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BD" w:rsidP="00120C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76BD" w:rsidP="00120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976BD" w:rsidP="00120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CC" w:rsidRPr="000976BD" w:rsidP="000976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6BD" w:rsidRPr="002D2AF8" w:rsidP="00120CCC">
    <w:pPr>
      <w:pStyle w:val="Header"/>
      <w:framePr w:wrap="around"/>
    </w:pPr>
    <w:r>
      <w:fldChar w:fldCharType="begin"/>
    </w:r>
    <w:r>
      <w:instrText xml:space="preserve"> TITLE   \* MERGEFORMAT </w:instrText>
    </w:r>
    <w:r>
      <w:fldChar w:fldCharType="separate"/>
    </w:r>
    <w:r>
      <w:t>PSPREG403B Assess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976BD" w:rsidP="00120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7A7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A000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CCC"/>
    <w:pPr>
      <w:spacing w:before="360" w:after="60"/>
      <w:outlineLvl w:val="0"/>
    </w:pPr>
    <w:rPr>
      <w:sz w:val="32"/>
    </w:rPr>
  </w:style>
  <w:style w:type="paragraph" w:styleId="Heading2">
    <w:name w:val="heading 2"/>
    <w:basedOn w:val="HeadingBase"/>
    <w:next w:val="BodyText"/>
    <w:link w:val="Heading2Char"/>
    <w:qFormat/>
    <w:rsid w:val="00120CCC"/>
    <w:pPr>
      <w:keepLines/>
      <w:spacing w:before="240" w:after="120"/>
      <w:outlineLvl w:val="1"/>
    </w:pPr>
    <w:rPr>
      <w:sz w:val="28"/>
      <w:szCs w:val="40"/>
    </w:rPr>
  </w:style>
  <w:style w:type="paragraph" w:styleId="Heading3">
    <w:name w:val="heading 3"/>
    <w:basedOn w:val="HeadingBase"/>
    <w:next w:val="BodyText"/>
    <w:link w:val="Heading3Char"/>
    <w:qFormat/>
    <w:rsid w:val="00120CCC"/>
    <w:pPr>
      <w:spacing w:before="180" w:after="120"/>
      <w:outlineLvl w:val="2"/>
    </w:pPr>
    <w:rPr>
      <w:spacing w:val="-10"/>
      <w:kern w:val="32"/>
    </w:rPr>
  </w:style>
  <w:style w:type="paragraph" w:styleId="Heading4">
    <w:name w:val="heading 4"/>
    <w:basedOn w:val="HeadingBase"/>
    <w:next w:val="BodyText"/>
    <w:link w:val="Heading4Char"/>
    <w:qFormat/>
    <w:rsid w:val="00120CCC"/>
    <w:pPr>
      <w:spacing w:before="160" w:after="120"/>
      <w:outlineLvl w:val="3"/>
    </w:pPr>
    <w:rPr>
      <w:sz w:val="22"/>
    </w:rPr>
  </w:style>
  <w:style w:type="paragraph" w:styleId="Heading5">
    <w:name w:val="heading 5"/>
    <w:basedOn w:val="HeadingBase"/>
    <w:next w:val="Normal"/>
    <w:link w:val="Heading5Char"/>
    <w:qFormat/>
    <w:rsid w:val="00120CCC"/>
    <w:pPr>
      <w:spacing w:before="80"/>
      <w:outlineLvl w:val="4"/>
    </w:pPr>
    <w:rPr>
      <w:color w:val="918585"/>
      <w:sz w:val="20"/>
    </w:rPr>
  </w:style>
  <w:style w:type="paragraph" w:styleId="Heading6">
    <w:name w:val="heading 6"/>
    <w:basedOn w:val="HeadingBase"/>
    <w:next w:val="Normal"/>
    <w:link w:val="Heading6Char"/>
    <w:qFormat/>
    <w:rsid w:val="00120CCC"/>
    <w:pPr>
      <w:spacing w:before="60"/>
      <w:outlineLvl w:val="5"/>
    </w:pPr>
    <w:rPr>
      <w:color w:val="918585"/>
      <w:sz w:val="20"/>
    </w:rPr>
  </w:style>
  <w:style w:type="paragraph" w:styleId="Heading7">
    <w:name w:val="heading 7"/>
    <w:basedOn w:val="Normal"/>
    <w:next w:val="Normal"/>
    <w:link w:val="Heading7Char"/>
    <w:qFormat/>
    <w:rsid w:val="00120CCC"/>
    <w:pPr>
      <w:ind w:left="720"/>
      <w:outlineLvl w:val="6"/>
    </w:pPr>
    <w:rPr>
      <w:i/>
    </w:rPr>
  </w:style>
  <w:style w:type="paragraph" w:styleId="Heading8">
    <w:name w:val="heading 8"/>
    <w:basedOn w:val="Normal"/>
    <w:next w:val="Normal"/>
    <w:link w:val="Heading8Char"/>
    <w:qFormat/>
    <w:rsid w:val="00120CCC"/>
    <w:pPr>
      <w:ind w:left="720"/>
      <w:outlineLvl w:val="7"/>
    </w:pPr>
    <w:rPr>
      <w:i/>
    </w:rPr>
  </w:style>
  <w:style w:type="paragraph" w:styleId="Heading9">
    <w:name w:val="heading 9"/>
    <w:basedOn w:val="Normal"/>
    <w:next w:val="Normal"/>
    <w:link w:val="Heading9Char"/>
    <w:qFormat/>
    <w:rsid w:val="00120CCC"/>
    <w:pPr>
      <w:ind w:left="720"/>
      <w:outlineLvl w:val="8"/>
    </w:pPr>
    <w:rPr>
      <w:i/>
    </w:rPr>
  </w:style>
  <w:style w:type="character" w:default="1" w:styleId="DefaultParagraphFont">
    <w:name w:val="Default Paragraph Font"/>
    <w:uiPriority w:val="1"/>
    <w:unhideWhenUsed/>
    <w:rsid w:val="00120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CCC"/>
  </w:style>
  <w:style w:type="character" w:customStyle="1" w:styleId="Heading1Char">
    <w:name w:val="Heading 1 Char"/>
    <w:basedOn w:val="DefaultParagraphFont"/>
    <w:link w:val="Heading1"/>
    <w:rsid w:val="00120CCC"/>
    <w:rPr>
      <w:rFonts w:ascii="Times New Roman" w:eastAsia="Times New Roman" w:hAnsi="Times New Roman" w:cs="Times New Roman"/>
      <w:b/>
      <w:sz w:val="32"/>
      <w:szCs w:val="20"/>
      <w:lang w:eastAsia="en-US"/>
    </w:rPr>
  </w:style>
  <w:style w:type="paragraph" w:styleId="BodyText">
    <w:name w:val="Body Text"/>
    <w:basedOn w:val="Normal"/>
    <w:link w:val="BodyTextChar"/>
    <w:rsid w:val="00120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CCC"/>
    <w:rPr>
      <w:rFonts w:ascii="Times New Roman" w:eastAsia="Times New Roman" w:hAnsi="Times New Roman" w:cs="Times New Roman"/>
      <w:sz w:val="24"/>
      <w:lang w:eastAsia="en-US"/>
    </w:rPr>
  </w:style>
  <w:style w:type="paragraph" w:styleId="Footer">
    <w:name w:val="footer"/>
    <w:basedOn w:val="Normal"/>
    <w:link w:val="FooterChar"/>
    <w:rsid w:val="00120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CCC"/>
    <w:rPr>
      <w:rFonts w:ascii="Times New Roman" w:eastAsia="Times New Roman" w:hAnsi="Times New Roman" w:cs="Times New Roman"/>
      <w:sz w:val="16"/>
      <w:lang w:eastAsia="en-US"/>
    </w:rPr>
  </w:style>
  <w:style w:type="paragraph" w:styleId="List">
    <w:name w:val="List"/>
    <w:basedOn w:val="BodyText"/>
    <w:next w:val="BodyText"/>
    <w:rsid w:val="00120CCC"/>
    <w:pPr>
      <w:tabs>
        <w:tab w:val="left" w:pos="340"/>
      </w:tabs>
      <w:spacing w:before="60" w:after="60"/>
      <w:ind w:left="340" w:hanging="340"/>
    </w:pPr>
  </w:style>
  <w:style w:type="character" w:customStyle="1" w:styleId="SpecialBold">
    <w:name w:val="Special Bold"/>
    <w:basedOn w:val="DefaultParagraphFont"/>
    <w:rsid w:val="00120CCC"/>
    <w:rPr>
      <w:b/>
      <w:spacing w:val="0"/>
    </w:rPr>
  </w:style>
  <w:style w:type="paragraph" w:styleId="ListBullet2">
    <w:name w:val="List Bullet 2"/>
    <w:basedOn w:val="List2"/>
    <w:rsid w:val="00120CCC"/>
    <w:pPr>
      <w:numPr>
        <w:numId w:val="14"/>
      </w:numPr>
      <w:tabs>
        <w:tab w:val="clear" w:pos="680"/>
      </w:tabs>
    </w:pPr>
  </w:style>
  <w:style w:type="character" w:styleId="Emphasis">
    <w:name w:val="Emphasis"/>
    <w:basedOn w:val="DefaultParagraphFont"/>
    <w:qFormat/>
    <w:rsid w:val="00120CCC"/>
    <w:rPr>
      <w:i/>
    </w:rPr>
  </w:style>
  <w:style w:type="paragraph" w:customStyle="1" w:styleId="SuperHeading">
    <w:name w:val="SuperHeading"/>
    <w:basedOn w:val="Normal"/>
    <w:rsid w:val="00120CCC"/>
    <w:pPr>
      <w:spacing w:before="240" w:after="120"/>
      <w:outlineLvl w:val="0"/>
    </w:pPr>
    <w:rPr>
      <w:rFonts w:ascii="Times New Roman" w:hAnsi="Times New Roman"/>
      <w:b/>
      <w:sz w:val="28"/>
    </w:rPr>
  </w:style>
  <w:style w:type="paragraph" w:customStyle="1" w:styleId="AllowPageBreak">
    <w:name w:val="AllowPageBreak"/>
    <w:rsid w:val="00120C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0CCC"/>
    <w:pPr>
      <w:numPr>
        <w:numId w:val="2"/>
      </w:numPr>
      <w:tabs>
        <w:tab w:val="clear" w:pos="1021"/>
      </w:tabs>
      <w:ind w:left="1037" w:hanging="357"/>
    </w:pPr>
  </w:style>
  <w:style w:type="character" w:customStyle="1" w:styleId="Underline">
    <w:name w:val="Underline"/>
    <w:basedOn w:val="DefaultParagraphFont"/>
    <w:qFormat/>
    <w:rsid w:val="00120CCC"/>
    <w:rPr>
      <w:u w:val="single"/>
    </w:rPr>
  </w:style>
  <w:style w:type="character" w:customStyle="1" w:styleId="BoldandItalics">
    <w:name w:val="Bold and Italics"/>
    <w:qFormat/>
    <w:rsid w:val="00120CCC"/>
    <w:rPr>
      <w:b/>
      <w:i/>
      <w:u w:val="none"/>
    </w:rPr>
  </w:style>
  <w:style w:type="character" w:customStyle="1" w:styleId="Heading2Char">
    <w:name w:val="Heading 2 Char"/>
    <w:basedOn w:val="DefaultParagraphFont"/>
    <w:link w:val="Heading2"/>
    <w:rsid w:val="00120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CCC"/>
    <w:rPr>
      <w:rFonts w:ascii="Courier New" w:eastAsia="Times New Roman" w:hAnsi="Courier New" w:cs="Times New Roman"/>
      <w:i/>
      <w:szCs w:val="20"/>
      <w:lang w:eastAsia="en-US"/>
    </w:rPr>
  </w:style>
  <w:style w:type="paragraph" w:customStyle="1" w:styleId="HeadingBase">
    <w:name w:val="Heading Base"/>
    <w:rsid w:val="00120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CCC"/>
    <w:pPr>
      <w:tabs>
        <w:tab w:val="right" w:leader="dot" w:pos="9072"/>
      </w:tabs>
      <w:ind w:left="567"/>
    </w:pPr>
    <w:rPr>
      <w:szCs w:val="22"/>
    </w:rPr>
  </w:style>
  <w:style w:type="paragraph" w:customStyle="1" w:styleId="TOCBase">
    <w:name w:val="TOC Base"/>
    <w:rsid w:val="00120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CCC"/>
    <w:pPr>
      <w:tabs>
        <w:tab w:val="right" w:leader="dot" w:pos="9072"/>
      </w:tabs>
      <w:spacing w:before="40" w:after="40"/>
      <w:ind w:left="284"/>
    </w:pPr>
    <w:rPr>
      <w:rFonts w:ascii="Times New Roman" w:hAnsi="Times New Roman"/>
    </w:rPr>
  </w:style>
  <w:style w:type="paragraph" w:styleId="TOC1">
    <w:name w:val="toc 1"/>
    <w:basedOn w:val="TOCBase"/>
    <w:next w:val="Normal"/>
    <w:rsid w:val="00120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CCC"/>
    <w:pPr>
      <w:spacing w:before="5040"/>
      <w:jc w:val="center"/>
    </w:pPr>
    <w:rPr>
      <w:sz w:val="48"/>
      <w:szCs w:val="72"/>
      <w:lang w:val="en-US"/>
    </w:rPr>
  </w:style>
  <w:style w:type="character" w:customStyle="1" w:styleId="TitleChar">
    <w:name w:val="Title Char"/>
    <w:basedOn w:val="DefaultParagraphFont"/>
    <w:link w:val="Title"/>
    <w:rsid w:val="00120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CCC"/>
    <w:pPr>
      <w:tabs>
        <w:tab w:val="left" w:pos="3600"/>
        <w:tab w:val="left" w:pos="3958"/>
      </w:tabs>
    </w:pPr>
  </w:style>
  <w:style w:type="paragraph" w:styleId="ListBullet">
    <w:name w:val="List Bullet"/>
    <w:basedOn w:val="List"/>
    <w:rsid w:val="00120CCC"/>
    <w:pPr>
      <w:numPr>
        <w:numId w:val="13"/>
      </w:numPr>
      <w:tabs>
        <w:tab w:val="clear" w:pos="340"/>
      </w:tabs>
      <w:spacing w:before="40" w:after="40"/>
    </w:pPr>
  </w:style>
  <w:style w:type="paragraph" w:customStyle="1" w:styleId="Note">
    <w:name w:val="Note"/>
    <w:basedOn w:val="BodyText"/>
    <w:rsid w:val="00120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CCC"/>
    <w:pPr>
      <w:framePr w:wrap="auto" w:hAnchor="text" w:y="6049"/>
    </w:pPr>
    <w:rPr>
      <w:color w:val="000000"/>
      <w:sz w:val="40"/>
    </w:rPr>
  </w:style>
  <w:style w:type="paragraph" w:customStyle="1" w:styleId="TOCTitle">
    <w:name w:val="TOCTitle"/>
    <w:basedOn w:val="Heading1"/>
    <w:rsid w:val="00120CCC"/>
    <w:pPr>
      <w:spacing w:after="240"/>
      <w:jc w:val="center"/>
      <w:outlineLvl w:val="9"/>
    </w:pPr>
    <w:rPr>
      <w:caps/>
    </w:rPr>
  </w:style>
  <w:style w:type="paragraph" w:customStyle="1" w:styleId="Version">
    <w:name w:val="Version"/>
    <w:rsid w:val="00120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CCC"/>
    <w:pPr>
      <w:keepNext w:val="0"/>
      <w:tabs>
        <w:tab w:val="right" w:pos="4176"/>
      </w:tabs>
      <w:ind w:left="198" w:hanging="198"/>
    </w:pPr>
    <w:rPr>
      <w:rFonts w:ascii="Garamond" w:hAnsi="Garamond"/>
    </w:rPr>
  </w:style>
  <w:style w:type="paragraph" w:styleId="IndexHeading">
    <w:name w:val="index heading"/>
    <w:basedOn w:val="Normal"/>
    <w:next w:val="Index1"/>
    <w:semiHidden/>
    <w:rsid w:val="00120CCC"/>
    <w:pPr>
      <w:spacing w:before="120" w:after="120"/>
    </w:pPr>
    <w:rPr>
      <w:rFonts w:ascii="Arial" w:hAnsi="Arial"/>
      <w:b/>
      <w:color w:val="918585"/>
      <w:sz w:val="24"/>
    </w:rPr>
  </w:style>
  <w:style w:type="paragraph" w:styleId="Header">
    <w:name w:val="header"/>
    <w:basedOn w:val="Normal"/>
    <w:link w:val="HeaderChar"/>
    <w:rsid w:val="00120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CCC"/>
    <w:rPr>
      <w:rFonts w:ascii="Times New Roman" w:eastAsia="Times New Roman" w:hAnsi="Times New Roman" w:cs="Times New Roman"/>
      <w:sz w:val="16"/>
      <w:szCs w:val="20"/>
      <w:lang w:val="en-GB" w:eastAsia="en-US"/>
    </w:rPr>
  </w:style>
  <w:style w:type="paragraph" w:customStyle="1" w:styleId="Chapter">
    <w:name w:val="Chapter"/>
    <w:basedOn w:val="Normal"/>
    <w:rsid w:val="00120CCC"/>
    <w:pPr>
      <w:spacing w:before="240"/>
    </w:pPr>
    <w:rPr>
      <w:rFonts w:ascii="Times New Roman" w:hAnsi="Times New Roman"/>
      <w:smallCaps/>
      <w:spacing w:val="80"/>
      <w:sz w:val="28"/>
    </w:rPr>
  </w:style>
  <w:style w:type="paragraph" w:customStyle="1" w:styleId="InChapter">
    <w:name w:val="InChapter"/>
    <w:basedOn w:val="Heading3"/>
    <w:rsid w:val="00120CCC"/>
    <w:pPr>
      <w:spacing w:after="240"/>
      <w:outlineLvl w:val="9"/>
    </w:pPr>
    <w:rPr>
      <w:noProof/>
    </w:rPr>
  </w:style>
  <w:style w:type="paragraph" w:styleId="Index2">
    <w:name w:val="index 2"/>
    <w:basedOn w:val="Normal"/>
    <w:next w:val="Normal"/>
    <w:semiHidden/>
    <w:rsid w:val="00120CCC"/>
    <w:pPr>
      <w:tabs>
        <w:tab w:val="right" w:pos="4176"/>
      </w:tabs>
      <w:ind w:left="568" w:hanging="284"/>
    </w:pPr>
    <w:rPr>
      <w:rFonts w:ascii="Garamond" w:hAnsi="Garamond"/>
    </w:rPr>
  </w:style>
  <w:style w:type="paragraph" w:customStyle="1" w:styleId="Byline">
    <w:name w:val="Byline"/>
    <w:rsid w:val="00120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CCC"/>
    <w:pPr>
      <w:tabs>
        <w:tab w:val="clear" w:pos="3600"/>
        <w:tab w:val="clear" w:pos="3958"/>
      </w:tabs>
      <w:jc w:val="right"/>
    </w:pPr>
  </w:style>
  <w:style w:type="paragraph" w:styleId="Caption">
    <w:name w:val="caption"/>
    <w:basedOn w:val="BodyText"/>
    <w:next w:val="Normal"/>
    <w:qFormat/>
    <w:rsid w:val="00120CCC"/>
    <w:pPr>
      <w:framePr w:w="2268" w:hSpace="181" w:vSpace="181" w:wrap="around" w:vAnchor="text" w:hAnchor="page" w:x="1135" w:y="285" w:anchorLock="1"/>
    </w:pPr>
    <w:rPr>
      <w:i/>
    </w:rPr>
  </w:style>
  <w:style w:type="paragraph" w:customStyle="1" w:styleId="MiniTOCTitle">
    <w:name w:val="MiniTOCTitle"/>
    <w:basedOn w:val="Heading4"/>
    <w:rsid w:val="00120CCC"/>
    <w:pPr>
      <w:spacing w:before="240"/>
      <w:outlineLvl w:val="9"/>
    </w:pPr>
    <w:rPr>
      <w:noProof/>
      <w:sz w:val="24"/>
    </w:rPr>
  </w:style>
  <w:style w:type="paragraph" w:customStyle="1" w:styleId="MiniTOCItem">
    <w:name w:val="MiniTOCItem"/>
    <w:basedOn w:val="ListBullet"/>
    <w:rsid w:val="00120CCC"/>
    <w:pPr>
      <w:numPr>
        <w:numId w:val="0"/>
      </w:numPr>
      <w:tabs>
        <w:tab w:val="right" w:leader="dot" w:pos="6521"/>
      </w:tabs>
      <w:spacing w:before="0" w:after="0"/>
    </w:pPr>
  </w:style>
  <w:style w:type="paragraph" w:customStyle="1" w:styleId="TOFTitle">
    <w:name w:val="TOFTitle"/>
    <w:basedOn w:val="TOCTitle"/>
    <w:rsid w:val="00120CCC"/>
  </w:style>
  <w:style w:type="paragraph" w:styleId="TableofFigures">
    <w:name w:val="table of figures"/>
    <w:basedOn w:val="Normal"/>
    <w:next w:val="Normal"/>
    <w:semiHidden/>
    <w:rsid w:val="00120CCC"/>
    <w:pPr>
      <w:tabs>
        <w:tab w:val="right" w:leader="dot" w:pos="9072"/>
      </w:tabs>
      <w:ind w:left="970" w:hanging="403"/>
    </w:pPr>
    <w:rPr>
      <w:rFonts w:ascii="Times New Roman" w:hAnsi="Times New Roman"/>
      <w:b/>
    </w:rPr>
  </w:style>
  <w:style w:type="paragraph" w:styleId="ListNumber">
    <w:name w:val="List Number"/>
    <w:basedOn w:val="List"/>
    <w:rsid w:val="00120CCC"/>
    <w:pPr>
      <w:numPr>
        <w:numId w:val="11"/>
      </w:numPr>
    </w:pPr>
  </w:style>
  <w:style w:type="character" w:customStyle="1" w:styleId="WingdingSymbols">
    <w:name w:val="Wingding Symbols"/>
    <w:rsid w:val="00120CCC"/>
    <w:rPr>
      <w:rFonts w:ascii="Wingdings" w:hAnsi="Wingdings"/>
    </w:rPr>
  </w:style>
  <w:style w:type="paragraph" w:customStyle="1" w:styleId="TableHeading">
    <w:name w:val="Table Heading"/>
    <w:basedOn w:val="HeadingBase"/>
    <w:rsid w:val="00120CCC"/>
    <w:pPr>
      <w:keepLines/>
      <w:pBdr>
        <w:bottom w:val="single" w:sz="6" w:space="1" w:color="918585"/>
      </w:pBdr>
      <w:spacing w:before="240"/>
    </w:pPr>
  </w:style>
  <w:style w:type="character" w:customStyle="1" w:styleId="HotSpot">
    <w:name w:val="HotSpot"/>
    <w:rsid w:val="00120CCC"/>
    <w:rPr>
      <w:color w:val="0033CC"/>
      <w:u w:val="none"/>
    </w:rPr>
  </w:style>
  <w:style w:type="paragraph" w:customStyle="1" w:styleId="BodyTextRight">
    <w:name w:val="Body Text Right"/>
    <w:basedOn w:val="BodyText"/>
    <w:rsid w:val="00120CCC"/>
    <w:pPr>
      <w:spacing w:before="0" w:after="0"/>
      <w:jc w:val="right"/>
    </w:pPr>
  </w:style>
  <w:style w:type="paragraph" w:styleId="Index3">
    <w:name w:val="index 3"/>
    <w:basedOn w:val="ListNumber2"/>
    <w:next w:val="Normal"/>
    <w:semiHidden/>
    <w:rsid w:val="00120CCC"/>
    <w:pPr>
      <w:numPr>
        <w:numId w:val="0"/>
      </w:numPr>
      <w:tabs>
        <w:tab w:val="right" w:leader="dot" w:pos="4176"/>
      </w:tabs>
    </w:pPr>
  </w:style>
  <w:style w:type="paragraph" w:styleId="ListNumber2">
    <w:name w:val="List Number 2"/>
    <w:basedOn w:val="List2"/>
    <w:rsid w:val="00120CCC"/>
    <w:pPr>
      <w:numPr>
        <w:numId w:val="10"/>
      </w:numPr>
      <w:tabs>
        <w:tab w:val="clear" w:pos="1060"/>
      </w:tabs>
    </w:pPr>
  </w:style>
  <w:style w:type="paragraph" w:customStyle="1" w:styleId="MarginNote">
    <w:name w:val="Margin Note"/>
    <w:basedOn w:val="BodyText"/>
    <w:rsid w:val="00120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CCC"/>
    <w:rPr>
      <w:sz w:val="32"/>
    </w:rPr>
  </w:style>
  <w:style w:type="paragraph" w:customStyle="1" w:styleId="HeadingProcedure">
    <w:name w:val="Heading Procedure"/>
    <w:basedOn w:val="HeadingBase"/>
    <w:next w:val="Normal"/>
    <w:rsid w:val="00120CCC"/>
    <w:pPr>
      <w:tabs>
        <w:tab w:val="left" w:pos="0"/>
      </w:tabs>
      <w:spacing w:before="120" w:after="60"/>
    </w:pPr>
    <w:rPr>
      <w:i/>
      <w:color w:val="918585"/>
      <w:sz w:val="22"/>
    </w:rPr>
  </w:style>
  <w:style w:type="paragraph" w:customStyle="1" w:styleId="TableBodyText">
    <w:name w:val="Table Body Text"/>
    <w:basedOn w:val="BodyText"/>
    <w:rsid w:val="00120CCC"/>
    <w:pPr>
      <w:spacing w:before="60" w:after="60"/>
    </w:pPr>
  </w:style>
  <w:style w:type="paragraph" w:styleId="ListContinue">
    <w:name w:val="List Continue"/>
    <w:basedOn w:val="List"/>
    <w:rsid w:val="00120CCC"/>
    <w:pPr>
      <w:ind w:firstLine="0"/>
    </w:pPr>
  </w:style>
  <w:style w:type="paragraph" w:customStyle="1" w:styleId="ListNote">
    <w:name w:val="List Note"/>
    <w:basedOn w:val="List"/>
    <w:rsid w:val="00120CCC"/>
    <w:pPr>
      <w:pBdr>
        <w:top w:val="single" w:sz="6" w:space="2" w:color="918585"/>
        <w:bottom w:val="single" w:sz="6" w:space="2" w:color="918585"/>
      </w:pBdr>
      <w:tabs>
        <w:tab w:val="left" w:pos="1021"/>
      </w:tabs>
      <w:ind w:firstLine="0"/>
    </w:pPr>
  </w:style>
  <w:style w:type="paragraph" w:customStyle="1" w:styleId="Warning">
    <w:name w:val="Warning"/>
    <w:basedOn w:val="BodyText"/>
    <w:rsid w:val="00120CCC"/>
    <w:pPr>
      <w:shd w:val="clear" w:color="auto" w:fill="D9D9D9"/>
      <w:tabs>
        <w:tab w:val="left" w:pos="992"/>
      </w:tabs>
      <w:ind w:left="119" w:right="119"/>
    </w:pPr>
    <w:rPr>
      <w:sz w:val="20"/>
    </w:rPr>
  </w:style>
  <w:style w:type="paragraph" w:customStyle="1" w:styleId="MarginIcons">
    <w:name w:val="Margin Icons"/>
    <w:basedOn w:val="BodyText"/>
    <w:rsid w:val="00120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CCC"/>
    <w:rPr>
      <w:rFonts w:ascii="Courier New" w:hAnsi="Courier New"/>
    </w:rPr>
  </w:style>
  <w:style w:type="paragraph" w:customStyle="1" w:styleId="NoteBullet">
    <w:name w:val="Note Bullet"/>
    <w:basedOn w:val="Note"/>
    <w:rsid w:val="00120CCC"/>
    <w:pPr>
      <w:tabs>
        <w:tab w:val="clear" w:pos="680"/>
      </w:tabs>
      <w:spacing w:before="60" w:after="60"/>
    </w:pPr>
  </w:style>
  <w:style w:type="paragraph" w:customStyle="1" w:styleId="SubHeading2">
    <w:name w:val="SubHeading2"/>
    <w:basedOn w:val="HeadingBase"/>
    <w:rsid w:val="00120CCC"/>
    <w:pPr>
      <w:spacing w:before="240" w:after="60"/>
    </w:pPr>
    <w:rPr>
      <w:sz w:val="20"/>
    </w:rPr>
  </w:style>
  <w:style w:type="paragraph" w:customStyle="1" w:styleId="SubHeading1">
    <w:name w:val="SubHeading1"/>
    <w:basedOn w:val="HeadingBase"/>
    <w:rsid w:val="00120CCC"/>
    <w:pPr>
      <w:spacing w:before="240" w:after="60"/>
    </w:pPr>
    <w:rPr>
      <w:color w:val="918585"/>
      <w:sz w:val="22"/>
    </w:rPr>
  </w:style>
  <w:style w:type="paragraph" w:customStyle="1" w:styleId="SideHeading">
    <w:name w:val="Side Heading"/>
    <w:basedOn w:val="HeadingBase"/>
    <w:rsid w:val="00120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CCC"/>
    <w:pPr>
      <w:numPr>
        <w:numId w:val="12"/>
      </w:numPr>
    </w:pPr>
  </w:style>
  <w:style w:type="paragraph" w:styleId="PlainText">
    <w:name w:val="Plain Text"/>
    <w:basedOn w:val="Normal"/>
    <w:link w:val="PlainTextChar"/>
    <w:rsid w:val="00120CCC"/>
    <w:rPr>
      <w:sz w:val="20"/>
    </w:rPr>
  </w:style>
  <w:style w:type="character" w:customStyle="1" w:styleId="PlainTextChar">
    <w:name w:val="Plain Text Char"/>
    <w:basedOn w:val="DefaultParagraphFont"/>
    <w:link w:val="PlainText"/>
    <w:rsid w:val="00120CCC"/>
    <w:rPr>
      <w:rFonts w:ascii="Courier New" w:eastAsia="Times New Roman" w:hAnsi="Courier New" w:cs="Times New Roman"/>
      <w:sz w:val="20"/>
      <w:szCs w:val="20"/>
      <w:lang w:eastAsia="en-US"/>
    </w:rPr>
  </w:style>
  <w:style w:type="character" w:customStyle="1" w:styleId="MenuOption">
    <w:name w:val="Menu Option"/>
    <w:basedOn w:val="DefaultParagraphFont"/>
    <w:rsid w:val="00120CCC"/>
    <w:rPr>
      <w:b/>
      <w:smallCaps/>
    </w:rPr>
  </w:style>
  <w:style w:type="paragraph" w:customStyle="1" w:styleId="TableListNumber">
    <w:name w:val="Table List Number"/>
    <w:basedOn w:val="ListNumber"/>
    <w:rsid w:val="00120CCC"/>
    <w:pPr>
      <w:numPr>
        <w:numId w:val="0"/>
      </w:numPr>
    </w:pPr>
  </w:style>
  <w:style w:type="paragraph" w:styleId="TOC4">
    <w:name w:val="toc 4"/>
    <w:basedOn w:val="TOCBase"/>
    <w:next w:val="Normal"/>
    <w:semiHidden/>
    <w:rsid w:val="00120CCC"/>
    <w:pPr>
      <w:tabs>
        <w:tab w:val="right" w:leader="dot" w:pos="9071"/>
      </w:tabs>
      <w:ind w:left="1701"/>
    </w:pPr>
  </w:style>
  <w:style w:type="paragraph" w:customStyle="1" w:styleId="ListAlpha">
    <w:name w:val="List Alpha"/>
    <w:basedOn w:val="List"/>
    <w:rsid w:val="00120CCC"/>
    <w:pPr>
      <w:numPr>
        <w:numId w:val="9"/>
      </w:numPr>
    </w:pPr>
  </w:style>
  <w:style w:type="paragraph" w:customStyle="1" w:styleId="ListAlpha2">
    <w:name w:val="List Alpha 2"/>
    <w:basedOn w:val="List2"/>
    <w:rsid w:val="00120CCC"/>
    <w:pPr>
      <w:numPr>
        <w:numId w:val="8"/>
      </w:numPr>
    </w:pPr>
  </w:style>
  <w:style w:type="paragraph" w:styleId="List2">
    <w:name w:val="List 2"/>
    <w:basedOn w:val="BodyText"/>
    <w:rsid w:val="00120CCC"/>
    <w:pPr>
      <w:tabs>
        <w:tab w:val="left" w:pos="680"/>
      </w:tabs>
      <w:spacing w:before="60" w:after="60"/>
      <w:ind w:left="680" w:hanging="340"/>
    </w:pPr>
  </w:style>
  <w:style w:type="paragraph" w:styleId="List3">
    <w:name w:val="List 3"/>
    <w:basedOn w:val="BodyText"/>
    <w:rsid w:val="00120CCC"/>
    <w:pPr>
      <w:tabs>
        <w:tab w:val="left" w:pos="1021"/>
      </w:tabs>
      <w:spacing w:before="60" w:after="60"/>
      <w:ind w:left="1020" w:hanging="340"/>
    </w:pPr>
  </w:style>
  <w:style w:type="paragraph" w:styleId="List4">
    <w:name w:val="List 4"/>
    <w:basedOn w:val="BodyText"/>
    <w:rsid w:val="00120CCC"/>
    <w:pPr>
      <w:tabs>
        <w:tab w:val="left" w:pos="1361"/>
      </w:tabs>
      <w:spacing w:before="60" w:after="60"/>
      <w:ind w:left="1361" w:hanging="340"/>
    </w:pPr>
  </w:style>
  <w:style w:type="paragraph" w:styleId="List5">
    <w:name w:val="List 5"/>
    <w:basedOn w:val="BodyText"/>
    <w:rsid w:val="00120CCC"/>
    <w:pPr>
      <w:tabs>
        <w:tab w:val="left" w:pos="1701"/>
      </w:tabs>
      <w:spacing w:before="60" w:after="60"/>
      <w:ind w:left="1701" w:hanging="340"/>
    </w:pPr>
  </w:style>
  <w:style w:type="paragraph" w:styleId="ListBullet4">
    <w:name w:val="List Bullet 4"/>
    <w:basedOn w:val="List4"/>
    <w:rsid w:val="00120CCC"/>
    <w:pPr>
      <w:numPr>
        <w:numId w:val="3"/>
      </w:numPr>
    </w:pPr>
  </w:style>
  <w:style w:type="paragraph" w:styleId="ListBullet5">
    <w:name w:val="List Bullet 5"/>
    <w:basedOn w:val="List5"/>
    <w:rsid w:val="00120CCC"/>
    <w:pPr>
      <w:numPr>
        <w:numId w:val="4"/>
      </w:numPr>
    </w:pPr>
  </w:style>
  <w:style w:type="paragraph" w:styleId="ListContinue2">
    <w:name w:val="List Continue 2"/>
    <w:basedOn w:val="List2"/>
    <w:rsid w:val="00120CCC"/>
    <w:pPr>
      <w:ind w:firstLine="0"/>
    </w:pPr>
  </w:style>
  <w:style w:type="paragraph" w:styleId="ListContinue3">
    <w:name w:val="List Continue 3"/>
    <w:basedOn w:val="List3"/>
    <w:rsid w:val="00120CCC"/>
    <w:pPr>
      <w:ind w:left="1021" w:firstLine="0"/>
    </w:pPr>
  </w:style>
  <w:style w:type="paragraph" w:styleId="ListContinue4">
    <w:name w:val="List Continue 4"/>
    <w:basedOn w:val="List4"/>
    <w:rsid w:val="00120CCC"/>
    <w:pPr>
      <w:ind w:firstLine="0"/>
    </w:pPr>
  </w:style>
  <w:style w:type="paragraph" w:styleId="ListContinue5">
    <w:name w:val="List Continue 5"/>
    <w:basedOn w:val="List5"/>
    <w:rsid w:val="00120CCC"/>
    <w:pPr>
      <w:ind w:firstLine="0"/>
    </w:pPr>
  </w:style>
  <w:style w:type="paragraph" w:styleId="ListNumber3">
    <w:name w:val="List Number 3"/>
    <w:basedOn w:val="List3"/>
    <w:rsid w:val="00120CCC"/>
    <w:pPr>
      <w:numPr>
        <w:numId w:val="5"/>
      </w:numPr>
    </w:pPr>
  </w:style>
  <w:style w:type="paragraph" w:styleId="ListNumber4">
    <w:name w:val="List Number 4"/>
    <w:basedOn w:val="List4"/>
    <w:rsid w:val="00120CCC"/>
    <w:pPr>
      <w:numPr>
        <w:numId w:val="6"/>
      </w:numPr>
    </w:pPr>
  </w:style>
  <w:style w:type="paragraph" w:styleId="ListNumber5">
    <w:name w:val="List Number 5"/>
    <w:basedOn w:val="List5"/>
    <w:rsid w:val="00120CCC"/>
    <w:pPr>
      <w:numPr>
        <w:numId w:val="7"/>
      </w:numPr>
    </w:pPr>
  </w:style>
  <w:style w:type="paragraph" w:styleId="BlockText">
    <w:name w:val="Block Text"/>
    <w:basedOn w:val="Normal"/>
    <w:rsid w:val="00120CCC"/>
    <w:pPr>
      <w:spacing w:after="120"/>
      <w:ind w:left="1440" w:right="1440"/>
    </w:pPr>
  </w:style>
  <w:style w:type="character" w:customStyle="1" w:styleId="Subscript">
    <w:name w:val="Subscript"/>
    <w:basedOn w:val="DefaultParagraphFont"/>
    <w:rsid w:val="00120CCC"/>
    <w:rPr>
      <w:sz w:val="16"/>
      <w:vertAlign w:val="subscript"/>
    </w:rPr>
  </w:style>
  <w:style w:type="character" w:customStyle="1" w:styleId="Superscript">
    <w:name w:val="Superscript"/>
    <w:basedOn w:val="DefaultParagraphFont"/>
    <w:rsid w:val="00120CCC"/>
    <w:rPr>
      <w:sz w:val="16"/>
      <w:vertAlign w:val="superscript"/>
    </w:rPr>
  </w:style>
  <w:style w:type="character" w:customStyle="1" w:styleId="Symbols">
    <w:name w:val="Symbols"/>
    <w:basedOn w:val="DefaultParagraphFont"/>
    <w:rsid w:val="00120CCC"/>
    <w:rPr>
      <w:rFonts w:ascii="Symbol" w:hAnsi="Symbol"/>
    </w:rPr>
  </w:style>
  <w:style w:type="character" w:customStyle="1" w:styleId="MenuOptions">
    <w:name w:val="Menu Options"/>
    <w:basedOn w:val="DefaultParagraphFont"/>
    <w:rsid w:val="00120CCC"/>
    <w:rPr>
      <w:rFonts w:ascii="Arial Narrow" w:hAnsi="Arial Narrow"/>
      <w:smallCaps/>
    </w:rPr>
  </w:style>
  <w:style w:type="character" w:customStyle="1" w:styleId="Buttons">
    <w:name w:val="Buttons"/>
    <w:basedOn w:val="DefaultParagraphFont"/>
    <w:rsid w:val="00120CCC"/>
    <w:rPr>
      <w:b/>
    </w:rPr>
  </w:style>
  <w:style w:type="character" w:customStyle="1" w:styleId="Underlined">
    <w:name w:val="Underlined"/>
    <w:basedOn w:val="DefaultParagraphFont"/>
    <w:rsid w:val="00120CCC"/>
    <w:rPr>
      <w:u w:val="single"/>
    </w:rPr>
  </w:style>
  <w:style w:type="paragraph" w:customStyle="1" w:styleId="TableBodyTextRight">
    <w:name w:val="Table Body Text Right"/>
    <w:basedOn w:val="TableBodyText"/>
    <w:rsid w:val="00120CCC"/>
    <w:pPr>
      <w:widowControl w:val="0"/>
      <w:autoSpaceDE w:val="0"/>
      <w:autoSpaceDN w:val="0"/>
      <w:adjustRightInd w:val="0"/>
      <w:jc w:val="right"/>
    </w:pPr>
    <w:rPr>
      <w:rFonts w:cs="Arial"/>
      <w:szCs w:val="18"/>
    </w:rPr>
  </w:style>
  <w:style w:type="paragraph" w:customStyle="1" w:styleId="CopyrightText">
    <w:name w:val="Copyright Text"/>
    <w:basedOn w:val="BodyText"/>
    <w:rsid w:val="00120CCC"/>
    <w:rPr>
      <w:sz w:val="18"/>
    </w:rPr>
  </w:style>
  <w:style w:type="paragraph" w:customStyle="1" w:styleId="BodySmallRight">
    <w:name w:val="Body Small Right"/>
    <w:basedOn w:val="BodyTextRight"/>
    <w:rsid w:val="00120CCC"/>
    <w:rPr>
      <w:sz w:val="18"/>
      <w:szCs w:val="18"/>
    </w:rPr>
  </w:style>
  <w:style w:type="paragraph" w:customStyle="1" w:styleId="MarginEdition">
    <w:name w:val="Margin Edition"/>
    <w:basedOn w:val="MarginNote"/>
    <w:rsid w:val="00120CCC"/>
    <w:pPr>
      <w:spacing w:before="0" w:after="0"/>
    </w:pPr>
    <w:rPr>
      <w:rFonts w:ascii="Times New Roman" w:hAnsi="Times New Roman"/>
      <w:color w:val="999999"/>
    </w:rPr>
  </w:style>
  <w:style w:type="paragraph" w:customStyle="1" w:styleId="Spacer">
    <w:name w:val="Spacer"/>
    <w:basedOn w:val="Normal"/>
    <w:rsid w:val="00120CCC"/>
    <w:rPr>
      <w:sz w:val="2"/>
      <w:szCs w:val="2"/>
    </w:rPr>
  </w:style>
  <w:style w:type="character" w:customStyle="1" w:styleId="Small">
    <w:name w:val="Small"/>
    <w:basedOn w:val="DefaultParagraphFont"/>
    <w:rsid w:val="00120CCC"/>
    <w:rPr>
      <w:sz w:val="16"/>
    </w:rPr>
  </w:style>
  <w:style w:type="paragraph" w:customStyle="1" w:styleId="WideTable">
    <w:name w:val="Wide Table"/>
    <w:basedOn w:val="Normal"/>
    <w:rsid w:val="00120CCC"/>
    <w:pPr>
      <w:ind w:left="-1418"/>
    </w:pPr>
    <w:rPr>
      <w:sz w:val="2"/>
      <w:szCs w:val="2"/>
    </w:rPr>
  </w:style>
  <w:style w:type="character" w:styleId="PageNumber">
    <w:name w:val="page number"/>
    <w:basedOn w:val="DefaultParagraphFont"/>
    <w:rsid w:val="00120CCC"/>
  </w:style>
  <w:style w:type="paragraph" w:styleId="Quote">
    <w:name w:val="Quote"/>
    <w:basedOn w:val="Heading1"/>
    <w:link w:val="QuoteChar"/>
    <w:qFormat/>
    <w:rsid w:val="00120CCC"/>
    <w:rPr>
      <w:b w:val="0"/>
      <w:sz w:val="72"/>
      <w:szCs w:val="72"/>
      <w:lang w:val="en-NZ"/>
    </w:rPr>
  </w:style>
  <w:style w:type="character" w:customStyle="1" w:styleId="QuoteChar">
    <w:name w:val="Quote Char"/>
    <w:basedOn w:val="DefaultParagraphFont"/>
    <w:link w:val="Quote"/>
    <w:rsid w:val="00120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CCC"/>
    <w:pPr>
      <w:pageBreakBefore/>
    </w:pPr>
  </w:style>
  <w:style w:type="paragraph" w:customStyle="1" w:styleId="Border">
    <w:name w:val="Border"/>
    <w:basedOn w:val="Normal"/>
    <w:qFormat/>
    <w:rsid w:val="00120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CCC"/>
    <w:rPr>
      <w:b/>
      <w:bCs/>
      <w:i/>
      <w:iCs/>
      <w:color w:val="auto"/>
    </w:rPr>
  </w:style>
  <w:style w:type="paragraph" w:styleId="IntenseQuote">
    <w:name w:val="Intense Quote"/>
    <w:basedOn w:val="Normal"/>
    <w:next w:val="Normal"/>
    <w:link w:val="IntenseQuoteChar"/>
    <w:uiPriority w:val="30"/>
    <w:qFormat/>
    <w:rsid w:val="00120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CCC"/>
    <w:rPr>
      <w:smallCaps/>
      <w:color w:val="auto"/>
      <w:u w:val="single"/>
    </w:rPr>
  </w:style>
  <w:style w:type="character" w:styleId="IntenseReference">
    <w:name w:val="Intense Reference"/>
    <w:basedOn w:val="DefaultParagraphFont"/>
    <w:uiPriority w:val="32"/>
    <w:qFormat/>
    <w:rsid w:val="00120CCC"/>
    <w:rPr>
      <w:b/>
      <w:bCs/>
      <w:smallCaps/>
      <w:color w:val="auto"/>
      <w:spacing w:val="5"/>
      <w:u w:val="single"/>
    </w:rPr>
  </w:style>
  <w:style w:type="paragraph" w:customStyle="1" w:styleId="2ColumnHeading">
    <w:name w:val="2Column Heading"/>
    <w:basedOn w:val="BodyText"/>
    <w:qFormat/>
    <w:rsid w:val="00120CCC"/>
    <w:pPr>
      <w:spacing w:after="60"/>
      <w:ind w:left="-2268"/>
    </w:pPr>
    <w:rPr>
      <w:b/>
    </w:rPr>
  </w:style>
  <w:style w:type="paragraph" w:customStyle="1" w:styleId="Heading1TOC">
    <w:name w:val="Heading1 TOC"/>
    <w:basedOn w:val="Normal"/>
    <w:qFormat/>
    <w:rsid w:val="00120CCC"/>
    <w:pPr>
      <w:spacing w:before="240" w:after="120"/>
    </w:pPr>
    <w:rPr>
      <w:rFonts w:ascii="Times New Roman" w:hAnsi="Times New Roman"/>
      <w:b/>
      <w:sz w:val="32"/>
    </w:rPr>
  </w:style>
  <w:style w:type="paragraph" w:customStyle="1" w:styleId="Heading2TOC">
    <w:name w:val="Heading2 TOC"/>
    <w:basedOn w:val="Normal"/>
    <w:qFormat/>
    <w:rsid w:val="00120CCC"/>
    <w:pPr>
      <w:spacing w:before="240" w:after="60"/>
    </w:pPr>
    <w:rPr>
      <w:rFonts w:ascii="Times New Roman" w:hAnsi="Times New Roman"/>
      <w:b/>
      <w:sz w:val="28"/>
    </w:rPr>
  </w:style>
  <w:style w:type="paragraph" w:styleId="BalloonText">
    <w:name w:val="Balloon Text"/>
    <w:basedOn w:val="Normal"/>
    <w:link w:val="BalloonTextChar"/>
    <w:rsid w:val="00120CCC"/>
    <w:rPr>
      <w:rFonts w:ascii="Tahoma" w:hAnsi="Tahoma" w:cs="Tahoma"/>
      <w:sz w:val="16"/>
      <w:szCs w:val="16"/>
    </w:rPr>
  </w:style>
  <w:style w:type="character" w:customStyle="1" w:styleId="BalloonTextChar">
    <w:name w:val="Balloon Text Char"/>
    <w:basedOn w:val="DefaultParagraphFont"/>
    <w:link w:val="BalloonText"/>
    <w:rsid w:val="00120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CCC"/>
    <w:rPr>
      <w:b/>
      <w:color w:val="660033"/>
      <w:spacing w:val="0"/>
    </w:rPr>
  </w:style>
  <w:style w:type="paragraph" w:customStyle="1" w:styleId="Nameditemlist">
    <w:name w:val="Named item list"/>
    <w:basedOn w:val="BodyText"/>
    <w:qFormat/>
    <w:rsid w:val="00120C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1326</Words>
  <Characters>8722</Characters>
  <Application>Microsoft Office Word</Application>
  <DocSecurity>0</DocSecurity>
  <Lines>289</Lines>
  <Paragraphs>181</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PSPREG403B Assess compliance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2012-11-01T18:17:00Z</dcterms:created>
  <dcterms:modified xsi:type="dcterms:W3CDTF">2012-11-01T18:17:00Z</dcterms:modified>
</cp:coreProperties>
</file>