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5BB" w:rsidP="007375BB">
      <w:pPr>
        <w:pStyle w:val="Title"/>
      </w:pPr>
      <w:bookmarkStart w:id="0" w:name="_GoBack"/>
      <w:bookmarkEnd w:id="0"/>
      <w:r>
        <w:fldChar w:fldCharType="begin"/>
      </w:r>
      <w:r>
        <w:instrText xml:space="preserve"> TITLE   \* MERGEFORMAT </w:instrText>
      </w:r>
      <w:r>
        <w:fldChar w:fldCharType="separate"/>
      </w:r>
      <w:r>
        <w:t>PSPREG401C Exercise regulatory powers</w:t>
      </w:r>
      <w:r>
        <w:fldChar w:fldCharType="end"/>
      </w:r>
    </w:p>
    <w:p w:rsidR="007375BB" w:rsidP="007375BB">
      <w:pPr>
        <w:pStyle w:val="Version"/>
        <w:sectPr w:rsidSect="00543C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43CFF" w:rsidP="00543CFF">
      <w:pPr>
        <w:pStyle w:val="SuperHeading"/>
      </w:pPr>
      <w:r w:rsidRPr="00543CFF">
        <w:t>PSPREG401C Exercise regulatory powers</w:t>
      </w:r>
    </w:p>
    <w:p w:rsidR="00000000" w:rsidRPr="00543CFF" w:rsidP="00543CFF">
      <w:pPr>
        <w:pStyle w:val="SuperHeading"/>
      </w:pPr>
    </w:p>
    <w:p w:rsidR="00000000" w:rsidRPr="00543CFF" w:rsidP="00543CFF">
      <w:pPr>
        <w:pStyle w:val="Heading1"/>
      </w:pPr>
      <w:bookmarkStart w:id="1" w:name="O_498138"/>
      <w:bookmarkEnd w:id="1"/>
      <w:r w:rsidRPr="00543CFF">
        <w:t>Modification History</w:t>
      </w:r>
    </w:p>
    <w:tbl>
      <w:tblPr>
        <w:tblW w:w="0" w:type="auto"/>
        <w:tblLayout w:type="fixed"/>
        <w:tblCellMar>
          <w:left w:w="62" w:type="dxa"/>
          <w:right w:w="62" w:type="dxa"/>
        </w:tblCellMar>
        <w:tblLook w:val="0000"/>
      </w:tblPr>
      <w:tblGrid>
        <w:gridCol w:w="3052"/>
        <w:gridCol w:w="3052"/>
        <w:gridCol w:w="3052"/>
      </w:tblGrid>
      <w:tr w:rsidTr="007375B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CFF" w:rsidP="00543CFF">
            <w:pPr>
              <w:pStyle w:val="BodyText"/>
            </w:pPr>
            <w:r w:rsidRPr="00543CFF">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CFF" w:rsidP="00543CFF">
            <w:pPr>
              <w:pStyle w:val="BodyText"/>
            </w:pPr>
            <w:r w:rsidRPr="00543CFF">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CFF">
            <w:pPr>
              <w:pStyle w:val="BodyText"/>
              <w:rPr>
                <w:lang w:val="en-NZ"/>
              </w:rPr>
            </w:pPr>
            <w:r w:rsidRPr="00543CFF">
              <w:rPr>
                <w:rStyle w:val="SpecialBold"/>
              </w:rPr>
              <w:t>Comments</w:t>
            </w:r>
          </w:p>
        </w:tc>
      </w:tr>
      <w:tr w:rsidTr="007375B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CFF">
            <w:pPr>
              <w:pStyle w:val="BodyText"/>
              <w:rPr>
                <w:lang w:val="en-NZ"/>
              </w:rPr>
            </w:pPr>
            <w:r w:rsidRPr="00543CFF">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CFF">
            <w:pPr>
              <w:pStyle w:val="BodyText"/>
              <w:rPr>
                <w:lang w:val="en-NZ"/>
              </w:rPr>
            </w:pPr>
            <w:r w:rsidRPr="00543CFF">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CFF">
            <w:pPr>
              <w:pStyle w:val="BodyText"/>
              <w:rPr>
                <w:lang w:val="en-NZ"/>
              </w:rPr>
            </w:pPr>
            <w:r w:rsidRPr="00543CFF">
              <w:t xml:space="preserve">Unit descriptor edited. </w:t>
            </w:r>
          </w:p>
        </w:tc>
      </w:tr>
      <w:tr w:rsidTr="007375B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CFF">
            <w:pPr>
              <w:pStyle w:val="BodyText"/>
              <w:rPr>
                <w:lang w:val="en-NZ"/>
              </w:rPr>
            </w:pPr>
            <w:r w:rsidRPr="00543CFF">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CFF">
            <w:pPr>
              <w:pStyle w:val="BodyText"/>
              <w:rPr>
                <w:lang w:val="en-NZ"/>
              </w:rPr>
            </w:pPr>
            <w:r w:rsidRPr="00543CFF">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CFF">
            <w:pPr>
              <w:pStyle w:val="BodyText"/>
              <w:rPr>
                <w:lang w:val="en-NZ"/>
              </w:rPr>
            </w:pPr>
            <w:r w:rsidRPr="00543CFF">
              <w:t>Layout adjusted. No changes to content.</w:t>
            </w:r>
          </w:p>
        </w:tc>
      </w:tr>
      <w:tr w:rsidTr="007375B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CFF">
            <w:pPr>
              <w:pStyle w:val="BodyText"/>
              <w:rPr>
                <w:lang w:val="en-NZ"/>
              </w:rPr>
            </w:pPr>
            <w:r w:rsidRPr="00543CFF">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CFF">
            <w:pPr>
              <w:pStyle w:val="BodyText"/>
              <w:rPr>
                <w:lang w:val="en-NZ"/>
              </w:rPr>
            </w:pPr>
            <w:r w:rsidRPr="00543CFF">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CFF" w:rsidP="00543CFF">
            <w:pPr>
              <w:pStyle w:val="BodyText"/>
            </w:pPr>
            <w:r w:rsidRPr="00543CFF">
              <w:t>Primary release.</w:t>
            </w:r>
          </w:p>
        </w:tc>
      </w:tr>
    </w:tbl>
    <w:p w:rsidR="00000000" w:rsidRPr="00543CFF" w:rsidP="00543CFF">
      <w:pPr>
        <w:pStyle w:val="BodyText"/>
      </w:pPr>
    </w:p>
    <w:p w:rsidR="00000000" w:rsidRPr="00543CFF" w:rsidP="00543CFF">
      <w:pPr>
        <w:pStyle w:val="AllowPageBreak"/>
      </w:pPr>
    </w:p>
    <w:p w:rsidR="00000000" w:rsidRPr="00543CFF" w:rsidP="00543CFF">
      <w:pPr>
        <w:pStyle w:val="Heading1"/>
      </w:pPr>
      <w:bookmarkStart w:id="2" w:name="O_498133"/>
      <w:bookmarkEnd w:id="2"/>
      <w:r w:rsidRPr="00543CFF">
        <w:t>Unit Descriptor</w:t>
      </w:r>
    </w:p>
    <w:p w:rsidR="00000000" w:rsidRPr="00543CFF" w:rsidP="00543CFF">
      <w:pPr>
        <w:pStyle w:val="BodyText"/>
      </w:pPr>
      <w:r w:rsidRPr="00543CFF">
        <w:t>This unit covers the exercise of powers under the organisation's enabling legislation, and other relevant legislation for regulation, monitoring, inspe</w:t>
      </w:r>
      <w:r w:rsidRPr="00543CFF">
        <w:t xml:space="preserve">ction and investigation. It includes establishing regulatory powers, applying enabling legislation, utilising other legislation and standards, and working with other organisations. </w:t>
      </w:r>
    </w:p>
    <w:p w:rsidR="00000000" w:rsidRPr="00543CFF" w:rsidP="00543CFF">
      <w:pPr>
        <w:pStyle w:val="BodyText"/>
      </w:pPr>
      <w:r w:rsidRPr="00543CFF">
        <w:t>In practice, exercising regulatory powers occurs in the context of other s</w:t>
      </w:r>
      <w:r w:rsidRPr="00543CFF">
        <w:t xml:space="preserve">pecialist and generalist public sector work activities such as acting ethically, promoting client compliance, assessing compliance, conducting investigations, making arrests, conducting search and seizure, interviewing, gathering evidence, etc. </w:t>
      </w:r>
    </w:p>
    <w:p w:rsidR="007375BB" w:rsidP="00543CFF">
      <w:pPr>
        <w:pStyle w:val="BodyText"/>
      </w:pPr>
      <w:r w:rsidRPr="00543CFF">
        <w:t>No licensi</w:t>
      </w:r>
      <w:r w:rsidRPr="00543CFF">
        <w:t>ng, legislative, regulatory or certification requirements apply to this unit at the time of endorsement.</w:t>
      </w:r>
    </w:p>
    <w:p w:rsidR="007375BB" w:rsidP="00543CFF">
      <w:pPr>
        <w:pStyle w:val="BodyText"/>
      </w:pPr>
    </w:p>
    <w:p w:rsidR="00000000" w:rsidRPr="00543CFF" w:rsidP="00543CFF">
      <w:pPr>
        <w:pStyle w:val="Heading1"/>
      </w:pPr>
      <w:bookmarkStart w:id="3" w:name="O_498143"/>
      <w:bookmarkEnd w:id="3"/>
      <w:r w:rsidRPr="00543CFF">
        <w:t>Application of the Unit</w:t>
      </w:r>
    </w:p>
    <w:p w:rsidR="00000000" w:rsidRPr="00543CFF" w:rsidP="00543CFF">
      <w:pPr>
        <w:pStyle w:val="BodyText"/>
      </w:pPr>
      <w:r w:rsidRPr="00543CFF">
        <w:t>Not applicable.</w:t>
      </w:r>
    </w:p>
    <w:p w:rsidR="00000000" w:rsidRPr="00543CFF" w:rsidP="00543CFF">
      <w:pPr>
        <w:pStyle w:val="AllowPageBreak"/>
      </w:pPr>
    </w:p>
    <w:p w:rsidR="00000000" w:rsidRPr="00543CFF" w:rsidP="00543CFF">
      <w:pPr>
        <w:pStyle w:val="Heading1"/>
      </w:pPr>
      <w:bookmarkStart w:id="4" w:name="O_498131"/>
      <w:bookmarkEnd w:id="4"/>
      <w:r w:rsidRPr="00543CFF">
        <w:t>Licensing/Regulatory Information</w:t>
      </w:r>
    </w:p>
    <w:p w:rsidR="00000000" w:rsidRPr="00543CFF" w:rsidP="00543CFF">
      <w:pPr>
        <w:pStyle w:val="BodyText"/>
      </w:pPr>
      <w:r w:rsidRPr="00543CFF">
        <w:t>Not applicable.</w:t>
      </w:r>
    </w:p>
    <w:p w:rsidR="00000000" w:rsidRPr="00543CFF" w:rsidP="00543CFF">
      <w:pPr>
        <w:pStyle w:val="AllowPageBreak"/>
      </w:pPr>
    </w:p>
    <w:p w:rsidR="00000000" w:rsidRPr="00543CFF" w:rsidP="00543CFF">
      <w:pPr>
        <w:pStyle w:val="Heading1"/>
      </w:pPr>
      <w:bookmarkStart w:id="5" w:name="O_498135"/>
      <w:bookmarkEnd w:id="5"/>
      <w:r w:rsidRPr="00543CFF">
        <w:t>Pre-Requisites</w:t>
      </w:r>
    </w:p>
    <w:p w:rsidR="00000000" w:rsidRPr="00543CFF" w:rsidP="00543CFF">
      <w:pPr>
        <w:pStyle w:val="BodyText"/>
      </w:pPr>
      <w:r w:rsidRPr="00543CFF">
        <w:t>Not applicable.</w:t>
      </w:r>
    </w:p>
    <w:p w:rsidR="00000000" w:rsidRPr="00543CFF" w:rsidP="00543CFF">
      <w:pPr>
        <w:pStyle w:val="AllowPageBreak"/>
      </w:pPr>
    </w:p>
    <w:p w:rsidR="00000000" w:rsidRPr="00543CFF" w:rsidP="00543CFF">
      <w:pPr>
        <w:pStyle w:val="Heading1"/>
      </w:pPr>
      <w:bookmarkStart w:id="6" w:name="O_498139"/>
      <w:bookmarkEnd w:id="6"/>
      <w:r w:rsidRPr="00543CFF">
        <w:t>Employability Skills Information</w:t>
      </w:r>
    </w:p>
    <w:p w:rsidR="00000000" w:rsidRPr="00543CFF" w:rsidP="00543CFF">
      <w:pPr>
        <w:pStyle w:val="BodyText"/>
      </w:pPr>
      <w:r w:rsidRPr="00543CFF">
        <w:t>This unit contains employability skills.</w:t>
      </w:r>
    </w:p>
    <w:p w:rsidR="00000000" w:rsidRPr="00543CFF" w:rsidP="00543CFF">
      <w:pPr>
        <w:pStyle w:val="AllowPageBreak"/>
      </w:pPr>
    </w:p>
    <w:p w:rsidR="00000000" w:rsidRPr="00543CFF" w:rsidP="00543CFF">
      <w:pPr>
        <w:pStyle w:val="Heading1"/>
      </w:pPr>
      <w:bookmarkStart w:id="7" w:name="O_498140"/>
      <w:bookmarkEnd w:id="7"/>
      <w:r w:rsidRPr="00543CFF">
        <w:t>Elements and Performance Criteria Pre-Content</w:t>
      </w:r>
    </w:p>
    <w:tbl>
      <w:tblPr>
        <w:tblW w:w="9322" w:type="dxa"/>
        <w:tblLayout w:type="fixed"/>
        <w:tblCellMar>
          <w:left w:w="62" w:type="dxa"/>
          <w:right w:w="62" w:type="dxa"/>
        </w:tblCellMar>
        <w:tblLook w:val="0000"/>
      </w:tblPr>
      <w:tblGrid>
        <w:gridCol w:w="2660"/>
        <w:gridCol w:w="6662"/>
      </w:tblGrid>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3CFF">
            <w:pPr>
              <w:pStyle w:val="BodyText"/>
              <w:rPr>
                <w:lang w:val="en-NZ"/>
              </w:rPr>
            </w:pPr>
            <w:r w:rsidRPr="00543CFF">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BodyText"/>
            </w:pPr>
            <w:r w:rsidRPr="00543CFF">
              <w:t>Together</w:t>
            </w:r>
            <w:r w:rsidRPr="00543CFF">
              <w:t>, performance criteria specify the requirements for competent performance. Text in</w:t>
            </w:r>
            <w:r w:rsidRPr="00543CFF">
              <w:rPr>
                <w:rStyle w:val="BoldandItalics"/>
              </w:rPr>
              <w:t xml:space="preserve"> bold italics</w:t>
            </w:r>
            <w:r w:rsidRPr="00543CFF">
              <w:t xml:space="preserve"> is explained in the Range Statement following.</w:t>
            </w:r>
          </w:p>
        </w:tc>
      </w:tr>
    </w:tbl>
    <w:p w:rsidR="00000000" w:rsidRPr="00543CFF" w:rsidP="00543CFF">
      <w:pPr>
        <w:pStyle w:val="BodyText"/>
      </w:pPr>
    </w:p>
    <w:p w:rsidR="00000000" w:rsidRPr="00543CFF" w:rsidP="00543CFF">
      <w:pPr>
        <w:pStyle w:val="AllowPageBreak"/>
      </w:pPr>
    </w:p>
    <w:p w:rsidR="00000000" w:rsidRPr="00543CFF" w:rsidP="00543CFF">
      <w:pPr>
        <w:pStyle w:val="Heading1"/>
      </w:pPr>
      <w:bookmarkStart w:id="8" w:name="O_498141"/>
      <w:bookmarkEnd w:id="8"/>
      <w:r w:rsidRPr="00543CFF">
        <w:t>Elements and Performance Criteria</w:t>
      </w:r>
    </w:p>
    <w:tbl>
      <w:tblPr>
        <w:tblW w:w="9322" w:type="dxa"/>
        <w:tblLayout w:type="fixed"/>
        <w:tblCellMar>
          <w:left w:w="62" w:type="dxa"/>
          <w:right w:w="62" w:type="dxa"/>
        </w:tblCellMar>
        <w:tblLook w:val="0000"/>
      </w:tblPr>
      <w:tblGrid>
        <w:gridCol w:w="2660"/>
        <w:gridCol w:w="6662"/>
      </w:tblGrid>
      <w:tr w:rsidTr="007375B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43CFF" w:rsidP="00543CFF">
            <w:pPr>
              <w:pStyle w:val="BodyText"/>
            </w:pPr>
            <w:r w:rsidRPr="00543CF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43CFF">
            <w:pPr>
              <w:pStyle w:val="BodyText"/>
              <w:rPr>
                <w:lang w:val="en-NZ"/>
              </w:rPr>
            </w:pPr>
            <w:r w:rsidRPr="00543CFF">
              <w:rPr>
                <w:rStyle w:val="SpecialBold"/>
              </w:rPr>
              <w:t>PERFORMANCE CRITERIA</w:t>
            </w:r>
          </w:p>
        </w:tc>
      </w:tr>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3CFF">
            <w:pPr>
              <w:pStyle w:val="List"/>
              <w:rPr>
                <w:lang w:val="en-NZ"/>
              </w:rPr>
            </w:pPr>
            <w:r w:rsidRPr="00543CFF">
              <w:rPr>
                <w:rStyle w:val="SpecialBold"/>
              </w:rPr>
              <w:t>1</w:t>
            </w:r>
            <w:r w:rsidRPr="00543CFF">
              <w:t xml:space="preserve">.  </w:t>
            </w:r>
            <w:r w:rsidRPr="00543CFF">
              <w:tab/>
            </w:r>
            <w:r w:rsidRPr="00543CFF">
              <w:rPr>
                <w:rStyle w:val="SpecialBold"/>
              </w:rPr>
              <w:t>Establish regulatory powers</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List"/>
            </w:pPr>
            <w:r w:rsidRPr="00543CFF">
              <w:t>1.1</w:t>
            </w:r>
            <w:r w:rsidRPr="00543CFF">
              <w:tab/>
              <w:t xml:space="preserve">Current information relating to enabling </w:t>
            </w:r>
            <w:r w:rsidRPr="00543CFF">
              <w:rPr>
                <w:rStyle w:val="BoldandItalics"/>
              </w:rPr>
              <w:t xml:space="preserve">legislation </w:t>
            </w:r>
            <w:r w:rsidRPr="00543CFF">
              <w:t>and regulations is accessed and used to maintain up-to-date knowledge of requirements.</w:t>
            </w:r>
          </w:p>
          <w:p w:rsidR="00000000" w:rsidRPr="00543CFF" w:rsidP="00543CFF">
            <w:pPr>
              <w:pStyle w:val="List"/>
            </w:pPr>
            <w:r w:rsidRPr="00543CFF">
              <w:t>1.2</w:t>
            </w:r>
            <w:r w:rsidRPr="00543CFF">
              <w:tab/>
              <w:t>Powers provided under the legislation and the boundaries of those powers are con</w:t>
            </w:r>
            <w:r w:rsidRPr="00543CFF">
              <w:t>firmed.</w:t>
            </w:r>
          </w:p>
          <w:p w:rsidR="00000000" w:rsidRPr="00543CFF" w:rsidP="00543CFF">
            <w:pPr>
              <w:pStyle w:val="List"/>
            </w:pPr>
            <w:r w:rsidRPr="00543CFF">
              <w:t>1.3</w:t>
            </w:r>
            <w:r w:rsidRPr="00543CFF">
              <w:tab/>
              <w:t>Compliance requirements of the legislation, related regulations, standards, codes of practice and policy are identified and confirmed.</w:t>
            </w:r>
          </w:p>
          <w:p w:rsidR="00000000" w:rsidP="00543CFF">
            <w:pPr>
              <w:pStyle w:val="List"/>
              <w:rPr>
                <w:lang w:val="en-NZ"/>
              </w:rPr>
            </w:pPr>
            <w:r w:rsidRPr="00543CFF">
              <w:t>1.4</w:t>
            </w:r>
            <w:r w:rsidRPr="00543CFF">
              <w:tab/>
              <w:t>Acts and omissions that comprise non-compliance/offences under the legislation are identified and confirm</w:t>
            </w:r>
            <w:r w:rsidRPr="00543CFF">
              <w:t>ed.</w:t>
            </w:r>
          </w:p>
        </w:tc>
      </w:tr>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3CFF">
            <w:pPr>
              <w:pStyle w:val="List"/>
              <w:rPr>
                <w:lang w:val="en-NZ"/>
              </w:rPr>
            </w:pPr>
            <w:r w:rsidRPr="00543CFF">
              <w:rPr>
                <w:rStyle w:val="SpecialBold"/>
              </w:rPr>
              <w:t>2</w:t>
            </w:r>
            <w:r w:rsidRPr="00543CFF">
              <w:t xml:space="preserve">.  </w:t>
            </w:r>
            <w:r w:rsidRPr="00543CFF">
              <w:tab/>
            </w:r>
            <w:r w:rsidRPr="00543CFF">
              <w:rPr>
                <w:rStyle w:val="SpecialBold"/>
              </w:rPr>
              <w:t>Apply enabling legislation</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List"/>
            </w:pPr>
            <w:r w:rsidRPr="00543CFF">
              <w:t>2.1</w:t>
            </w:r>
            <w:r w:rsidRPr="00543CFF">
              <w:tab/>
              <w:t>Circumstances where regulatory powers will be exercised are identified and analysed to determine</w:t>
            </w:r>
            <w:r w:rsidRPr="00543CFF">
              <w:rPr>
                <w:rStyle w:val="BoldandItalics"/>
              </w:rPr>
              <w:t xml:space="preserve"> response/s or measures </w:t>
            </w:r>
            <w:r w:rsidRPr="00543CFF">
              <w:t>to apply, in accordance with the legislation and organisational policy and procedures.</w:t>
            </w:r>
          </w:p>
          <w:p w:rsidR="00000000" w:rsidRPr="00543CFF" w:rsidP="00543CFF">
            <w:pPr>
              <w:pStyle w:val="List"/>
            </w:pPr>
            <w:r w:rsidRPr="00543CFF">
              <w:t>2.2</w:t>
            </w:r>
            <w:r w:rsidRPr="00543CFF">
              <w:tab/>
              <w:t>Circ</w:t>
            </w:r>
            <w:r w:rsidRPr="00543CFF">
              <w:t>umstances requiring the exercise of regulatory powers that are outside own limits are identified and referral to others is made in accordance with organisational policy and procedures.</w:t>
            </w:r>
          </w:p>
          <w:p w:rsidR="00000000" w:rsidRPr="00543CFF" w:rsidP="00543CFF">
            <w:pPr>
              <w:pStyle w:val="List"/>
            </w:pPr>
            <w:r w:rsidRPr="00543CFF">
              <w:t>2.3</w:t>
            </w:r>
            <w:r w:rsidRPr="00543CFF">
              <w:tab/>
            </w:r>
            <w:r w:rsidRPr="00543CFF">
              <w:rPr>
                <w:rStyle w:val="BoldandItalics"/>
              </w:rPr>
              <w:t>Risks associated with the exercise of regulatory powers</w:t>
            </w:r>
            <w:r w:rsidRPr="00543CFF">
              <w:t xml:space="preserve"> are identif</w:t>
            </w:r>
            <w:r w:rsidRPr="00543CFF">
              <w:t>ied and strategies to manage risks are identified in accordance with the organisation's risk management strategy.</w:t>
            </w:r>
          </w:p>
          <w:p w:rsidR="00000000" w:rsidP="00543CFF">
            <w:pPr>
              <w:pStyle w:val="List"/>
              <w:rPr>
                <w:lang w:val="en-NZ"/>
              </w:rPr>
            </w:pPr>
            <w:r w:rsidRPr="00543CFF">
              <w:t>2.4</w:t>
            </w:r>
            <w:r w:rsidRPr="00543CFF">
              <w:tab/>
              <w:t>Enabling legislation is applied consistent with the boundaries and powers contained therein and organisational policy and procedures.</w:t>
            </w:r>
          </w:p>
        </w:tc>
      </w:tr>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3CFF">
            <w:pPr>
              <w:pStyle w:val="List"/>
              <w:rPr>
                <w:lang w:val="en-NZ"/>
              </w:rPr>
            </w:pPr>
            <w:r w:rsidRPr="00543CFF">
              <w:rPr>
                <w:rStyle w:val="SpecialBold"/>
              </w:rPr>
              <w:t>3</w:t>
            </w:r>
            <w:r w:rsidRPr="00543CFF">
              <w:t xml:space="preserve">. </w:t>
            </w:r>
            <w:r w:rsidRPr="00543CFF">
              <w:t xml:space="preserve"> </w:t>
            </w:r>
            <w:r w:rsidRPr="00543CFF">
              <w:tab/>
            </w:r>
            <w:r w:rsidRPr="00543CFF">
              <w:rPr>
                <w:rStyle w:val="SpecialBold"/>
              </w:rPr>
              <w:t>Utilise other legislation and standards</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List"/>
            </w:pPr>
            <w:r w:rsidRPr="00543CFF">
              <w:t>3.1</w:t>
            </w:r>
            <w:r w:rsidRPr="00543CFF">
              <w:tab/>
            </w:r>
            <w:r w:rsidRPr="00543CFF">
              <w:rPr>
                <w:rStyle w:val="BoldandItalics"/>
              </w:rPr>
              <w:t xml:space="preserve">Other legislation </w:t>
            </w:r>
            <w:r w:rsidRPr="00543CFF">
              <w:t xml:space="preserve">and </w:t>
            </w:r>
            <w:r w:rsidRPr="00543CFF">
              <w:rPr>
                <w:rStyle w:val="BoldandItalics"/>
              </w:rPr>
              <w:t xml:space="preserve">standards </w:t>
            </w:r>
            <w:r w:rsidRPr="00543CFF">
              <w:t>which impact on powers are identified and their requirements confirmed.</w:t>
            </w:r>
          </w:p>
          <w:p w:rsidR="00000000" w:rsidP="00543CFF">
            <w:pPr>
              <w:pStyle w:val="List"/>
              <w:rPr>
                <w:lang w:val="en-NZ"/>
              </w:rPr>
            </w:pPr>
            <w:r w:rsidRPr="00543CFF">
              <w:t>3.2</w:t>
            </w:r>
            <w:r w:rsidRPr="00543CFF">
              <w:tab/>
              <w:t>Apparently conflicting legislative directions are resolved or referred in accordance with organisation</w:t>
            </w:r>
            <w:r w:rsidRPr="00543CFF">
              <w:t>al policy and procedures.</w:t>
            </w:r>
          </w:p>
        </w:tc>
      </w:tr>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3CFF">
            <w:pPr>
              <w:pStyle w:val="List"/>
              <w:rPr>
                <w:lang w:val="en-NZ"/>
              </w:rPr>
            </w:pPr>
            <w:r w:rsidRPr="00543CFF">
              <w:rPr>
                <w:rStyle w:val="SpecialBold"/>
              </w:rPr>
              <w:t>4</w:t>
            </w:r>
            <w:r w:rsidRPr="00543CFF">
              <w:t xml:space="preserve">. </w:t>
            </w:r>
            <w:r w:rsidRPr="00543CFF">
              <w:tab/>
            </w:r>
            <w:r w:rsidRPr="00543CFF">
              <w:rPr>
                <w:rStyle w:val="SpecialBold"/>
              </w:rPr>
              <w:t>Work with other organisations</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List"/>
            </w:pPr>
            <w:r w:rsidRPr="00543CFF">
              <w:t>4.1</w:t>
            </w:r>
            <w:r w:rsidRPr="00543CFF">
              <w:tab/>
              <w:t xml:space="preserve">Organisations that have jurisdictions which may overlap are identified and </w:t>
            </w:r>
            <w:r w:rsidRPr="00543CFF">
              <w:rPr>
                <w:rStyle w:val="BoldandItalics"/>
              </w:rPr>
              <w:t xml:space="preserve">relationships </w:t>
            </w:r>
            <w:r w:rsidRPr="00543CFF">
              <w:t>are established and maintained in accordance with organisational policy and procedures.</w:t>
            </w:r>
          </w:p>
          <w:p w:rsidR="00000000" w:rsidRPr="00543CFF" w:rsidP="00543CFF">
            <w:pPr>
              <w:pStyle w:val="List"/>
            </w:pPr>
            <w:r w:rsidRPr="00543CFF">
              <w:t>4.2</w:t>
            </w:r>
            <w:r w:rsidRPr="00543CFF">
              <w:tab/>
            </w:r>
            <w:r w:rsidRPr="00543CFF">
              <w:t>Organisations available to provide assistance and advice or take referrals are identified and relationships are established for mutual benefit.</w:t>
            </w:r>
          </w:p>
          <w:p w:rsidR="00000000" w:rsidRPr="00543CFF" w:rsidP="00543CFF">
            <w:pPr>
              <w:pStyle w:val="List"/>
            </w:pPr>
            <w:r w:rsidRPr="00543CFF">
              <w:t>4.3</w:t>
            </w:r>
            <w:r w:rsidRPr="00543CFF">
              <w:tab/>
              <w:t xml:space="preserve">Organisational protocols and procedures are followed when working with </w:t>
            </w:r>
            <w:r w:rsidRPr="00543CFF">
              <w:rPr>
                <w:rStyle w:val="BoldandItalics"/>
              </w:rPr>
              <w:t>other organisations</w:t>
            </w:r>
            <w:r w:rsidRPr="00543CFF">
              <w:t>.</w:t>
            </w:r>
          </w:p>
          <w:p w:rsidR="00000000" w:rsidRPr="00543CFF" w:rsidP="00543CFF">
            <w:pPr>
              <w:pStyle w:val="List"/>
            </w:pPr>
            <w:r w:rsidRPr="00543CFF">
              <w:t>4.4</w:t>
            </w:r>
            <w:r w:rsidRPr="00543CFF">
              <w:tab/>
              <w:t>Compliance m</w:t>
            </w:r>
            <w:r w:rsidRPr="00543CFF">
              <w:t>atters are referred to other organisations for action when required in accordance with organisational policy and procedures.</w:t>
            </w:r>
          </w:p>
          <w:p w:rsidR="00000000" w:rsidRPr="00543CFF" w:rsidP="00543CFF">
            <w:pPr>
              <w:pStyle w:val="List"/>
            </w:pPr>
            <w:r w:rsidRPr="00543CFF">
              <w:t>4.5</w:t>
            </w:r>
            <w:r w:rsidRPr="00543CFF">
              <w:tab/>
              <w:t>Lead agency protocols/lines of authority are followed during operations involving more than one organisation.</w:t>
            </w:r>
          </w:p>
        </w:tc>
      </w:tr>
    </w:tbl>
    <w:p w:rsidR="00000000" w:rsidRPr="00543CFF" w:rsidP="00543CFF">
      <w:pPr>
        <w:pStyle w:val="BodyText"/>
      </w:pPr>
    </w:p>
    <w:p w:rsidR="00000000" w:rsidRPr="00543CFF" w:rsidP="00543CFF">
      <w:pPr>
        <w:pStyle w:val="AllowPageBreak"/>
      </w:pPr>
    </w:p>
    <w:p w:rsidR="00000000" w:rsidRPr="00543CFF" w:rsidP="00543CFF">
      <w:pPr>
        <w:pStyle w:val="Heading1"/>
      </w:pPr>
      <w:bookmarkStart w:id="9" w:name="O_498136"/>
      <w:bookmarkEnd w:id="9"/>
      <w:r w:rsidRPr="00543CFF">
        <w:t>Required Skills and Knowledge</w:t>
      </w:r>
    </w:p>
    <w:tbl>
      <w:tblPr>
        <w:tblW w:w="0" w:type="auto"/>
        <w:tblLayout w:type="fixed"/>
        <w:tblCellMar>
          <w:left w:w="62" w:type="dxa"/>
          <w:right w:w="62" w:type="dxa"/>
        </w:tblCellMar>
        <w:tblLook w:val="0000"/>
      </w:tblPr>
      <w:tblGrid>
        <w:gridCol w:w="8553"/>
      </w:tblGrid>
      <w:tr w:rsidTr="007375B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543CFF">
            <w:pPr>
              <w:pStyle w:val="BodyText"/>
              <w:rPr>
                <w:lang w:val="en-NZ"/>
              </w:rPr>
            </w:pPr>
            <w:r w:rsidRPr="00543CFF">
              <w:t>This section describes the essential skills and knowledge and their level, required for this unit.</w:t>
            </w:r>
          </w:p>
        </w:tc>
      </w:tr>
      <w:tr w:rsidTr="007375B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43CFF" w:rsidP="00543CFF">
            <w:pPr>
              <w:pStyle w:val="BodyText"/>
            </w:pPr>
            <w:r w:rsidRPr="00543CFF">
              <w:rPr>
                <w:rStyle w:val="SpecialBold"/>
              </w:rPr>
              <w:t>Skill requirements</w:t>
            </w:r>
          </w:p>
          <w:p w:rsidR="00000000" w:rsidRPr="00543CFF" w:rsidP="00543CFF">
            <w:pPr>
              <w:pStyle w:val="BodyText"/>
            </w:pPr>
            <w:r w:rsidRPr="00543CFF">
              <w:t>Look for evidence that confirms skills in:</w:t>
            </w:r>
          </w:p>
          <w:p w:rsidR="00000000" w:rsidRPr="00543CFF" w:rsidP="00543CFF">
            <w:pPr>
              <w:pStyle w:val="ListBullet2"/>
            </w:pPr>
            <w:r w:rsidRPr="00543CFF">
              <w:t xml:space="preserve">undertaking research and analysis </w:t>
            </w:r>
          </w:p>
          <w:p w:rsidR="00000000" w:rsidRPr="00543CFF" w:rsidP="00543CFF">
            <w:pPr>
              <w:pStyle w:val="ListBullet2"/>
            </w:pPr>
            <w:r w:rsidRPr="00543CFF">
              <w:t xml:space="preserve">using information technology to access relevant legislation and procedures </w:t>
            </w:r>
          </w:p>
          <w:p w:rsidR="00000000" w:rsidRPr="00543CFF" w:rsidP="00543CFF">
            <w:pPr>
              <w:pStyle w:val="ListBullet2"/>
            </w:pPr>
            <w:r w:rsidRPr="00543CFF">
              <w:t>reading complex written materials such as legislation, regulations, codes of practice and legal precedents and applying them to work practices</w:t>
            </w:r>
          </w:p>
          <w:p w:rsidR="00000000" w:rsidRPr="00543CFF" w:rsidP="00543CFF">
            <w:pPr>
              <w:pStyle w:val="ListBullet2"/>
            </w:pPr>
            <w:r w:rsidRPr="00543CFF">
              <w:t>using scanning techniques to locate m</w:t>
            </w:r>
            <w:r w:rsidRPr="00543CFF">
              <w:t>ain ideas in legislation, guidelines and policy documents</w:t>
            </w:r>
          </w:p>
          <w:p w:rsidR="00000000" w:rsidRPr="00543CFF" w:rsidP="00543CFF">
            <w:pPr>
              <w:pStyle w:val="ListBullet2"/>
            </w:pPr>
            <w:r w:rsidRPr="00543CFF">
              <w:t>engaging in discussion involving exchanges of often complex oral information</w:t>
            </w:r>
          </w:p>
          <w:p w:rsidR="00000000" w:rsidRPr="00543CFF" w:rsidP="00543CFF">
            <w:pPr>
              <w:pStyle w:val="ListBullet2"/>
            </w:pPr>
            <w:r w:rsidRPr="00543CFF">
              <w:t xml:space="preserve">communicating with a range of people from diverse backgrounds </w:t>
            </w:r>
          </w:p>
          <w:p w:rsidR="00000000" w:rsidRPr="00543CFF" w:rsidP="00543CFF">
            <w:pPr>
              <w:pStyle w:val="ListBullet2"/>
            </w:pPr>
            <w:r w:rsidRPr="00543CFF">
              <w:t>responding to diversity, including gender and disability</w:t>
            </w:r>
          </w:p>
          <w:p w:rsidR="00000000" w:rsidRPr="00543CFF" w:rsidP="00543CFF">
            <w:pPr>
              <w:pStyle w:val="ListBullet2"/>
            </w:pPr>
            <w:r w:rsidRPr="00543CFF">
              <w:t>c</w:t>
            </w:r>
            <w:r w:rsidRPr="00543CFF">
              <w:t>hoosing regulatory responses/measures to fit the circumstances and justifying those responses against legislation, guidelines, policy and regulations</w:t>
            </w:r>
          </w:p>
          <w:p w:rsidR="00000000" w:rsidRPr="00543CFF" w:rsidP="00543CFF">
            <w:pPr>
              <w:pStyle w:val="ListBullet2"/>
            </w:pPr>
            <w:r w:rsidRPr="00543CFF">
              <w:t xml:space="preserve">networking, building relationships and working with others </w:t>
            </w:r>
          </w:p>
          <w:p w:rsidR="00000000" w:rsidP="00543CFF">
            <w:pPr>
              <w:pStyle w:val="ListBullet2"/>
              <w:rPr>
                <w:lang w:val="en-NZ"/>
              </w:rPr>
            </w:pPr>
            <w:r w:rsidRPr="00543CFF">
              <w:t>applying occupational health and safety and en</w:t>
            </w:r>
            <w:r w:rsidRPr="00543CFF">
              <w:t>vironment procedures relating to the exercise of regulatory powers</w:t>
            </w:r>
          </w:p>
        </w:tc>
      </w:tr>
      <w:tr w:rsidTr="007375B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43CFF" w:rsidP="00543CFF">
            <w:pPr>
              <w:pStyle w:val="BodyText"/>
            </w:pPr>
          </w:p>
          <w:p w:rsidR="00000000" w:rsidRPr="00543CFF" w:rsidP="00543CFF">
            <w:pPr>
              <w:pStyle w:val="BodyText"/>
            </w:pPr>
            <w:r w:rsidRPr="00543CFF">
              <w:rPr>
                <w:rStyle w:val="SpecialBold"/>
              </w:rPr>
              <w:t>Knowledge requirements</w:t>
            </w:r>
          </w:p>
          <w:p w:rsidR="00000000" w:rsidRPr="00543CFF" w:rsidP="00543CFF">
            <w:pPr>
              <w:pStyle w:val="BodyText"/>
            </w:pPr>
            <w:r w:rsidRPr="00543CFF">
              <w:t>Look for evidence that confirms knowledge and understanding of:</w:t>
            </w:r>
          </w:p>
          <w:p w:rsidR="00000000" w:rsidRPr="00543CFF" w:rsidP="00543CFF">
            <w:pPr>
              <w:pStyle w:val="ListBullet2"/>
            </w:pPr>
            <w:r w:rsidRPr="00543CFF">
              <w:t>full range of regulatory powers and the limits to those powers</w:t>
            </w:r>
          </w:p>
          <w:p w:rsidR="00000000" w:rsidRPr="00543CFF" w:rsidP="00543CFF">
            <w:pPr>
              <w:pStyle w:val="ListBullet2"/>
            </w:pPr>
            <w:r w:rsidRPr="00543CFF">
              <w:t xml:space="preserve">enabling legislation </w:t>
            </w:r>
          </w:p>
          <w:p w:rsidR="00000000" w:rsidRPr="00543CFF" w:rsidP="00543CFF">
            <w:pPr>
              <w:pStyle w:val="ListBullet2"/>
            </w:pPr>
            <w:r w:rsidRPr="00543CFF">
              <w:t>offences under the legislation</w:t>
            </w:r>
          </w:p>
          <w:p w:rsidR="00000000" w:rsidRPr="00543CFF" w:rsidP="00543CFF">
            <w:pPr>
              <w:pStyle w:val="ListBullet2"/>
            </w:pPr>
            <w:r w:rsidRPr="00543CFF">
              <w:t>aspects of criminal law, administrative law, industrial law, contract law</w:t>
            </w:r>
          </w:p>
          <w:p w:rsidR="00000000" w:rsidRPr="00543CFF" w:rsidP="00543CFF">
            <w:pPr>
              <w:pStyle w:val="ListBullet2"/>
            </w:pPr>
            <w:r w:rsidRPr="00543CFF">
              <w:t>statutory time limits</w:t>
            </w:r>
          </w:p>
          <w:p w:rsidR="00000000" w:rsidRPr="00543CFF" w:rsidP="00543CFF">
            <w:pPr>
              <w:pStyle w:val="ListBullet2"/>
            </w:pPr>
            <w:r w:rsidRPr="00543CFF">
              <w:t>applicable standards</w:t>
            </w:r>
          </w:p>
          <w:p w:rsidR="00000000" w:rsidRPr="00543CFF" w:rsidP="00543CFF">
            <w:pPr>
              <w:pStyle w:val="ListBullet2"/>
            </w:pPr>
            <w:r w:rsidRPr="00543CFF">
              <w:t>terminology used in legislation and procedures</w:t>
            </w:r>
          </w:p>
          <w:p w:rsidR="00000000" w:rsidRPr="00543CFF" w:rsidP="00543CFF">
            <w:pPr>
              <w:pStyle w:val="ListBullet2"/>
            </w:pPr>
            <w:r w:rsidRPr="00543CFF">
              <w:t>organisational policies, guidelines and regulations</w:t>
            </w:r>
          </w:p>
          <w:p w:rsidR="00000000" w:rsidRPr="00543CFF" w:rsidP="00543CFF">
            <w:pPr>
              <w:pStyle w:val="ListBullet2"/>
            </w:pPr>
            <w:r w:rsidRPr="00543CFF">
              <w:t>equity an</w:t>
            </w:r>
            <w:r w:rsidRPr="00543CFF">
              <w:t>d diversity principles</w:t>
            </w:r>
          </w:p>
          <w:p w:rsidR="00000000" w:rsidRPr="00543CFF" w:rsidP="00543CFF">
            <w:pPr>
              <w:pStyle w:val="ListBullet2"/>
            </w:pPr>
            <w:r w:rsidRPr="00543CFF">
              <w:t xml:space="preserve">public sector legislation such as occupational health and safety and environment relating to the exercise of regulatory powers </w:t>
            </w:r>
          </w:p>
        </w:tc>
      </w:tr>
    </w:tbl>
    <w:p w:rsidR="00000000" w:rsidRPr="00543CFF" w:rsidP="00543CFF">
      <w:pPr>
        <w:pStyle w:val="BodyText"/>
      </w:pPr>
    </w:p>
    <w:p w:rsidR="00000000" w:rsidRPr="00543CFF" w:rsidP="00543CFF">
      <w:pPr>
        <w:pStyle w:val="AllowPageBreak"/>
      </w:pPr>
    </w:p>
    <w:p w:rsidR="00000000" w:rsidRPr="00543CFF" w:rsidP="00543CFF">
      <w:pPr>
        <w:pStyle w:val="Heading1"/>
      </w:pPr>
      <w:bookmarkStart w:id="10" w:name="O_498137"/>
      <w:bookmarkEnd w:id="10"/>
      <w:r w:rsidRPr="00543CFF">
        <w:t>Evidence Guide</w:t>
      </w:r>
    </w:p>
    <w:tbl>
      <w:tblPr>
        <w:tblW w:w="9322" w:type="dxa"/>
        <w:tblLayout w:type="fixed"/>
        <w:tblCellMar>
          <w:left w:w="62" w:type="dxa"/>
          <w:right w:w="62" w:type="dxa"/>
        </w:tblCellMar>
        <w:tblLook w:val="0000"/>
      </w:tblPr>
      <w:tblGrid>
        <w:gridCol w:w="2660"/>
        <w:gridCol w:w="6662"/>
      </w:tblGrid>
      <w:tr w:rsidTr="007375B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43CFF">
            <w:pPr>
              <w:pStyle w:val="BodyText"/>
              <w:rPr>
                <w:lang w:val="en-NZ"/>
              </w:rPr>
            </w:pPr>
            <w:r w:rsidRPr="00543CFF">
              <w:t>The Evidence Guide specifies the evidence required to demonstrate achievement in the unit of competency as a whole. It must be read in conjunction with the Unit descriptor, Performance Criteria, the Range Statement and the Assessment Guidelines for the Pub</w:t>
            </w:r>
            <w:r w:rsidRPr="00543CFF">
              <w:t>lic Sector Training Package.</w:t>
            </w:r>
          </w:p>
        </w:tc>
      </w:tr>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43CFF" w:rsidP="00543CFF">
            <w:pPr>
              <w:pStyle w:val="BodyText"/>
            </w:pPr>
            <w:r w:rsidRPr="00543CFF">
              <w:rPr>
                <w:rStyle w:val="SpecialBold"/>
              </w:rPr>
              <w:t>Units to be assessed together</w:t>
            </w:r>
            <w:r w:rsidRPr="00543CFF">
              <w:t xml:space="preserve"> </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ListBullet2"/>
            </w:pPr>
            <w:r w:rsidRPr="00543CFF">
              <w:rPr>
                <w:rStyle w:val="Emphasis"/>
              </w:rPr>
              <w:t>Pre</w:t>
            </w:r>
            <w:r w:rsidRPr="00543CFF">
              <w:t>-</w:t>
            </w:r>
            <w:r w:rsidRPr="00543CFF">
              <w:rPr>
                <w:rStyle w:val="Emphasis"/>
              </w:rPr>
              <w:t>requisite</w:t>
            </w:r>
            <w:r w:rsidRPr="00543CFF">
              <w:t xml:space="preserve"> units that </w:t>
            </w:r>
            <w:r w:rsidRPr="00543CFF">
              <w:rPr>
                <w:rStyle w:val="Underline"/>
              </w:rPr>
              <w:t>must</w:t>
            </w:r>
            <w:r w:rsidRPr="00543CFF">
              <w:t xml:space="preserve"> be achieved </w:t>
            </w:r>
            <w:r w:rsidRPr="00543CFF">
              <w:rPr>
                <w:rStyle w:val="Underline"/>
              </w:rPr>
              <w:t>prior</w:t>
            </w:r>
            <w:r w:rsidRPr="00543CFF">
              <w:t xml:space="preserve"> to this unit:</w:t>
            </w:r>
            <w:r w:rsidRPr="00543CFF">
              <w:rPr>
                <w:rStyle w:val="Emphasis"/>
              </w:rPr>
              <w:t>Nil</w:t>
            </w:r>
          </w:p>
          <w:p w:rsidR="00000000" w:rsidRPr="00543CFF" w:rsidP="00543CFF">
            <w:pPr>
              <w:pStyle w:val="ListBullet2"/>
            </w:pPr>
            <w:r w:rsidRPr="00543CFF">
              <w:rPr>
                <w:rStyle w:val="Emphasis"/>
              </w:rPr>
              <w:t>Co</w:t>
            </w:r>
            <w:r w:rsidRPr="00543CFF">
              <w:t>-</w:t>
            </w:r>
            <w:r w:rsidRPr="00543CFF">
              <w:rPr>
                <w:rStyle w:val="Emphasis"/>
              </w:rPr>
              <w:t>requisite</w:t>
            </w:r>
            <w:r w:rsidRPr="00543CFF">
              <w:t xml:space="preserve"> units that </w:t>
            </w:r>
            <w:r w:rsidRPr="00543CFF">
              <w:rPr>
                <w:rStyle w:val="Underline"/>
              </w:rPr>
              <w:t>must</w:t>
            </w:r>
            <w:r w:rsidRPr="00543CFF">
              <w:t xml:space="preserve"> be assessed </w:t>
            </w:r>
            <w:r w:rsidRPr="00543CFF">
              <w:rPr>
                <w:rStyle w:val="Underline"/>
              </w:rPr>
              <w:t>with</w:t>
            </w:r>
            <w:r w:rsidRPr="00543CFF">
              <w:t xml:space="preserve"> this unit:</w:t>
            </w:r>
            <w:r w:rsidRPr="00543CFF">
              <w:rPr>
                <w:rStyle w:val="Emphasis"/>
              </w:rPr>
              <w:t>Nil</w:t>
            </w:r>
          </w:p>
          <w:p w:rsidR="00000000" w:rsidRPr="00543CFF" w:rsidP="00543CFF">
            <w:pPr>
              <w:pStyle w:val="ListBullet2"/>
            </w:pPr>
            <w:r w:rsidRPr="00543CFF">
              <w:rPr>
                <w:rStyle w:val="Emphasis"/>
              </w:rPr>
              <w:t>Co</w:t>
            </w:r>
            <w:r w:rsidRPr="00543CFF">
              <w:t>-</w:t>
            </w:r>
            <w:r w:rsidRPr="00543CFF">
              <w:rPr>
                <w:rStyle w:val="Emphasis"/>
              </w:rPr>
              <w:t>assessed units</w:t>
            </w:r>
            <w:r w:rsidRPr="00543CFF">
              <w:t xml:space="preserve"> that </w:t>
            </w:r>
            <w:r w:rsidRPr="00543CFF">
              <w:rPr>
                <w:rStyle w:val="Underline"/>
              </w:rPr>
              <w:t>may</w:t>
            </w:r>
            <w:r w:rsidRPr="00543CFF">
              <w:t xml:space="preserve"> be assessed with this unit to increase the efficiency and realism of the assessment process include, but are not limited to:</w:t>
            </w:r>
          </w:p>
          <w:p w:rsidR="00000000" w:rsidRPr="00543CFF" w:rsidP="00543CFF">
            <w:pPr>
              <w:pStyle w:val="ListBullet3"/>
            </w:pPr>
            <w:r w:rsidRPr="00543CFF">
              <w:t>PSPCRT401B Carry out court orderly functions</w:t>
            </w:r>
          </w:p>
          <w:p w:rsidR="00000000" w:rsidRPr="00543CFF" w:rsidP="00543CFF">
            <w:pPr>
              <w:pStyle w:val="ListBullet3"/>
            </w:pPr>
            <w:r w:rsidRPr="00543CFF">
              <w:t>PSPCRT402B Manage witnesses</w:t>
            </w:r>
          </w:p>
          <w:p w:rsidR="00000000" w:rsidRPr="00543CFF" w:rsidP="00543CFF">
            <w:pPr>
              <w:pStyle w:val="ListBullet3"/>
            </w:pPr>
            <w:r w:rsidRPr="00543CFF">
              <w:t>PSPCRT403B Handle exhibits and documents tendered</w:t>
            </w:r>
          </w:p>
          <w:p w:rsidR="00000000" w:rsidRPr="00543CFF" w:rsidP="00543CFF">
            <w:pPr>
              <w:pStyle w:val="ListBullet3"/>
            </w:pPr>
            <w:r w:rsidRPr="00543CFF">
              <w:t>PSPCRT404B Serve process</w:t>
            </w:r>
          </w:p>
          <w:p w:rsidR="00000000" w:rsidRPr="00543CFF" w:rsidP="00543CFF">
            <w:pPr>
              <w:pStyle w:val="ListBullet3"/>
            </w:pPr>
            <w:r w:rsidRPr="00543CFF">
              <w:t>PSPCRT405B Handle monies received in satisfaction of warrants or orders</w:t>
            </w:r>
          </w:p>
          <w:p w:rsidR="00000000" w:rsidRPr="00543CFF" w:rsidP="00543CFF">
            <w:pPr>
              <w:pStyle w:val="ListBullet3"/>
            </w:pPr>
            <w:r w:rsidRPr="00543CFF">
              <w:t>PSPCRT406B Compile and use official notes</w:t>
            </w:r>
          </w:p>
          <w:p w:rsidR="00000000" w:rsidRPr="00543CFF" w:rsidP="00543CFF">
            <w:pPr>
              <w:pStyle w:val="ListBullet3"/>
            </w:pPr>
            <w:r w:rsidRPr="00543CFF">
              <w:t xml:space="preserve">PSPETHC401A Uphold and support the values and principles of public service </w:t>
            </w:r>
          </w:p>
          <w:p w:rsidR="00000000" w:rsidRPr="00543CFF" w:rsidP="00543CFF">
            <w:pPr>
              <w:pStyle w:val="ListBullet3"/>
            </w:pPr>
            <w:r w:rsidRPr="00543CFF">
              <w:t>PSPGOV422A Apply government processes</w:t>
            </w:r>
          </w:p>
          <w:p w:rsidR="00000000" w:rsidRPr="00543CFF" w:rsidP="00543CFF">
            <w:pPr>
              <w:pStyle w:val="ListBullet3"/>
            </w:pPr>
            <w:r w:rsidRPr="00543CFF">
              <w:t>PSP</w:t>
            </w:r>
            <w:r w:rsidRPr="00543CFF">
              <w:t>LEGN401A Encourage compliance with legislation in the public sector</w:t>
            </w:r>
          </w:p>
          <w:p w:rsidR="00000000" w:rsidRPr="00543CFF" w:rsidP="00543CFF">
            <w:pPr>
              <w:pStyle w:val="ListBullet3"/>
            </w:pPr>
            <w:r w:rsidRPr="00543CFF">
              <w:t>PSPREG402C Promote client compliance</w:t>
            </w:r>
          </w:p>
          <w:p w:rsidR="00000000" w:rsidRPr="00543CFF" w:rsidP="00543CFF">
            <w:pPr>
              <w:pStyle w:val="ListBullet3"/>
            </w:pPr>
            <w:r w:rsidRPr="00543CFF">
              <w:t>PSPREG403B Assess compliance</w:t>
            </w:r>
          </w:p>
          <w:p w:rsidR="00000000" w:rsidRPr="00543CFF" w:rsidP="00543CFF">
            <w:pPr>
              <w:pStyle w:val="ListBullet3"/>
            </w:pPr>
            <w:r w:rsidRPr="00543CFF">
              <w:t>PSPREG404C Investigate non-compliance</w:t>
            </w:r>
          </w:p>
          <w:p w:rsidR="00000000" w:rsidRPr="00543CFF" w:rsidP="00543CFF">
            <w:pPr>
              <w:pStyle w:val="ListBullet3"/>
            </w:pPr>
            <w:r w:rsidRPr="00543CFF">
              <w:t>PSPREG405B Act on non-compliance</w:t>
            </w:r>
          </w:p>
          <w:p w:rsidR="00000000" w:rsidRPr="00543CFF" w:rsidP="00543CFF">
            <w:pPr>
              <w:pStyle w:val="ListBullet3"/>
            </w:pPr>
            <w:r w:rsidRPr="00543CFF">
              <w:t>PSPREG406C Make arrests</w:t>
            </w:r>
          </w:p>
          <w:p w:rsidR="00000000" w:rsidRPr="00543CFF" w:rsidP="00543CFF">
            <w:pPr>
              <w:pStyle w:val="ListBullet3"/>
            </w:pPr>
            <w:r w:rsidRPr="00543CFF">
              <w:t>PSPREG407B Produce formal r</w:t>
            </w:r>
            <w:r w:rsidRPr="00543CFF">
              <w:t xml:space="preserve">ecord of interview </w:t>
            </w:r>
          </w:p>
          <w:p w:rsidR="00000000" w:rsidRPr="00543CFF" w:rsidP="00543CFF">
            <w:pPr>
              <w:pStyle w:val="ListBullet3"/>
            </w:pPr>
            <w:r w:rsidRPr="00543CFF">
              <w:t>PSPREG408C Conduct search and seizure</w:t>
            </w:r>
          </w:p>
          <w:p w:rsidR="00000000" w:rsidRPr="00543CFF" w:rsidP="00543CFF">
            <w:pPr>
              <w:pStyle w:val="ListBullet3"/>
            </w:pPr>
            <w:r w:rsidRPr="00543CFF">
              <w:t xml:space="preserve">PSPREG409B Prepare a brief of evidence  </w:t>
            </w:r>
          </w:p>
          <w:p w:rsidR="00000000" w:rsidP="00543CFF">
            <w:pPr>
              <w:pStyle w:val="ListBullet3"/>
              <w:rPr>
                <w:lang w:val="en-NZ"/>
              </w:rPr>
            </w:pPr>
            <w:r w:rsidRPr="00543CFF">
              <w:t>PSPREG411A Gather information through interviews</w:t>
            </w:r>
          </w:p>
        </w:tc>
      </w:tr>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3CFF">
            <w:pPr>
              <w:pStyle w:val="BodyText"/>
              <w:rPr>
                <w:lang w:val="en-NZ"/>
              </w:rPr>
            </w:pPr>
            <w:r w:rsidRPr="00543CFF">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BodyText"/>
            </w:pPr>
            <w:r w:rsidRPr="00543CFF">
              <w:t>In addition to integrated demonstration of the elements and their related performance criteria, look for evidence that confirms:</w:t>
            </w:r>
          </w:p>
          <w:p w:rsidR="00000000" w:rsidRPr="00543CFF" w:rsidP="00543CFF">
            <w:pPr>
              <w:pStyle w:val="ListBullet2"/>
            </w:pPr>
            <w:r w:rsidRPr="00543CFF">
              <w:t xml:space="preserve">the knowledge requirements of this unit </w:t>
            </w:r>
          </w:p>
          <w:p w:rsidR="00000000" w:rsidRPr="00543CFF" w:rsidP="00543CFF">
            <w:pPr>
              <w:pStyle w:val="ListBullet2"/>
            </w:pPr>
            <w:r w:rsidRPr="00543CFF">
              <w:t>the skill requirements of this unit</w:t>
            </w:r>
          </w:p>
          <w:p w:rsidR="00000000" w:rsidRPr="00543CFF" w:rsidP="00543CFF">
            <w:pPr>
              <w:pStyle w:val="ListBullet2"/>
            </w:pPr>
            <w:r w:rsidRPr="00543CFF">
              <w:t>application of the Employability Skills as they r</w:t>
            </w:r>
            <w:r w:rsidRPr="00543CFF">
              <w:t>elate to this unit (see Employability Summaries in Qualifications Framework)</w:t>
            </w:r>
          </w:p>
          <w:p w:rsidR="00000000" w:rsidP="00543CFF">
            <w:pPr>
              <w:pStyle w:val="ListBullet2"/>
              <w:rPr>
                <w:lang w:val="en-NZ"/>
              </w:rPr>
            </w:pPr>
            <w:r w:rsidRPr="00543CFF">
              <w:t>the exercise of regulatory powers in a range of (3 or more) contexts (or occasions, over time)</w:t>
            </w:r>
          </w:p>
        </w:tc>
      </w:tr>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3CFF">
            <w:pPr>
              <w:pStyle w:val="BodyText"/>
              <w:rPr>
                <w:lang w:val="en-NZ"/>
              </w:rPr>
            </w:pPr>
            <w:r w:rsidRPr="00543CFF">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BodyText"/>
            </w:pPr>
            <w:r w:rsidRPr="00543CFF">
              <w:t>These resources include:</w:t>
            </w:r>
          </w:p>
          <w:p w:rsidR="00000000" w:rsidRPr="00543CFF" w:rsidP="00543CFF">
            <w:pPr>
              <w:pStyle w:val="ListBullet2"/>
            </w:pPr>
            <w:r w:rsidRPr="00543CFF">
              <w:t>legislation, r</w:t>
            </w:r>
            <w:r w:rsidRPr="00543CFF">
              <w:t>egulations, policy, guidelines and standards</w:t>
            </w:r>
          </w:p>
          <w:p w:rsidR="00000000" w:rsidRPr="00543CFF" w:rsidP="00543CFF">
            <w:pPr>
              <w:pStyle w:val="ListBullet2"/>
            </w:pPr>
            <w:r w:rsidRPr="00543CFF">
              <w:t>public sector values and codes of conduct</w:t>
            </w:r>
          </w:p>
          <w:p w:rsidR="00000000" w:rsidP="00543CFF">
            <w:pPr>
              <w:pStyle w:val="ListBullet2"/>
              <w:rPr>
                <w:lang w:val="en-NZ"/>
              </w:rPr>
            </w:pPr>
            <w:r w:rsidRPr="00543CFF">
              <w:t>case studies and workplace scenarios to capture the range of regulatory situations likely to be encountered</w:t>
            </w:r>
          </w:p>
        </w:tc>
      </w:tr>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3CFF">
            <w:pPr>
              <w:pStyle w:val="BodyText"/>
              <w:rPr>
                <w:lang w:val="en-NZ"/>
              </w:rPr>
            </w:pPr>
            <w:r w:rsidRPr="00543CFF">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BodyText"/>
            </w:pPr>
            <w:r w:rsidRPr="00543CFF">
              <w:t xml:space="preserve">Valid assessment of this unit requires: </w:t>
            </w:r>
          </w:p>
          <w:p w:rsidR="00000000" w:rsidRPr="00543CFF" w:rsidP="00543CFF">
            <w:pPr>
              <w:pStyle w:val="ListBullet2"/>
            </w:pPr>
            <w:r w:rsidRPr="00543CFF">
              <w:t>a workplace environment or one that closely resembles normal work practice and replicates the range of conditions likely to be encountered when exercising regulatory powers, including coping with difficulties, irre</w:t>
            </w:r>
            <w:r w:rsidRPr="00543CFF">
              <w:t>gularities and breakdowns in routine</w:t>
            </w:r>
          </w:p>
          <w:p w:rsidR="00000000" w:rsidRPr="00543CFF" w:rsidP="00543CFF">
            <w:pPr>
              <w:pStyle w:val="ListBullet2"/>
            </w:pPr>
            <w:r w:rsidRPr="00543CFF">
              <w:t>the exercise of regulatory powers in a range of (3 or more) contexts (or occasions, over time)</w:t>
            </w:r>
          </w:p>
          <w:p w:rsidR="00000000" w:rsidRPr="00543CFF" w:rsidP="00543CFF">
            <w:pPr>
              <w:pStyle w:val="BodyText"/>
            </w:pPr>
            <w:r w:rsidRPr="00543CFF">
              <w:t>Assessment methods should reflect workplace demands, such as literacy, and the needs of particular target groups, such as:</w:t>
            </w:r>
          </w:p>
          <w:p w:rsidR="00000000" w:rsidRPr="00543CFF" w:rsidP="00543CFF">
            <w:pPr>
              <w:pStyle w:val="ListBullet2"/>
            </w:pPr>
            <w:r w:rsidRPr="00543CFF">
              <w:t>people with disabilities</w:t>
            </w:r>
          </w:p>
          <w:p w:rsidR="00000000" w:rsidRPr="00543CFF" w:rsidP="00543CFF">
            <w:pPr>
              <w:pStyle w:val="ListBullet2"/>
            </w:pPr>
            <w:r w:rsidRPr="00543CFF">
              <w:t>people from culturally and linguistically diverse backgrounds</w:t>
            </w:r>
          </w:p>
          <w:p w:rsidR="00000000" w:rsidRPr="00543CFF" w:rsidP="00543CFF">
            <w:pPr>
              <w:pStyle w:val="ListBullet2"/>
            </w:pPr>
            <w:r w:rsidRPr="00543CFF">
              <w:t>Aboriginal and Torres Strait Islander people</w:t>
            </w:r>
          </w:p>
          <w:p w:rsidR="00000000" w:rsidRPr="00543CFF" w:rsidP="00543CFF">
            <w:pPr>
              <w:pStyle w:val="ListBullet2"/>
            </w:pPr>
            <w:r w:rsidRPr="00543CFF">
              <w:t>women</w:t>
            </w:r>
          </w:p>
          <w:p w:rsidR="00000000" w:rsidRPr="00543CFF" w:rsidP="00543CFF">
            <w:pPr>
              <w:pStyle w:val="ListBullet2"/>
            </w:pPr>
            <w:r w:rsidRPr="00543CFF">
              <w:t>young people</w:t>
            </w:r>
          </w:p>
          <w:p w:rsidR="00000000" w:rsidRPr="00543CFF" w:rsidP="00543CFF">
            <w:pPr>
              <w:pStyle w:val="ListBullet2"/>
            </w:pPr>
            <w:r w:rsidRPr="00543CFF">
              <w:t>older people</w:t>
            </w:r>
          </w:p>
          <w:p w:rsidR="00000000" w:rsidRPr="00543CFF" w:rsidP="00543CFF">
            <w:pPr>
              <w:pStyle w:val="ListBullet2"/>
            </w:pPr>
            <w:r w:rsidRPr="00543CFF">
              <w:t>people in rural and remote locations</w:t>
            </w:r>
          </w:p>
          <w:p w:rsidR="00000000" w:rsidRPr="00543CFF" w:rsidP="00543CFF">
            <w:pPr>
              <w:pStyle w:val="BodyText"/>
            </w:pPr>
            <w:r w:rsidRPr="00543CFF">
              <w:t>Assessment methods suitable for valid and reliable asse</w:t>
            </w:r>
            <w:r w:rsidRPr="00543CFF">
              <w:t xml:space="preserve">ssment of this competency may include, but are not limited to, 2 or more of: </w:t>
            </w:r>
          </w:p>
          <w:p w:rsidR="00000000" w:rsidRPr="00543CFF" w:rsidP="00543CFF">
            <w:pPr>
              <w:pStyle w:val="ListBullet2"/>
            </w:pPr>
            <w:r w:rsidRPr="00543CFF">
              <w:t>case studies</w:t>
            </w:r>
          </w:p>
          <w:p w:rsidR="00000000" w:rsidRPr="00543CFF" w:rsidP="00543CFF">
            <w:pPr>
              <w:pStyle w:val="ListBullet2"/>
            </w:pPr>
            <w:r w:rsidRPr="00543CFF">
              <w:t xml:space="preserve">demonstration </w:t>
            </w:r>
          </w:p>
          <w:p w:rsidR="00000000" w:rsidRPr="00543CFF" w:rsidP="00543CFF">
            <w:pPr>
              <w:pStyle w:val="ListBullet2"/>
            </w:pPr>
            <w:r w:rsidRPr="00543CFF">
              <w:t>observation</w:t>
            </w:r>
          </w:p>
          <w:p w:rsidR="00000000" w:rsidRPr="00543CFF" w:rsidP="00543CFF">
            <w:pPr>
              <w:pStyle w:val="ListBullet2"/>
            </w:pPr>
            <w:r w:rsidRPr="00543CFF">
              <w:t xml:space="preserve">portfolios </w:t>
            </w:r>
          </w:p>
          <w:p w:rsidR="00000000" w:rsidRPr="00543CFF" w:rsidP="00543CFF">
            <w:pPr>
              <w:pStyle w:val="ListBullet2"/>
            </w:pPr>
            <w:r w:rsidRPr="00543CFF">
              <w:t>projects</w:t>
            </w:r>
          </w:p>
          <w:p w:rsidR="00000000" w:rsidRPr="00543CFF" w:rsidP="00543CFF">
            <w:pPr>
              <w:pStyle w:val="ListBullet2"/>
            </w:pPr>
            <w:r w:rsidRPr="00543CFF">
              <w:t>questioning</w:t>
            </w:r>
          </w:p>
          <w:p w:rsidR="00000000" w:rsidRPr="00543CFF" w:rsidP="00543CFF">
            <w:pPr>
              <w:pStyle w:val="ListBullet2"/>
            </w:pPr>
            <w:r w:rsidRPr="00543CFF">
              <w:t>scenarios</w:t>
            </w:r>
          </w:p>
          <w:p w:rsidR="00000000" w:rsidRPr="00543CFF" w:rsidP="00543CFF">
            <w:pPr>
              <w:pStyle w:val="ListBullet2"/>
            </w:pPr>
            <w:r w:rsidRPr="00543CFF">
              <w:t>simulation or role plays</w:t>
            </w:r>
          </w:p>
          <w:p w:rsidR="00000000" w:rsidP="00543CFF">
            <w:pPr>
              <w:pStyle w:val="ListBullet2"/>
              <w:rPr>
                <w:lang w:val="en-NZ"/>
              </w:rPr>
            </w:pPr>
            <w:r w:rsidRPr="00543CFF">
              <w:t xml:space="preserve">authenticated evidence from the workplace and/or training courses </w:t>
            </w:r>
          </w:p>
        </w:tc>
      </w:tr>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3CFF">
            <w:pPr>
              <w:pStyle w:val="BodyText"/>
              <w:rPr>
                <w:lang w:val="en-NZ"/>
              </w:rPr>
            </w:pPr>
            <w:r w:rsidRPr="00543CFF">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BodyText"/>
            </w:pPr>
            <w:r w:rsidRPr="00543CFF">
              <w:t>Evidence must be gathered over time in a range of contexts to ensure the person can achieve the unit outcome and apply the competency in different situations or environments</w:t>
            </w:r>
          </w:p>
        </w:tc>
      </w:tr>
    </w:tbl>
    <w:p w:rsidR="00000000" w:rsidRPr="00543CFF" w:rsidP="00543CFF">
      <w:pPr>
        <w:pStyle w:val="BodyText"/>
      </w:pPr>
    </w:p>
    <w:p w:rsidR="00000000" w:rsidRPr="00543CFF" w:rsidP="00543CFF">
      <w:pPr>
        <w:pStyle w:val="AllowPageBreak"/>
      </w:pPr>
    </w:p>
    <w:p w:rsidR="00000000" w:rsidRPr="00543CFF" w:rsidP="00543CFF">
      <w:pPr>
        <w:pStyle w:val="Heading1"/>
      </w:pPr>
      <w:bookmarkStart w:id="11" w:name="O_498130"/>
      <w:bookmarkEnd w:id="11"/>
      <w:r w:rsidRPr="00543CFF">
        <w:t>Range Statement</w:t>
      </w:r>
    </w:p>
    <w:tbl>
      <w:tblPr>
        <w:tblW w:w="9322" w:type="dxa"/>
        <w:tblLayout w:type="fixed"/>
        <w:tblCellMar>
          <w:left w:w="62" w:type="dxa"/>
          <w:right w:w="62" w:type="dxa"/>
        </w:tblCellMar>
        <w:tblLook w:val="0000"/>
      </w:tblPr>
      <w:tblGrid>
        <w:gridCol w:w="2660"/>
        <w:gridCol w:w="6662"/>
      </w:tblGrid>
      <w:tr w:rsidTr="007375B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43CFF">
            <w:pPr>
              <w:pStyle w:val="BodyText"/>
              <w:rPr>
                <w:lang w:val="en-NZ"/>
              </w:rPr>
            </w:pPr>
            <w:r w:rsidRPr="00543CFF">
              <w:t>The Range Stateme</w:t>
            </w:r>
            <w:r w:rsidRPr="00543CFF">
              <w:t>nt provides information about the context in which the unit of competency is carried out. The variables cater for differences between States and Territories and the Commonwealth, and between organisations and workplaces. They allow for different work requi</w:t>
            </w:r>
            <w:r w:rsidRPr="00543CFF">
              <w:t xml:space="preserve">rements, work practices and knowledge. The Range Statement also provides a focus for assessment. It relates to the unit as a whole. Text in </w:t>
            </w:r>
            <w:r w:rsidRPr="00543CFF">
              <w:rPr>
                <w:rStyle w:val="BoldandItalics"/>
              </w:rPr>
              <w:t xml:space="preserve">bold italics </w:t>
            </w:r>
            <w:r w:rsidRPr="00543CFF">
              <w:t>in the Performance Criteria is explained here.</w:t>
            </w:r>
          </w:p>
        </w:tc>
      </w:tr>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3CFF">
            <w:pPr>
              <w:pStyle w:val="BodyText"/>
              <w:rPr>
                <w:lang w:val="en-NZ"/>
              </w:rPr>
            </w:pPr>
            <w:r w:rsidRPr="00543CFF">
              <w:rPr>
                <w:rStyle w:val="BoldandItalics"/>
              </w:rPr>
              <w:t xml:space="preserve">Legislation </w:t>
            </w:r>
            <w:r w:rsidRPr="00543CFF">
              <w:t>may include:</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ListBullet2"/>
            </w:pPr>
            <w:r w:rsidRPr="00543CFF">
              <w:t xml:space="preserve">State/Territory and Commonwealth legislation related to: </w:t>
            </w:r>
          </w:p>
          <w:p w:rsidR="00000000" w:rsidRPr="00543CFF" w:rsidP="00543CFF">
            <w:pPr>
              <w:pStyle w:val="ListBullet3"/>
            </w:pPr>
            <w:r w:rsidRPr="00543CFF">
              <w:t>public sector management, financial management</w:t>
            </w:r>
          </w:p>
          <w:p w:rsidR="00000000" w:rsidRPr="00543CFF" w:rsidP="00543CFF">
            <w:pPr>
              <w:pStyle w:val="ListBullet3"/>
            </w:pPr>
            <w:r w:rsidRPr="00543CFF">
              <w:t>auditor general</w:t>
            </w:r>
          </w:p>
          <w:p w:rsidR="00000000" w:rsidRPr="00543CFF" w:rsidP="00543CFF">
            <w:pPr>
              <w:pStyle w:val="ListBullet3"/>
            </w:pPr>
            <w:r w:rsidRPr="00543CFF">
              <w:t>audit, customs and excise, quarantine, fisheries, agriculture, land management, conservation, coastal management, environmental protec</w:t>
            </w:r>
            <w:r w:rsidRPr="00543CFF">
              <w:t>tion, environment, insurance, legal administration (sheriffs, young offenders), workers compensation, occupational safety and health, workplace relations</w:t>
            </w:r>
          </w:p>
          <w:p w:rsidR="00000000" w:rsidRPr="00543CFF" w:rsidP="00543CFF">
            <w:pPr>
              <w:pStyle w:val="ListBullet3"/>
            </w:pPr>
            <w:r w:rsidRPr="00543CFF">
              <w:t>planning, construction, transport, energy, mining, resource management, communications</w:t>
            </w:r>
          </w:p>
          <w:p w:rsidR="00000000" w:rsidP="00543CFF">
            <w:pPr>
              <w:pStyle w:val="ListBullet3"/>
              <w:rPr>
                <w:lang w:val="en-NZ"/>
              </w:rPr>
            </w:pPr>
            <w:r w:rsidRPr="00543CFF">
              <w:t>education and children's services, employment, vocational education and training, equal employment opportunity and anti-discrimination</w:t>
            </w:r>
          </w:p>
        </w:tc>
      </w:tr>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3CFF">
            <w:pPr>
              <w:pStyle w:val="BodyText"/>
              <w:rPr>
                <w:lang w:val="en-NZ"/>
              </w:rPr>
            </w:pPr>
            <w:r w:rsidRPr="00543CFF">
              <w:rPr>
                <w:rStyle w:val="BoldandItalics"/>
              </w:rPr>
              <w:t xml:space="preserve">Regulatory responses or measures </w:t>
            </w:r>
            <w:r w:rsidRPr="00543CFF">
              <w:t>may include:</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ListBullet2"/>
            </w:pPr>
            <w:r w:rsidRPr="00543CFF">
              <w:t>audit</w:t>
            </w:r>
          </w:p>
          <w:p w:rsidR="00000000" w:rsidRPr="00543CFF" w:rsidP="00543CFF">
            <w:pPr>
              <w:pStyle w:val="ListBullet2"/>
            </w:pPr>
            <w:r w:rsidRPr="00543CFF">
              <w:t>caution</w:t>
            </w:r>
          </w:p>
          <w:p w:rsidR="00000000" w:rsidRPr="00543CFF" w:rsidP="00543CFF">
            <w:pPr>
              <w:pStyle w:val="ListBullet2"/>
            </w:pPr>
            <w:r w:rsidRPr="00543CFF">
              <w:t>clearance</w:t>
            </w:r>
          </w:p>
          <w:p w:rsidR="00000000" w:rsidRPr="00543CFF" w:rsidP="00543CFF">
            <w:pPr>
              <w:pStyle w:val="ListBullet2"/>
            </w:pPr>
            <w:r w:rsidRPr="00543CFF">
              <w:t>community protection</w:t>
            </w:r>
          </w:p>
          <w:p w:rsidR="00000000" w:rsidRPr="00543CFF" w:rsidP="00543CFF">
            <w:pPr>
              <w:pStyle w:val="ListBullet2"/>
            </w:pPr>
            <w:r w:rsidRPr="00543CFF">
              <w:t xml:space="preserve">control </w:t>
            </w:r>
          </w:p>
          <w:p w:rsidR="00000000" w:rsidRPr="00543CFF" w:rsidP="00543CFF">
            <w:pPr>
              <w:pStyle w:val="ListBullet2"/>
            </w:pPr>
            <w:r w:rsidRPr="00543CFF">
              <w:t>encouragement to comply</w:t>
            </w:r>
          </w:p>
          <w:p w:rsidR="00000000" w:rsidRPr="00543CFF" w:rsidP="00543CFF">
            <w:pPr>
              <w:pStyle w:val="ListBullet2"/>
            </w:pPr>
            <w:r w:rsidRPr="00543CFF">
              <w:t>entry</w:t>
            </w:r>
          </w:p>
          <w:p w:rsidR="00000000" w:rsidRPr="00543CFF" w:rsidP="00543CFF">
            <w:pPr>
              <w:pStyle w:val="ListBullet2"/>
            </w:pPr>
            <w:r w:rsidRPr="00543CFF">
              <w:t>impoundment</w:t>
            </w:r>
          </w:p>
          <w:p w:rsidR="00000000" w:rsidRPr="00543CFF" w:rsidP="00543CFF">
            <w:pPr>
              <w:pStyle w:val="ListBullet2"/>
            </w:pPr>
            <w:r w:rsidRPr="00543CFF">
              <w:t xml:space="preserve">initiation of proceedings that may lead to prosecution </w:t>
            </w:r>
          </w:p>
          <w:p w:rsidR="00000000" w:rsidRPr="00543CFF" w:rsidP="00543CFF">
            <w:pPr>
              <w:pStyle w:val="ListBullet2"/>
            </w:pPr>
            <w:r w:rsidRPr="00543CFF">
              <w:t>inspection</w:t>
            </w:r>
          </w:p>
          <w:p w:rsidR="00000000" w:rsidRPr="00543CFF" w:rsidP="00543CFF">
            <w:pPr>
              <w:pStyle w:val="ListBullet2"/>
            </w:pPr>
            <w:r w:rsidRPr="00543CFF">
              <w:t>investigation</w:t>
            </w:r>
          </w:p>
          <w:p w:rsidR="00000000" w:rsidRPr="00543CFF" w:rsidP="00543CFF">
            <w:pPr>
              <w:pStyle w:val="ListBullet2"/>
            </w:pPr>
            <w:r w:rsidRPr="00543CFF">
              <w:t>issue of notices</w:t>
            </w:r>
          </w:p>
          <w:p w:rsidR="00000000" w:rsidRPr="00543CFF" w:rsidP="00543CFF">
            <w:pPr>
              <w:pStyle w:val="ListBullet2"/>
            </w:pPr>
            <w:r w:rsidRPr="00543CFF">
              <w:t>on-the-spot fines</w:t>
            </w:r>
          </w:p>
          <w:p w:rsidR="00000000" w:rsidRPr="00543CFF" w:rsidP="00543CFF">
            <w:pPr>
              <w:pStyle w:val="ListBullet2"/>
            </w:pPr>
            <w:r w:rsidRPr="00543CFF">
              <w:t>possession</w:t>
            </w:r>
          </w:p>
          <w:p w:rsidR="00000000" w:rsidRPr="00543CFF" w:rsidP="00543CFF">
            <w:pPr>
              <w:pStyle w:val="ListBullet2"/>
            </w:pPr>
            <w:r w:rsidRPr="00543CFF">
              <w:t>referral to another agency/jurisdiction</w:t>
            </w:r>
          </w:p>
          <w:p w:rsidR="00000000" w:rsidRPr="00543CFF" w:rsidP="00543CFF">
            <w:pPr>
              <w:pStyle w:val="ListBullet2"/>
            </w:pPr>
            <w:r w:rsidRPr="00543CFF">
              <w:t>search</w:t>
            </w:r>
          </w:p>
          <w:p w:rsidR="00000000" w:rsidRPr="00543CFF" w:rsidP="00543CFF">
            <w:pPr>
              <w:pStyle w:val="ListBullet2"/>
            </w:pPr>
            <w:r w:rsidRPr="00543CFF">
              <w:t>seizure</w:t>
            </w:r>
          </w:p>
          <w:p w:rsidR="00000000" w:rsidRPr="00543CFF" w:rsidP="00543CFF">
            <w:pPr>
              <w:pStyle w:val="ListBullet2"/>
            </w:pPr>
            <w:r w:rsidRPr="00543CFF">
              <w:t>surveillance</w:t>
            </w:r>
          </w:p>
          <w:p w:rsidR="00000000" w:rsidP="00543CFF">
            <w:pPr>
              <w:pStyle w:val="ListBullet2"/>
              <w:rPr>
                <w:lang w:val="en-NZ"/>
              </w:rPr>
            </w:pPr>
            <w:r w:rsidRPr="00543CFF">
              <w:t>warning</w:t>
            </w:r>
          </w:p>
        </w:tc>
      </w:tr>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3CFF">
            <w:pPr>
              <w:pStyle w:val="BodyText"/>
              <w:rPr>
                <w:lang w:val="en-NZ"/>
              </w:rPr>
            </w:pPr>
            <w:r w:rsidRPr="00543CFF">
              <w:rPr>
                <w:rStyle w:val="BoldandItalics"/>
              </w:rPr>
              <w:t>Risks associated with the exercise of regulatory powers</w:t>
            </w:r>
            <w:r w:rsidRPr="00543CFF">
              <w:t xml:space="preserve"> may result from:</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ListBullet2"/>
            </w:pPr>
            <w:r w:rsidRPr="00543CFF">
              <w:t>workplace hazards</w:t>
            </w:r>
          </w:p>
          <w:p w:rsidR="00000000" w:rsidRPr="00543CFF" w:rsidP="00543CFF">
            <w:pPr>
              <w:pStyle w:val="ListBullet2"/>
            </w:pPr>
            <w:r w:rsidRPr="00543CFF">
              <w:t>environmental hazards</w:t>
            </w:r>
          </w:p>
          <w:p w:rsidR="00000000" w:rsidRPr="00543CFF" w:rsidP="00543CFF">
            <w:pPr>
              <w:pStyle w:val="ListBullet2"/>
            </w:pPr>
            <w:r w:rsidRPr="00543CFF">
              <w:t>equipment failure</w:t>
            </w:r>
          </w:p>
          <w:p w:rsidR="00000000" w:rsidRPr="00543CFF" w:rsidP="00543CFF">
            <w:pPr>
              <w:pStyle w:val="ListBullet2"/>
            </w:pPr>
            <w:r w:rsidRPr="00543CFF">
              <w:t>people engaged in illegal activities</w:t>
            </w:r>
          </w:p>
          <w:p w:rsidR="00000000" w:rsidRPr="00543CFF" w:rsidP="00543CFF">
            <w:pPr>
              <w:pStyle w:val="ListBullet2"/>
            </w:pPr>
            <w:r w:rsidRPr="00543CFF">
              <w:t>movement into and out of Australia of:</w:t>
            </w:r>
          </w:p>
          <w:p w:rsidR="00000000" w:rsidRPr="00543CFF" w:rsidP="00543CFF">
            <w:pPr>
              <w:pStyle w:val="ListBullet3"/>
            </w:pPr>
            <w:r w:rsidRPr="00543CFF">
              <w:t>aircraft</w:t>
            </w:r>
          </w:p>
          <w:p w:rsidR="00000000" w:rsidRPr="00543CFF" w:rsidP="00543CFF">
            <w:pPr>
              <w:pStyle w:val="ListBullet3"/>
            </w:pPr>
            <w:r w:rsidRPr="00543CFF">
              <w:t>cargo</w:t>
            </w:r>
          </w:p>
          <w:p w:rsidR="00000000" w:rsidRPr="00543CFF" w:rsidP="00543CFF">
            <w:pPr>
              <w:pStyle w:val="ListBullet3"/>
            </w:pPr>
            <w:r w:rsidRPr="00543CFF">
              <w:t>people</w:t>
            </w:r>
          </w:p>
          <w:p w:rsidR="00000000" w:rsidRPr="00543CFF" w:rsidP="00543CFF">
            <w:pPr>
              <w:pStyle w:val="ListBullet3"/>
            </w:pPr>
            <w:r w:rsidRPr="00543CFF">
              <w:t>postal articles</w:t>
            </w:r>
          </w:p>
          <w:p w:rsidR="00000000" w:rsidRPr="00543CFF" w:rsidP="00543CFF">
            <w:pPr>
              <w:pStyle w:val="ListBullet3"/>
            </w:pPr>
            <w:r w:rsidRPr="00543CFF">
              <w:t>vessels</w:t>
            </w:r>
          </w:p>
          <w:p w:rsidR="00000000" w:rsidRPr="00543CFF" w:rsidP="00543CFF">
            <w:pPr>
              <w:pStyle w:val="ListBullet2"/>
            </w:pPr>
            <w:r w:rsidRPr="00543CFF">
              <w:t>client cultural background</w:t>
            </w:r>
          </w:p>
          <w:p w:rsidR="00000000" w:rsidP="00543CFF">
            <w:pPr>
              <w:pStyle w:val="ListBullet2"/>
              <w:rPr>
                <w:lang w:val="en-NZ"/>
              </w:rPr>
            </w:pPr>
            <w:r w:rsidRPr="00543CFF">
              <w:t xml:space="preserve">client literacy levels </w:t>
            </w:r>
          </w:p>
        </w:tc>
      </w:tr>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3CFF">
            <w:pPr>
              <w:pStyle w:val="BodyText"/>
              <w:rPr>
                <w:lang w:val="en-NZ"/>
              </w:rPr>
            </w:pPr>
            <w:r w:rsidRPr="00543CFF">
              <w:rPr>
                <w:rStyle w:val="BoldandItalics"/>
              </w:rPr>
              <w:t>Other legislation</w:t>
            </w:r>
            <w:r w:rsidRPr="00543CF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ListBullet2"/>
            </w:pPr>
            <w:r w:rsidRPr="00543CFF">
              <w:t xml:space="preserve">aspects of common law </w:t>
            </w:r>
          </w:p>
          <w:p w:rsidR="00000000" w:rsidRPr="00543CFF" w:rsidP="00543CFF">
            <w:pPr>
              <w:pStyle w:val="ListBullet2"/>
            </w:pPr>
            <w:r w:rsidRPr="00543CFF">
              <w:t>aspects of Crimes Act 1914 and Criminal Code Act 1995</w:t>
            </w:r>
          </w:p>
          <w:p w:rsidR="00000000" w:rsidRPr="00543CFF" w:rsidP="00543CFF">
            <w:pPr>
              <w:pStyle w:val="ListBullet2"/>
            </w:pPr>
            <w:r w:rsidRPr="00543CFF">
              <w:t>contract law</w:t>
            </w:r>
          </w:p>
          <w:p w:rsidR="00000000" w:rsidRPr="00543CFF" w:rsidP="00543CFF">
            <w:pPr>
              <w:pStyle w:val="ListBullet2"/>
            </w:pPr>
            <w:r w:rsidRPr="00543CFF">
              <w:t>administrative law</w:t>
            </w:r>
          </w:p>
          <w:p w:rsidR="00000000" w:rsidRPr="00543CFF" w:rsidP="00543CFF">
            <w:pPr>
              <w:pStyle w:val="ListBullet2"/>
            </w:pPr>
            <w:r w:rsidRPr="00543CFF">
              <w:t>industrial relations law</w:t>
            </w:r>
          </w:p>
          <w:p w:rsidR="00000000" w:rsidRPr="00543CFF" w:rsidP="00543CFF">
            <w:pPr>
              <w:pStyle w:val="ListBullet2"/>
            </w:pPr>
            <w:r w:rsidRPr="00543CFF">
              <w:t>financial management Acts</w:t>
            </w:r>
          </w:p>
          <w:p w:rsidR="00000000" w:rsidP="00543CFF">
            <w:pPr>
              <w:pStyle w:val="ListBullet2"/>
              <w:rPr>
                <w:lang w:val="en-NZ"/>
              </w:rPr>
            </w:pPr>
            <w:r w:rsidRPr="00543CFF">
              <w:t>public service Acts</w:t>
            </w:r>
          </w:p>
        </w:tc>
      </w:tr>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3CFF">
            <w:pPr>
              <w:pStyle w:val="BodyText"/>
              <w:rPr>
                <w:lang w:val="en-NZ"/>
              </w:rPr>
            </w:pPr>
            <w:r w:rsidRPr="00543CFF">
              <w:rPr>
                <w:rStyle w:val="BoldandItalics"/>
              </w:rPr>
              <w:t xml:space="preserve">Standards </w:t>
            </w:r>
            <w:r w:rsidRPr="00543CFF">
              <w:t>may include:</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ListBullet2"/>
            </w:pPr>
            <w:r w:rsidRPr="00543CFF">
              <w:t>public sector standards</w:t>
            </w:r>
          </w:p>
          <w:p w:rsidR="00000000" w:rsidRPr="00543CFF" w:rsidP="00543CFF">
            <w:pPr>
              <w:pStyle w:val="ListBullet2"/>
            </w:pPr>
            <w:r w:rsidRPr="00543CFF">
              <w:t>government security standards</w:t>
            </w:r>
          </w:p>
          <w:p w:rsidR="00000000" w:rsidP="00543CFF">
            <w:pPr>
              <w:pStyle w:val="ListBullet2"/>
              <w:rPr>
                <w:lang w:val="en-NZ"/>
              </w:rPr>
            </w:pPr>
            <w:r w:rsidRPr="00543CFF">
              <w:t>fraud control standards</w:t>
            </w:r>
          </w:p>
        </w:tc>
      </w:tr>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3CFF">
            <w:pPr>
              <w:pStyle w:val="BodyText"/>
              <w:rPr>
                <w:lang w:val="en-NZ"/>
              </w:rPr>
            </w:pPr>
            <w:r w:rsidRPr="00543CFF">
              <w:rPr>
                <w:rStyle w:val="BoldandItalics"/>
              </w:rPr>
              <w:t xml:space="preserve">Relationships </w:t>
            </w:r>
            <w:r w:rsidRPr="00543CFF">
              <w:t>may include:</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ListBullet2"/>
            </w:pPr>
            <w:r w:rsidRPr="00543CFF">
              <w:t>informal</w:t>
            </w:r>
          </w:p>
          <w:p w:rsidR="00000000" w:rsidRPr="00543CFF" w:rsidP="00543CFF">
            <w:pPr>
              <w:pStyle w:val="ListBullet2"/>
            </w:pPr>
            <w:r w:rsidRPr="00543CFF">
              <w:t>formal</w:t>
            </w:r>
          </w:p>
          <w:p w:rsidR="00000000" w:rsidP="00543CFF">
            <w:pPr>
              <w:pStyle w:val="ListBullet2"/>
              <w:rPr>
                <w:lang w:val="en-NZ"/>
              </w:rPr>
            </w:pPr>
            <w:r w:rsidRPr="00543CFF">
              <w:t>memoranda of understanding (MOUs)</w:t>
            </w:r>
          </w:p>
        </w:tc>
      </w:tr>
      <w:tr w:rsidTr="007375B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3CFF">
            <w:pPr>
              <w:pStyle w:val="BodyText"/>
              <w:rPr>
                <w:lang w:val="en-NZ"/>
              </w:rPr>
            </w:pPr>
            <w:r w:rsidRPr="00543CFF">
              <w:rPr>
                <w:rStyle w:val="BoldandItalics"/>
              </w:rPr>
              <w:t>Other organisations</w:t>
            </w:r>
            <w:r w:rsidRPr="00543CF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43CFF" w:rsidP="00543CFF">
            <w:pPr>
              <w:pStyle w:val="ListBullet2"/>
            </w:pPr>
            <w:r w:rsidRPr="00543CFF">
              <w:t>administrative appeals tribunals</w:t>
            </w:r>
          </w:p>
          <w:p w:rsidR="00000000" w:rsidRPr="00543CFF" w:rsidP="00543CFF">
            <w:pPr>
              <w:pStyle w:val="ListBullet2"/>
            </w:pPr>
            <w:r w:rsidRPr="00543CFF">
              <w:t>Coroner's office</w:t>
            </w:r>
          </w:p>
          <w:p w:rsidR="00000000" w:rsidRPr="00543CFF" w:rsidP="00543CFF">
            <w:pPr>
              <w:pStyle w:val="ListBullet2"/>
            </w:pPr>
            <w:r w:rsidRPr="00543CFF">
              <w:t>emergency services</w:t>
            </w:r>
          </w:p>
          <w:p w:rsidR="00000000" w:rsidRPr="00543CFF" w:rsidP="00543CFF">
            <w:pPr>
              <w:pStyle w:val="ListBullet2"/>
            </w:pPr>
            <w:r w:rsidRPr="00543CFF">
              <w:t>federal police</w:t>
            </w:r>
          </w:p>
          <w:p w:rsidR="00000000" w:rsidRPr="00543CFF" w:rsidP="00543CFF">
            <w:pPr>
              <w:pStyle w:val="ListBullet2"/>
            </w:pPr>
            <w:r w:rsidRPr="00543CFF">
              <w:t>fire and rescue</w:t>
            </w:r>
          </w:p>
          <w:p w:rsidR="00000000" w:rsidRPr="00543CFF" w:rsidP="00543CFF">
            <w:pPr>
              <w:pStyle w:val="ListBullet2"/>
            </w:pPr>
            <w:r w:rsidRPr="00543CFF">
              <w:t>industrial inspectors</w:t>
            </w:r>
          </w:p>
          <w:p w:rsidR="00000000" w:rsidRPr="00543CFF" w:rsidP="00543CFF">
            <w:pPr>
              <w:pStyle w:val="ListBullet2"/>
            </w:pPr>
            <w:r w:rsidRPr="00543CFF">
              <w:t>Local Government law enforcement officers</w:t>
            </w:r>
          </w:p>
          <w:p w:rsidR="00000000" w:rsidRPr="00543CFF" w:rsidP="00543CFF">
            <w:pPr>
              <w:pStyle w:val="ListBullet2"/>
            </w:pPr>
            <w:r w:rsidRPr="00543CFF">
              <w:t>legal advisers</w:t>
            </w:r>
          </w:p>
          <w:p w:rsidR="00000000" w:rsidRPr="00543CFF" w:rsidP="00543CFF">
            <w:pPr>
              <w:pStyle w:val="ListBullet2"/>
            </w:pPr>
            <w:r w:rsidRPr="00543CFF">
              <w:t>military police</w:t>
            </w:r>
          </w:p>
          <w:p w:rsidR="00000000" w:rsidRPr="00543CFF" w:rsidP="00543CFF">
            <w:pPr>
              <w:pStyle w:val="ListBullet2"/>
            </w:pPr>
            <w:r w:rsidRPr="00543CFF">
              <w:t>security services</w:t>
            </w:r>
          </w:p>
          <w:p w:rsidR="00000000" w:rsidRPr="00543CFF" w:rsidP="00543CFF">
            <w:pPr>
              <w:pStyle w:val="ListBullet2"/>
            </w:pPr>
            <w:r w:rsidRPr="00543CFF">
              <w:t>State/Territory police and special units</w:t>
            </w:r>
          </w:p>
          <w:p w:rsidR="00000000" w:rsidRPr="00543CFF" w:rsidP="00543CFF">
            <w:pPr>
              <w:pStyle w:val="ListBullet2"/>
            </w:pPr>
            <w:r w:rsidRPr="00543CFF">
              <w:t>other State/Territory/Commonwealth departments/agencies</w:t>
            </w:r>
          </w:p>
          <w:p w:rsidR="00000000" w:rsidRPr="00543CFF" w:rsidP="00543CFF">
            <w:pPr>
              <w:pStyle w:val="ListBullet2"/>
            </w:pPr>
            <w:r w:rsidRPr="00543CFF">
              <w:t>State/Territory/Commonwealth prosecution agencies</w:t>
            </w:r>
          </w:p>
        </w:tc>
      </w:tr>
    </w:tbl>
    <w:p w:rsidR="007375BB" w:rsidP="00543CFF">
      <w:pPr>
        <w:pStyle w:val="BodyText"/>
      </w:pPr>
    </w:p>
    <w:p w:rsidR="007375BB" w:rsidP="00543CFF">
      <w:pPr>
        <w:pStyle w:val="BodyText"/>
      </w:pPr>
    </w:p>
    <w:p w:rsidR="00000000" w:rsidRPr="00543CFF" w:rsidP="00543CFF">
      <w:pPr>
        <w:pStyle w:val="Heading1"/>
      </w:pPr>
      <w:bookmarkStart w:id="12" w:name="O_498132"/>
      <w:bookmarkEnd w:id="12"/>
      <w:r w:rsidRPr="00543CFF">
        <w:t>Unit Sector(s)</w:t>
      </w:r>
    </w:p>
    <w:p w:rsidR="00000000" w:rsidRPr="00543CFF" w:rsidP="00543CFF">
      <w:pPr>
        <w:pStyle w:val="BodyText"/>
      </w:pPr>
      <w:r w:rsidRPr="00543CFF">
        <w:t>Not applicable.</w:t>
      </w:r>
    </w:p>
    <w:p w:rsidR="00000000" w:rsidRPr="00543CFF" w:rsidP="00543CFF">
      <w:pPr>
        <w:pStyle w:val="AllowPageBreak"/>
      </w:pPr>
    </w:p>
    <w:p w:rsidR="00000000" w:rsidRPr="00543CFF" w:rsidP="00543CFF">
      <w:pPr>
        <w:pStyle w:val="Heading1"/>
      </w:pPr>
      <w:bookmarkStart w:id="13" w:name="O_498142"/>
      <w:bookmarkEnd w:id="13"/>
      <w:r w:rsidRPr="00543CFF">
        <w:t>Competency field</w:t>
      </w:r>
    </w:p>
    <w:p w:rsidR="00000000" w:rsidRPr="00543CFF" w:rsidP="00543CFF">
      <w:pPr>
        <w:pStyle w:val="BodyText"/>
      </w:pPr>
      <w:r w:rsidRPr="00543CFF">
        <w:t>Regulatory.</w:t>
      </w:r>
    </w:p>
    <w:p w:rsidR="00000000" w:rsidRPr="00543CFF" w:rsidP="00543CFF"/>
    <w:sectPr w:rsidSect="00543C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75BB" w:rsidP="007375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5BB" w:rsidP="00543C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375BB" w:rsidP="00543C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375BB" w:rsidP="00543C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FF" w:rsidRPr="007375BB" w:rsidP="007375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5BB" w:rsidRPr="002D2AF8" w:rsidP="00543CFF">
    <w:pPr>
      <w:pStyle w:val="Header"/>
      <w:framePr w:wrap="around"/>
    </w:pPr>
    <w:r>
      <w:fldChar w:fldCharType="begin"/>
    </w:r>
    <w:r>
      <w:instrText xml:space="preserve"> TITLE   \* MERGEFORMAT </w:instrText>
    </w:r>
    <w:r>
      <w:fldChar w:fldCharType="separate"/>
    </w:r>
    <w:r>
      <w:t>PSPREG401C Exercise regulatory powers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375BB" w:rsidP="00543C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42B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25C6E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C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CFF"/>
    <w:pPr>
      <w:spacing w:before="360" w:after="60"/>
      <w:outlineLvl w:val="0"/>
    </w:pPr>
    <w:rPr>
      <w:sz w:val="32"/>
    </w:rPr>
  </w:style>
  <w:style w:type="paragraph" w:styleId="Heading2">
    <w:name w:val="heading 2"/>
    <w:basedOn w:val="HeadingBase"/>
    <w:next w:val="BodyText"/>
    <w:link w:val="Heading2Char"/>
    <w:qFormat/>
    <w:rsid w:val="00543CFF"/>
    <w:pPr>
      <w:keepLines/>
      <w:spacing w:before="240" w:after="120"/>
      <w:outlineLvl w:val="1"/>
    </w:pPr>
    <w:rPr>
      <w:sz w:val="28"/>
      <w:szCs w:val="40"/>
    </w:rPr>
  </w:style>
  <w:style w:type="paragraph" w:styleId="Heading3">
    <w:name w:val="heading 3"/>
    <w:basedOn w:val="HeadingBase"/>
    <w:next w:val="BodyText"/>
    <w:link w:val="Heading3Char"/>
    <w:qFormat/>
    <w:rsid w:val="00543CFF"/>
    <w:pPr>
      <w:spacing w:before="180" w:after="120"/>
      <w:outlineLvl w:val="2"/>
    </w:pPr>
    <w:rPr>
      <w:spacing w:val="-10"/>
      <w:kern w:val="32"/>
    </w:rPr>
  </w:style>
  <w:style w:type="paragraph" w:styleId="Heading4">
    <w:name w:val="heading 4"/>
    <w:basedOn w:val="HeadingBase"/>
    <w:next w:val="BodyText"/>
    <w:link w:val="Heading4Char"/>
    <w:qFormat/>
    <w:rsid w:val="00543CFF"/>
    <w:pPr>
      <w:spacing w:before="160" w:after="120"/>
      <w:outlineLvl w:val="3"/>
    </w:pPr>
    <w:rPr>
      <w:sz w:val="22"/>
    </w:rPr>
  </w:style>
  <w:style w:type="paragraph" w:styleId="Heading5">
    <w:name w:val="heading 5"/>
    <w:basedOn w:val="HeadingBase"/>
    <w:next w:val="Normal"/>
    <w:link w:val="Heading5Char"/>
    <w:qFormat/>
    <w:rsid w:val="00543CFF"/>
    <w:pPr>
      <w:spacing w:before="80"/>
      <w:outlineLvl w:val="4"/>
    </w:pPr>
    <w:rPr>
      <w:color w:val="918585"/>
      <w:sz w:val="20"/>
    </w:rPr>
  </w:style>
  <w:style w:type="paragraph" w:styleId="Heading6">
    <w:name w:val="heading 6"/>
    <w:basedOn w:val="HeadingBase"/>
    <w:next w:val="Normal"/>
    <w:link w:val="Heading6Char"/>
    <w:qFormat/>
    <w:rsid w:val="00543CFF"/>
    <w:pPr>
      <w:spacing w:before="60"/>
      <w:outlineLvl w:val="5"/>
    </w:pPr>
    <w:rPr>
      <w:color w:val="918585"/>
      <w:sz w:val="20"/>
    </w:rPr>
  </w:style>
  <w:style w:type="paragraph" w:styleId="Heading7">
    <w:name w:val="heading 7"/>
    <w:basedOn w:val="Normal"/>
    <w:next w:val="Normal"/>
    <w:link w:val="Heading7Char"/>
    <w:qFormat/>
    <w:rsid w:val="00543CFF"/>
    <w:pPr>
      <w:ind w:left="720"/>
      <w:outlineLvl w:val="6"/>
    </w:pPr>
    <w:rPr>
      <w:i/>
    </w:rPr>
  </w:style>
  <w:style w:type="paragraph" w:styleId="Heading8">
    <w:name w:val="heading 8"/>
    <w:basedOn w:val="Normal"/>
    <w:next w:val="Normal"/>
    <w:link w:val="Heading8Char"/>
    <w:qFormat/>
    <w:rsid w:val="00543CFF"/>
    <w:pPr>
      <w:ind w:left="720"/>
      <w:outlineLvl w:val="7"/>
    </w:pPr>
    <w:rPr>
      <w:i/>
    </w:rPr>
  </w:style>
  <w:style w:type="paragraph" w:styleId="Heading9">
    <w:name w:val="heading 9"/>
    <w:basedOn w:val="Normal"/>
    <w:next w:val="Normal"/>
    <w:link w:val="Heading9Char"/>
    <w:qFormat/>
    <w:rsid w:val="00543CFF"/>
    <w:pPr>
      <w:ind w:left="720"/>
      <w:outlineLvl w:val="8"/>
    </w:pPr>
    <w:rPr>
      <w:i/>
    </w:rPr>
  </w:style>
  <w:style w:type="character" w:default="1" w:styleId="DefaultParagraphFont">
    <w:name w:val="Default Paragraph Font"/>
    <w:uiPriority w:val="1"/>
    <w:unhideWhenUsed/>
    <w:rsid w:val="00543C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CFF"/>
  </w:style>
  <w:style w:type="character" w:customStyle="1" w:styleId="Heading1Char">
    <w:name w:val="Heading 1 Char"/>
    <w:basedOn w:val="DefaultParagraphFont"/>
    <w:link w:val="Heading1"/>
    <w:rsid w:val="00543CFF"/>
    <w:rPr>
      <w:rFonts w:ascii="Times New Roman" w:eastAsia="Times New Roman" w:hAnsi="Times New Roman" w:cs="Times New Roman"/>
      <w:b/>
      <w:sz w:val="32"/>
      <w:szCs w:val="20"/>
      <w:lang w:eastAsia="en-US"/>
    </w:rPr>
  </w:style>
  <w:style w:type="paragraph" w:styleId="BodyText">
    <w:name w:val="Body Text"/>
    <w:basedOn w:val="Normal"/>
    <w:link w:val="BodyTextChar"/>
    <w:rsid w:val="00543C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3CFF"/>
    <w:rPr>
      <w:rFonts w:ascii="Times New Roman" w:eastAsia="Times New Roman" w:hAnsi="Times New Roman" w:cs="Times New Roman"/>
      <w:sz w:val="24"/>
      <w:lang w:eastAsia="en-US"/>
    </w:rPr>
  </w:style>
  <w:style w:type="paragraph" w:styleId="Footer">
    <w:name w:val="footer"/>
    <w:basedOn w:val="Normal"/>
    <w:link w:val="FooterChar"/>
    <w:rsid w:val="00543C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CFF"/>
    <w:rPr>
      <w:rFonts w:ascii="Times New Roman" w:eastAsia="Times New Roman" w:hAnsi="Times New Roman" w:cs="Times New Roman"/>
      <w:sz w:val="16"/>
      <w:lang w:eastAsia="en-US"/>
    </w:rPr>
  </w:style>
  <w:style w:type="paragraph" w:styleId="List">
    <w:name w:val="List"/>
    <w:basedOn w:val="BodyText"/>
    <w:next w:val="BodyText"/>
    <w:rsid w:val="00543CFF"/>
    <w:pPr>
      <w:tabs>
        <w:tab w:val="left" w:pos="340"/>
      </w:tabs>
      <w:spacing w:before="60" w:after="60"/>
      <w:ind w:left="340" w:hanging="340"/>
    </w:pPr>
  </w:style>
  <w:style w:type="character" w:customStyle="1" w:styleId="SpecialBold">
    <w:name w:val="Special Bold"/>
    <w:basedOn w:val="DefaultParagraphFont"/>
    <w:rsid w:val="00543CFF"/>
    <w:rPr>
      <w:b/>
      <w:spacing w:val="0"/>
    </w:rPr>
  </w:style>
  <w:style w:type="paragraph" w:styleId="ListBullet2">
    <w:name w:val="List Bullet 2"/>
    <w:basedOn w:val="List2"/>
    <w:rsid w:val="00543CFF"/>
    <w:pPr>
      <w:numPr>
        <w:numId w:val="14"/>
      </w:numPr>
      <w:tabs>
        <w:tab w:val="clear" w:pos="680"/>
      </w:tabs>
    </w:pPr>
  </w:style>
  <w:style w:type="character" w:styleId="Emphasis">
    <w:name w:val="Emphasis"/>
    <w:basedOn w:val="DefaultParagraphFont"/>
    <w:qFormat/>
    <w:rsid w:val="00543CFF"/>
    <w:rPr>
      <w:i/>
    </w:rPr>
  </w:style>
  <w:style w:type="paragraph" w:customStyle="1" w:styleId="SuperHeading">
    <w:name w:val="SuperHeading"/>
    <w:basedOn w:val="Normal"/>
    <w:rsid w:val="00543CFF"/>
    <w:pPr>
      <w:spacing w:before="240" w:after="120"/>
      <w:outlineLvl w:val="0"/>
    </w:pPr>
    <w:rPr>
      <w:rFonts w:ascii="Times New Roman" w:hAnsi="Times New Roman"/>
      <w:b/>
      <w:sz w:val="28"/>
    </w:rPr>
  </w:style>
  <w:style w:type="paragraph" w:customStyle="1" w:styleId="AllowPageBreak">
    <w:name w:val="AllowPageBreak"/>
    <w:rsid w:val="00543C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3CFF"/>
    <w:pPr>
      <w:numPr>
        <w:numId w:val="2"/>
      </w:numPr>
      <w:tabs>
        <w:tab w:val="clear" w:pos="1021"/>
      </w:tabs>
      <w:ind w:left="1037" w:hanging="357"/>
    </w:pPr>
  </w:style>
  <w:style w:type="character" w:customStyle="1" w:styleId="Underline">
    <w:name w:val="Underline"/>
    <w:basedOn w:val="DefaultParagraphFont"/>
    <w:qFormat/>
    <w:rsid w:val="00543CFF"/>
    <w:rPr>
      <w:u w:val="single"/>
    </w:rPr>
  </w:style>
  <w:style w:type="character" w:customStyle="1" w:styleId="BoldandItalics">
    <w:name w:val="Bold and Italics"/>
    <w:qFormat/>
    <w:rsid w:val="00543CFF"/>
    <w:rPr>
      <w:b/>
      <w:i/>
      <w:u w:val="none"/>
    </w:rPr>
  </w:style>
  <w:style w:type="character" w:customStyle="1" w:styleId="Heading2Char">
    <w:name w:val="Heading 2 Char"/>
    <w:basedOn w:val="DefaultParagraphFont"/>
    <w:link w:val="Heading2"/>
    <w:rsid w:val="00543C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C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C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C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C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C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C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CFF"/>
    <w:rPr>
      <w:rFonts w:ascii="Courier New" w:eastAsia="Times New Roman" w:hAnsi="Courier New" w:cs="Times New Roman"/>
      <w:i/>
      <w:szCs w:val="20"/>
      <w:lang w:eastAsia="en-US"/>
    </w:rPr>
  </w:style>
  <w:style w:type="paragraph" w:customStyle="1" w:styleId="HeadingBase">
    <w:name w:val="Heading Base"/>
    <w:rsid w:val="00543C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CFF"/>
    <w:pPr>
      <w:tabs>
        <w:tab w:val="right" w:leader="dot" w:pos="9072"/>
      </w:tabs>
      <w:ind w:left="567"/>
    </w:pPr>
    <w:rPr>
      <w:szCs w:val="22"/>
    </w:rPr>
  </w:style>
  <w:style w:type="paragraph" w:customStyle="1" w:styleId="TOCBase">
    <w:name w:val="TOC Base"/>
    <w:rsid w:val="00543C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CFF"/>
    <w:pPr>
      <w:tabs>
        <w:tab w:val="right" w:leader="dot" w:pos="9072"/>
      </w:tabs>
      <w:spacing w:before="40" w:after="40"/>
      <w:ind w:left="284"/>
    </w:pPr>
    <w:rPr>
      <w:rFonts w:ascii="Times New Roman" w:hAnsi="Times New Roman"/>
    </w:rPr>
  </w:style>
  <w:style w:type="paragraph" w:styleId="TOC1">
    <w:name w:val="toc 1"/>
    <w:basedOn w:val="TOCBase"/>
    <w:next w:val="Normal"/>
    <w:rsid w:val="00543C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3CFF"/>
    <w:pPr>
      <w:spacing w:before="5040"/>
      <w:jc w:val="center"/>
    </w:pPr>
    <w:rPr>
      <w:sz w:val="48"/>
      <w:szCs w:val="72"/>
      <w:lang w:val="en-US"/>
    </w:rPr>
  </w:style>
  <w:style w:type="character" w:customStyle="1" w:styleId="TitleChar">
    <w:name w:val="Title Char"/>
    <w:basedOn w:val="DefaultParagraphFont"/>
    <w:link w:val="Title"/>
    <w:rsid w:val="00543C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CFF"/>
    <w:pPr>
      <w:tabs>
        <w:tab w:val="left" w:pos="3600"/>
        <w:tab w:val="left" w:pos="3958"/>
      </w:tabs>
    </w:pPr>
  </w:style>
  <w:style w:type="paragraph" w:styleId="ListBullet">
    <w:name w:val="List Bullet"/>
    <w:basedOn w:val="List"/>
    <w:rsid w:val="00543CFF"/>
    <w:pPr>
      <w:numPr>
        <w:numId w:val="13"/>
      </w:numPr>
      <w:tabs>
        <w:tab w:val="clear" w:pos="340"/>
      </w:tabs>
      <w:spacing w:before="40" w:after="40"/>
    </w:pPr>
  </w:style>
  <w:style w:type="paragraph" w:customStyle="1" w:styleId="Note">
    <w:name w:val="Note"/>
    <w:basedOn w:val="BodyText"/>
    <w:rsid w:val="00543C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CFF"/>
    <w:pPr>
      <w:framePr w:wrap="auto" w:hAnchor="text" w:y="6049"/>
    </w:pPr>
    <w:rPr>
      <w:color w:val="000000"/>
      <w:sz w:val="40"/>
    </w:rPr>
  </w:style>
  <w:style w:type="paragraph" w:customStyle="1" w:styleId="TOCTitle">
    <w:name w:val="TOCTitle"/>
    <w:basedOn w:val="Heading1"/>
    <w:rsid w:val="00543CFF"/>
    <w:pPr>
      <w:spacing w:after="240"/>
      <w:jc w:val="center"/>
      <w:outlineLvl w:val="9"/>
    </w:pPr>
    <w:rPr>
      <w:caps/>
    </w:rPr>
  </w:style>
  <w:style w:type="paragraph" w:customStyle="1" w:styleId="Version">
    <w:name w:val="Version"/>
    <w:rsid w:val="00543C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3CFF"/>
    <w:pPr>
      <w:keepNext w:val="0"/>
      <w:tabs>
        <w:tab w:val="right" w:pos="4176"/>
      </w:tabs>
      <w:ind w:left="198" w:hanging="198"/>
    </w:pPr>
    <w:rPr>
      <w:rFonts w:ascii="Garamond" w:hAnsi="Garamond"/>
    </w:rPr>
  </w:style>
  <w:style w:type="paragraph" w:styleId="IndexHeading">
    <w:name w:val="index heading"/>
    <w:basedOn w:val="Normal"/>
    <w:next w:val="Index1"/>
    <w:semiHidden/>
    <w:rsid w:val="00543CFF"/>
    <w:pPr>
      <w:spacing w:before="120" w:after="120"/>
    </w:pPr>
    <w:rPr>
      <w:rFonts w:ascii="Arial" w:hAnsi="Arial"/>
      <w:b/>
      <w:color w:val="918585"/>
      <w:sz w:val="24"/>
    </w:rPr>
  </w:style>
  <w:style w:type="paragraph" w:styleId="Header">
    <w:name w:val="header"/>
    <w:basedOn w:val="Normal"/>
    <w:link w:val="HeaderChar"/>
    <w:rsid w:val="00543C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CFF"/>
    <w:rPr>
      <w:rFonts w:ascii="Times New Roman" w:eastAsia="Times New Roman" w:hAnsi="Times New Roman" w:cs="Times New Roman"/>
      <w:sz w:val="16"/>
      <w:szCs w:val="20"/>
      <w:lang w:val="en-GB" w:eastAsia="en-US"/>
    </w:rPr>
  </w:style>
  <w:style w:type="paragraph" w:customStyle="1" w:styleId="Chapter">
    <w:name w:val="Chapter"/>
    <w:basedOn w:val="Normal"/>
    <w:rsid w:val="00543CFF"/>
    <w:pPr>
      <w:spacing w:before="240"/>
    </w:pPr>
    <w:rPr>
      <w:rFonts w:ascii="Times New Roman" w:hAnsi="Times New Roman"/>
      <w:smallCaps/>
      <w:spacing w:val="80"/>
      <w:sz w:val="28"/>
    </w:rPr>
  </w:style>
  <w:style w:type="paragraph" w:customStyle="1" w:styleId="InChapter">
    <w:name w:val="InChapter"/>
    <w:basedOn w:val="Heading3"/>
    <w:rsid w:val="00543CFF"/>
    <w:pPr>
      <w:spacing w:after="240"/>
      <w:outlineLvl w:val="9"/>
    </w:pPr>
    <w:rPr>
      <w:noProof/>
    </w:rPr>
  </w:style>
  <w:style w:type="paragraph" w:styleId="Index2">
    <w:name w:val="index 2"/>
    <w:basedOn w:val="Normal"/>
    <w:next w:val="Normal"/>
    <w:semiHidden/>
    <w:rsid w:val="00543CFF"/>
    <w:pPr>
      <w:tabs>
        <w:tab w:val="right" w:pos="4176"/>
      </w:tabs>
      <w:ind w:left="568" w:hanging="284"/>
    </w:pPr>
    <w:rPr>
      <w:rFonts w:ascii="Garamond" w:hAnsi="Garamond"/>
    </w:rPr>
  </w:style>
  <w:style w:type="paragraph" w:customStyle="1" w:styleId="Byline">
    <w:name w:val="Byline"/>
    <w:rsid w:val="00543C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CFF"/>
    <w:pPr>
      <w:tabs>
        <w:tab w:val="clear" w:pos="3600"/>
        <w:tab w:val="clear" w:pos="3958"/>
      </w:tabs>
      <w:jc w:val="right"/>
    </w:pPr>
  </w:style>
  <w:style w:type="paragraph" w:styleId="Caption">
    <w:name w:val="caption"/>
    <w:basedOn w:val="BodyText"/>
    <w:next w:val="Normal"/>
    <w:qFormat/>
    <w:rsid w:val="00543CFF"/>
    <w:pPr>
      <w:framePr w:w="2268" w:hSpace="181" w:vSpace="181" w:wrap="around" w:vAnchor="text" w:hAnchor="page" w:x="1135" w:y="285" w:anchorLock="1"/>
    </w:pPr>
    <w:rPr>
      <w:i/>
    </w:rPr>
  </w:style>
  <w:style w:type="paragraph" w:customStyle="1" w:styleId="MiniTOCTitle">
    <w:name w:val="MiniTOCTitle"/>
    <w:basedOn w:val="Heading4"/>
    <w:rsid w:val="00543CFF"/>
    <w:pPr>
      <w:spacing w:before="240"/>
      <w:outlineLvl w:val="9"/>
    </w:pPr>
    <w:rPr>
      <w:noProof/>
      <w:sz w:val="24"/>
    </w:rPr>
  </w:style>
  <w:style w:type="paragraph" w:customStyle="1" w:styleId="MiniTOCItem">
    <w:name w:val="MiniTOCItem"/>
    <w:basedOn w:val="ListBullet"/>
    <w:rsid w:val="00543CFF"/>
    <w:pPr>
      <w:numPr>
        <w:numId w:val="0"/>
      </w:numPr>
      <w:tabs>
        <w:tab w:val="right" w:leader="dot" w:pos="6521"/>
      </w:tabs>
      <w:spacing w:before="0" w:after="0"/>
    </w:pPr>
  </w:style>
  <w:style w:type="paragraph" w:customStyle="1" w:styleId="TOFTitle">
    <w:name w:val="TOFTitle"/>
    <w:basedOn w:val="TOCTitle"/>
    <w:rsid w:val="00543CFF"/>
  </w:style>
  <w:style w:type="paragraph" w:styleId="TableofFigures">
    <w:name w:val="table of figures"/>
    <w:basedOn w:val="Normal"/>
    <w:next w:val="Normal"/>
    <w:semiHidden/>
    <w:rsid w:val="00543CFF"/>
    <w:pPr>
      <w:tabs>
        <w:tab w:val="right" w:leader="dot" w:pos="9072"/>
      </w:tabs>
      <w:ind w:left="970" w:hanging="403"/>
    </w:pPr>
    <w:rPr>
      <w:rFonts w:ascii="Times New Roman" w:hAnsi="Times New Roman"/>
      <w:b/>
    </w:rPr>
  </w:style>
  <w:style w:type="paragraph" w:styleId="ListNumber">
    <w:name w:val="List Number"/>
    <w:basedOn w:val="List"/>
    <w:rsid w:val="00543CFF"/>
    <w:pPr>
      <w:numPr>
        <w:numId w:val="11"/>
      </w:numPr>
    </w:pPr>
  </w:style>
  <w:style w:type="character" w:customStyle="1" w:styleId="WingdingSymbols">
    <w:name w:val="Wingding Symbols"/>
    <w:rsid w:val="00543CFF"/>
    <w:rPr>
      <w:rFonts w:ascii="Wingdings" w:hAnsi="Wingdings"/>
    </w:rPr>
  </w:style>
  <w:style w:type="paragraph" w:customStyle="1" w:styleId="TableHeading">
    <w:name w:val="Table Heading"/>
    <w:basedOn w:val="HeadingBase"/>
    <w:rsid w:val="00543CFF"/>
    <w:pPr>
      <w:keepLines/>
      <w:pBdr>
        <w:bottom w:val="single" w:sz="6" w:space="1" w:color="918585"/>
      </w:pBdr>
      <w:spacing w:before="240"/>
    </w:pPr>
  </w:style>
  <w:style w:type="character" w:customStyle="1" w:styleId="HotSpot">
    <w:name w:val="HotSpot"/>
    <w:rsid w:val="00543CFF"/>
    <w:rPr>
      <w:color w:val="0033CC"/>
      <w:u w:val="none"/>
    </w:rPr>
  </w:style>
  <w:style w:type="paragraph" w:customStyle="1" w:styleId="BodyTextRight">
    <w:name w:val="Body Text Right"/>
    <w:basedOn w:val="BodyText"/>
    <w:rsid w:val="00543CFF"/>
    <w:pPr>
      <w:spacing w:before="0" w:after="0"/>
      <w:jc w:val="right"/>
    </w:pPr>
  </w:style>
  <w:style w:type="paragraph" w:styleId="Index3">
    <w:name w:val="index 3"/>
    <w:basedOn w:val="ListNumber2"/>
    <w:next w:val="Normal"/>
    <w:semiHidden/>
    <w:rsid w:val="00543CFF"/>
    <w:pPr>
      <w:numPr>
        <w:numId w:val="0"/>
      </w:numPr>
      <w:tabs>
        <w:tab w:val="right" w:leader="dot" w:pos="4176"/>
      </w:tabs>
    </w:pPr>
  </w:style>
  <w:style w:type="paragraph" w:styleId="ListNumber2">
    <w:name w:val="List Number 2"/>
    <w:basedOn w:val="List2"/>
    <w:rsid w:val="00543CFF"/>
    <w:pPr>
      <w:numPr>
        <w:numId w:val="10"/>
      </w:numPr>
      <w:tabs>
        <w:tab w:val="clear" w:pos="1060"/>
      </w:tabs>
    </w:pPr>
  </w:style>
  <w:style w:type="paragraph" w:customStyle="1" w:styleId="MarginNote">
    <w:name w:val="Margin Note"/>
    <w:basedOn w:val="BodyText"/>
    <w:rsid w:val="00543C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C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C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CFF"/>
    <w:rPr>
      <w:sz w:val="32"/>
    </w:rPr>
  </w:style>
  <w:style w:type="paragraph" w:customStyle="1" w:styleId="HeadingProcedure">
    <w:name w:val="Heading Procedure"/>
    <w:basedOn w:val="HeadingBase"/>
    <w:next w:val="Normal"/>
    <w:rsid w:val="00543CFF"/>
    <w:pPr>
      <w:tabs>
        <w:tab w:val="left" w:pos="0"/>
      </w:tabs>
      <w:spacing w:before="120" w:after="60"/>
    </w:pPr>
    <w:rPr>
      <w:i/>
      <w:color w:val="918585"/>
      <w:sz w:val="22"/>
    </w:rPr>
  </w:style>
  <w:style w:type="paragraph" w:customStyle="1" w:styleId="TableBodyText">
    <w:name w:val="Table Body Text"/>
    <w:basedOn w:val="BodyText"/>
    <w:rsid w:val="00543CFF"/>
    <w:pPr>
      <w:spacing w:before="60" w:after="60"/>
    </w:pPr>
  </w:style>
  <w:style w:type="paragraph" w:styleId="ListContinue">
    <w:name w:val="List Continue"/>
    <w:basedOn w:val="List"/>
    <w:rsid w:val="00543CFF"/>
    <w:pPr>
      <w:ind w:firstLine="0"/>
    </w:pPr>
  </w:style>
  <w:style w:type="paragraph" w:customStyle="1" w:styleId="ListNote">
    <w:name w:val="List Note"/>
    <w:basedOn w:val="List"/>
    <w:rsid w:val="00543CFF"/>
    <w:pPr>
      <w:pBdr>
        <w:top w:val="single" w:sz="6" w:space="2" w:color="918585"/>
        <w:bottom w:val="single" w:sz="6" w:space="2" w:color="918585"/>
      </w:pBdr>
      <w:tabs>
        <w:tab w:val="left" w:pos="1021"/>
      </w:tabs>
      <w:ind w:firstLine="0"/>
    </w:pPr>
  </w:style>
  <w:style w:type="paragraph" w:customStyle="1" w:styleId="Warning">
    <w:name w:val="Warning"/>
    <w:basedOn w:val="BodyText"/>
    <w:rsid w:val="00543CFF"/>
    <w:pPr>
      <w:shd w:val="clear" w:color="auto" w:fill="D9D9D9"/>
      <w:tabs>
        <w:tab w:val="left" w:pos="992"/>
      </w:tabs>
      <w:ind w:left="119" w:right="119"/>
    </w:pPr>
    <w:rPr>
      <w:sz w:val="20"/>
    </w:rPr>
  </w:style>
  <w:style w:type="paragraph" w:customStyle="1" w:styleId="MarginIcons">
    <w:name w:val="Margin Icons"/>
    <w:basedOn w:val="BodyText"/>
    <w:rsid w:val="00543C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CFF"/>
    <w:rPr>
      <w:rFonts w:ascii="Courier New" w:hAnsi="Courier New"/>
    </w:rPr>
  </w:style>
  <w:style w:type="paragraph" w:customStyle="1" w:styleId="NoteBullet">
    <w:name w:val="Note Bullet"/>
    <w:basedOn w:val="Note"/>
    <w:rsid w:val="00543CFF"/>
    <w:pPr>
      <w:tabs>
        <w:tab w:val="clear" w:pos="680"/>
      </w:tabs>
      <w:spacing w:before="60" w:after="60"/>
    </w:pPr>
  </w:style>
  <w:style w:type="paragraph" w:customStyle="1" w:styleId="SubHeading2">
    <w:name w:val="SubHeading2"/>
    <w:basedOn w:val="HeadingBase"/>
    <w:rsid w:val="00543CFF"/>
    <w:pPr>
      <w:spacing w:before="240" w:after="60"/>
    </w:pPr>
    <w:rPr>
      <w:sz w:val="20"/>
    </w:rPr>
  </w:style>
  <w:style w:type="paragraph" w:customStyle="1" w:styleId="SubHeading1">
    <w:name w:val="SubHeading1"/>
    <w:basedOn w:val="HeadingBase"/>
    <w:rsid w:val="00543CFF"/>
    <w:pPr>
      <w:spacing w:before="240" w:after="60"/>
    </w:pPr>
    <w:rPr>
      <w:color w:val="918585"/>
      <w:sz w:val="22"/>
    </w:rPr>
  </w:style>
  <w:style w:type="paragraph" w:customStyle="1" w:styleId="SideHeading">
    <w:name w:val="Side Heading"/>
    <w:basedOn w:val="HeadingBase"/>
    <w:rsid w:val="00543C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CFF"/>
    <w:pPr>
      <w:numPr>
        <w:numId w:val="12"/>
      </w:numPr>
    </w:pPr>
  </w:style>
  <w:style w:type="paragraph" w:styleId="PlainText">
    <w:name w:val="Plain Text"/>
    <w:basedOn w:val="Normal"/>
    <w:link w:val="PlainTextChar"/>
    <w:rsid w:val="00543CFF"/>
    <w:rPr>
      <w:sz w:val="20"/>
    </w:rPr>
  </w:style>
  <w:style w:type="character" w:customStyle="1" w:styleId="PlainTextChar">
    <w:name w:val="Plain Text Char"/>
    <w:basedOn w:val="DefaultParagraphFont"/>
    <w:link w:val="PlainText"/>
    <w:rsid w:val="00543CFF"/>
    <w:rPr>
      <w:rFonts w:ascii="Courier New" w:eastAsia="Times New Roman" w:hAnsi="Courier New" w:cs="Times New Roman"/>
      <w:sz w:val="20"/>
      <w:szCs w:val="20"/>
      <w:lang w:eastAsia="en-US"/>
    </w:rPr>
  </w:style>
  <w:style w:type="character" w:customStyle="1" w:styleId="MenuOption">
    <w:name w:val="Menu Option"/>
    <w:basedOn w:val="DefaultParagraphFont"/>
    <w:rsid w:val="00543CFF"/>
    <w:rPr>
      <w:b/>
      <w:smallCaps/>
    </w:rPr>
  </w:style>
  <w:style w:type="paragraph" w:customStyle="1" w:styleId="TableListNumber">
    <w:name w:val="Table List Number"/>
    <w:basedOn w:val="ListNumber"/>
    <w:rsid w:val="00543CFF"/>
    <w:pPr>
      <w:numPr>
        <w:numId w:val="0"/>
      </w:numPr>
    </w:pPr>
  </w:style>
  <w:style w:type="paragraph" w:styleId="TOC4">
    <w:name w:val="toc 4"/>
    <w:basedOn w:val="TOCBase"/>
    <w:next w:val="Normal"/>
    <w:semiHidden/>
    <w:rsid w:val="00543CFF"/>
    <w:pPr>
      <w:tabs>
        <w:tab w:val="right" w:leader="dot" w:pos="9071"/>
      </w:tabs>
      <w:ind w:left="1701"/>
    </w:pPr>
  </w:style>
  <w:style w:type="paragraph" w:customStyle="1" w:styleId="ListAlpha">
    <w:name w:val="List Alpha"/>
    <w:basedOn w:val="List"/>
    <w:rsid w:val="00543CFF"/>
    <w:pPr>
      <w:numPr>
        <w:numId w:val="9"/>
      </w:numPr>
    </w:pPr>
  </w:style>
  <w:style w:type="paragraph" w:customStyle="1" w:styleId="ListAlpha2">
    <w:name w:val="List Alpha 2"/>
    <w:basedOn w:val="List2"/>
    <w:rsid w:val="00543CFF"/>
    <w:pPr>
      <w:numPr>
        <w:numId w:val="8"/>
      </w:numPr>
    </w:pPr>
  </w:style>
  <w:style w:type="paragraph" w:styleId="List2">
    <w:name w:val="List 2"/>
    <w:basedOn w:val="BodyText"/>
    <w:rsid w:val="00543CFF"/>
    <w:pPr>
      <w:tabs>
        <w:tab w:val="left" w:pos="680"/>
      </w:tabs>
      <w:spacing w:before="60" w:after="60"/>
      <w:ind w:left="680" w:hanging="340"/>
    </w:pPr>
  </w:style>
  <w:style w:type="paragraph" w:styleId="List3">
    <w:name w:val="List 3"/>
    <w:basedOn w:val="BodyText"/>
    <w:rsid w:val="00543CFF"/>
    <w:pPr>
      <w:tabs>
        <w:tab w:val="left" w:pos="1021"/>
      </w:tabs>
      <w:spacing w:before="60" w:after="60"/>
      <w:ind w:left="1020" w:hanging="340"/>
    </w:pPr>
  </w:style>
  <w:style w:type="paragraph" w:styleId="List4">
    <w:name w:val="List 4"/>
    <w:basedOn w:val="BodyText"/>
    <w:rsid w:val="00543CFF"/>
    <w:pPr>
      <w:tabs>
        <w:tab w:val="left" w:pos="1361"/>
      </w:tabs>
      <w:spacing w:before="60" w:after="60"/>
      <w:ind w:left="1361" w:hanging="340"/>
    </w:pPr>
  </w:style>
  <w:style w:type="paragraph" w:styleId="List5">
    <w:name w:val="List 5"/>
    <w:basedOn w:val="BodyText"/>
    <w:rsid w:val="00543CFF"/>
    <w:pPr>
      <w:tabs>
        <w:tab w:val="left" w:pos="1701"/>
      </w:tabs>
      <w:spacing w:before="60" w:after="60"/>
      <w:ind w:left="1701" w:hanging="340"/>
    </w:pPr>
  </w:style>
  <w:style w:type="paragraph" w:styleId="ListBullet4">
    <w:name w:val="List Bullet 4"/>
    <w:basedOn w:val="List4"/>
    <w:rsid w:val="00543CFF"/>
    <w:pPr>
      <w:numPr>
        <w:numId w:val="3"/>
      </w:numPr>
    </w:pPr>
  </w:style>
  <w:style w:type="paragraph" w:styleId="ListBullet5">
    <w:name w:val="List Bullet 5"/>
    <w:basedOn w:val="List5"/>
    <w:rsid w:val="00543CFF"/>
    <w:pPr>
      <w:numPr>
        <w:numId w:val="4"/>
      </w:numPr>
    </w:pPr>
  </w:style>
  <w:style w:type="paragraph" w:styleId="ListContinue2">
    <w:name w:val="List Continue 2"/>
    <w:basedOn w:val="List2"/>
    <w:rsid w:val="00543CFF"/>
    <w:pPr>
      <w:ind w:firstLine="0"/>
    </w:pPr>
  </w:style>
  <w:style w:type="paragraph" w:styleId="ListContinue3">
    <w:name w:val="List Continue 3"/>
    <w:basedOn w:val="List3"/>
    <w:rsid w:val="00543CFF"/>
    <w:pPr>
      <w:ind w:left="1021" w:firstLine="0"/>
    </w:pPr>
  </w:style>
  <w:style w:type="paragraph" w:styleId="ListContinue4">
    <w:name w:val="List Continue 4"/>
    <w:basedOn w:val="List4"/>
    <w:rsid w:val="00543CFF"/>
    <w:pPr>
      <w:ind w:firstLine="0"/>
    </w:pPr>
  </w:style>
  <w:style w:type="paragraph" w:styleId="ListContinue5">
    <w:name w:val="List Continue 5"/>
    <w:basedOn w:val="List5"/>
    <w:rsid w:val="00543CFF"/>
    <w:pPr>
      <w:ind w:firstLine="0"/>
    </w:pPr>
  </w:style>
  <w:style w:type="paragraph" w:styleId="ListNumber3">
    <w:name w:val="List Number 3"/>
    <w:basedOn w:val="List3"/>
    <w:rsid w:val="00543CFF"/>
    <w:pPr>
      <w:numPr>
        <w:numId w:val="5"/>
      </w:numPr>
    </w:pPr>
  </w:style>
  <w:style w:type="paragraph" w:styleId="ListNumber4">
    <w:name w:val="List Number 4"/>
    <w:basedOn w:val="List4"/>
    <w:rsid w:val="00543CFF"/>
    <w:pPr>
      <w:numPr>
        <w:numId w:val="6"/>
      </w:numPr>
    </w:pPr>
  </w:style>
  <w:style w:type="paragraph" w:styleId="ListNumber5">
    <w:name w:val="List Number 5"/>
    <w:basedOn w:val="List5"/>
    <w:rsid w:val="00543CFF"/>
    <w:pPr>
      <w:numPr>
        <w:numId w:val="7"/>
      </w:numPr>
    </w:pPr>
  </w:style>
  <w:style w:type="paragraph" w:styleId="BlockText">
    <w:name w:val="Block Text"/>
    <w:basedOn w:val="Normal"/>
    <w:rsid w:val="00543CFF"/>
    <w:pPr>
      <w:spacing w:after="120"/>
      <w:ind w:left="1440" w:right="1440"/>
    </w:pPr>
  </w:style>
  <w:style w:type="character" w:customStyle="1" w:styleId="Subscript">
    <w:name w:val="Subscript"/>
    <w:basedOn w:val="DefaultParagraphFont"/>
    <w:rsid w:val="00543CFF"/>
    <w:rPr>
      <w:sz w:val="16"/>
      <w:vertAlign w:val="subscript"/>
    </w:rPr>
  </w:style>
  <w:style w:type="character" w:customStyle="1" w:styleId="Superscript">
    <w:name w:val="Superscript"/>
    <w:basedOn w:val="DefaultParagraphFont"/>
    <w:rsid w:val="00543CFF"/>
    <w:rPr>
      <w:sz w:val="16"/>
      <w:vertAlign w:val="superscript"/>
    </w:rPr>
  </w:style>
  <w:style w:type="character" w:customStyle="1" w:styleId="Symbols">
    <w:name w:val="Symbols"/>
    <w:basedOn w:val="DefaultParagraphFont"/>
    <w:rsid w:val="00543CFF"/>
    <w:rPr>
      <w:rFonts w:ascii="Symbol" w:hAnsi="Symbol"/>
    </w:rPr>
  </w:style>
  <w:style w:type="character" w:customStyle="1" w:styleId="MenuOptions">
    <w:name w:val="Menu Options"/>
    <w:basedOn w:val="DefaultParagraphFont"/>
    <w:rsid w:val="00543CFF"/>
    <w:rPr>
      <w:rFonts w:ascii="Arial Narrow" w:hAnsi="Arial Narrow"/>
      <w:smallCaps/>
    </w:rPr>
  </w:style>
  <w:style w:type="character" w:customStyle="1" w:styleId="Buttons">
    <w:name w:val="Buttons"/>
    <w:basedOn w:val="DefaultParagraphFont"/>
    <w:rsid w:val="00543CFF"/>
    <w:rPr>
      <w:b/>
    </w:rPr>
  </w:style>
  <w:style w:type="character" w:customStyle="1" w:styleId="Underlined">
    <w:name w:val="Underlined"/>
    <w:basedOn w:val="DefaultParagraphFont"/>
    <w:rsid w:val="00543CFF"/>
    <w:rPr>
      <w:u w:val="single"/>
    </w:rPr>
  </w:style>
  <w:style w:type="paragraph" w:customStyle="1" w:styleId="TableBodyTextRight">
    <w:name w:val="Table Body Text Right"/>
    <w:basedOn w:val="TableBodyText"/>
    <w:rsid w:val="00543CFF"/>
    <w:pPr>
      <w:widowControl w:val="0"/>
      <w:autoSpaceDE w:val="0"/>
      <w:autoSpaceDN w:val="0"/>
      <w:adjustRightInd w:val="0"/>
      <w:jc w:val="right"/>
    </w:pPr>
    <w:rPr>
      <w:rFonts w:cs="Arial"/>
      <w:szCs w:val="18"/>
    </w:rPr>
  </w:style>
  <w:style w:type="paragraph" w:customStyle="1" w:styleId="CopyrightText">
    <w:name w:val="Copyright Text"/>
    <w:basedOn w:val="BodyText"/>
    <w:rsid w:val="00543CFF"/>
    <w:rPr>
      <w:sz w:val="18"/>
    </w:rPr>
  </w:style>
  <w:style w:type="paragraph" w:customStyle="1" w:styleId="BodySmallRight">
    <w:name w:val="Body Small Right"/>
    <w:basedOn w:val="BodyTextRight"/>
    <w:rsid w:val="00543CFF"/>
    <w:rPr>
      <w:sz w:val="18"/>
      <w:szCs w:val="18"/>
    </w:rPr>
  </w:style>
  <w:style w:type="paragraph" w:customStyle="1" w:styleId="MarginEdition">
    <w:name w:val="Margin Edition"/>
    <w:basedOn w:val="MarginNote"/>
    <w:rsid w:val="00543CFF"/>
    <w:pPr>
      <w:spacing w:before="0" w:after="0"/>
    </w:pPr>
    <w:rPr>
      <w:rFonts w:ascii="Times New Roman" w:hAnsi="Times New Roman"/>
      <w:color w:val="999999"/>
    </w:rPr>
  </w:style>
  <w:style w:type="paragraph" w:customStyle="1" w:styleId="Spacer">
    <w:name w:val="Spacer"/>
    <w:basedOn w:val="Normal"/>
    <w:rsid w:val="00543CFF"/>
    <w:rPr>
      <w:sz w:val="2"/>
      <w:szCs w:val="2"/>
    </w:rPr>
  </w:style>
  <w:style w:type="character" w:customStyle="1" w:styleId="Small">
    <w:name w:val="Small"/>
    <w:basedOn w:val="DefaultParagraphFont"/>
    <w:rsid w:val="00543CFF"/>
    <w:rPr>
      <w:sz w:val="16"/>
    </w:rPr>
  </w:style>
  <w:style w:type="paragraph" w:customStyle="1" w:styleId="WideTable">
    <w:name w:val="Wide Table"/>
    <w:basedOn w:val="Normal"/>
    <w:rsid w:val="00543CFF"/>
    <w:pPr>
      <w:ind w:left="-1418"/>
    </w:pPr>
    <w:rPr>
      <w:sz w:val="2"/>
      <w:szCs w:val="2"/>
    </w:rPr>
  </w:style>
  <w:style w:type="character" w:styleId="PageNumber">
    <w:name w:val="page number"/>
    <w:basedOn w:val="DefaultParagraphFont"/>
    <w:rsid w:val="00543CFF"/>
  </w:style>
  <w:style w:type="paragraph" w:styleId="Quote">
    <w:name w:val="Quote"/>
    <w:basedOn w:val="Heading1"/>
    <w:link w:val="QuoteChar"/>
    <w:qFormat/>
    <w:rsid w:val="00543CFF"/>
    <w:rPr>
      <w:b w:val="0"/>
      <w:sz w:val="72"/>
      <w:szCs w:val="72"/>
      <w:lang w:val="en-NZ"/>
    </w:rPr>
  </w:style>
  <w:style w:type="character" w:customStyle="1" w:styleId="QuoteChar">
    <w:name w:val="Quote Char"/>
    <w:basedOn w:val="DefaultParagraphFont"/>
    <w:link w:val="Quote"/>
    <w:rsid w:val="00543C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CFF"/>
    <w:pPr>
      <w:pageBreakBefore/>
    </w:pPr>
  </w:style>
  <w:style w:type="paragraph" w:customStyle="1" w:styleId="Border">
    <w:name w:val="Border"/>
    <w:basedOn w:val="Normal"/>
    <w:qFormat/>
    <w:rsid w:val="00543C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CFF"/>
    <w:rPr>
      <w:b/>
      <w:bCs/>
      <w:i/>
      <w:iCs/>
      <w:color w:val="auto"/>
    </w:rPr>
  </w:style>
  <w:style w:type="paragraph" w:styleId="IntenseQuote">
    <w:name w:val="Intense Quote"/>
    <w:basedOn w:val="Normal"/>
    <w:next w:val="Normal"/>
    <w:link w:val="IntenseQuoteChar"/>
    <w:uiPriority w:val="30"/>
    <w:qFormat/>
    <w:rsid w:val="00543C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C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CFF"/>
    <w:rPr>
      <w:smallCaps/>
      <w:color w:val="auto"/>
      <w:u w:val="single"/>
    </w:rPr>
  </w:style>
  <w:style w:type="character" w:styleId="IntenseReference">
    <w:name w:val="Intense Reference"/>
    <w:basedOn w:val="DefaultParagraphFont"/>
    <w:uiPriority w:val="32"/>
    <w:qFormat/>
    <w:rsid w:val="00543CFF"/>
    <w:rPr>
      <w:b/>
      <w:bCs/>
      <w:smallCaps/>
      <w:color w:val="auto"/>
      <w:spacing w:val="5"/>
      <w:u w:val="single"/>
    </w:rPr>
  </w:style>
  <w:style w:type="paragraph" w:customStyle="1" w:styleId="2ColumnHeading">
    <w:name w:val="2Column Heading"/>
    <w:basedOn w:val="BodyText"/>
    <w:qFormat/>
    <w:rsid w:val="00543CFF"/>
    <w:pPr>
      <w:spacing w:after="60"/>
      <w:ind w:left="-2268"/>
    </w:pPr>
    <w:rPr>
      <w:b/>
    </w:rPr>
  </w:style>
  <w:style w:type="paragraph" w:customStyle="1" w:styleId="Heading1TOC">
    <w:name w:val="Heading1 TOC"/>
    <w:basedOn w:val="Normal"/>
    <w:qFormat/>
    <w:rsid w:val="00543CFF"/>
    <w:pPr>
      <w:spacing w:before="240" w:after="120"/>
    </w:pPr>
    <w:rPr>
      <w:rFonts w:ascii="Times New Roman" w:hAnsi="Times New Roman"/>
      <w:b/>
      <w:sz w:val="32"/>
    </w:rPr>
  </w:style>
  <w:style w:type="paragraph" w:customStyle="1" w:styleId="Heading2TOC">
    <w:name w:val="Heading2 TOC"/>
    <w:basedOn w:val="Normal"/>
    <w:qFormat/>
    <w:rsid w:val="00543CFF"/>
    <w:pPr>
      <w:spacing w:before="240" w:after="60"/>
    </w:pPr>
    <w:rPr>
      <w:rFonts w:ascii="Times New Roman" w:hAnsi="Times New Roman"/>
      <w:b/>
      <w:sz w:val="28"/>
    </w:rPr>
  </w:style>
  <w:style w:type="paragraph" w:styleId="BalloonText">
    <w:name w:val="Balloon Text"/>
    <w:basedOn w:val="Normal"/>
    <w:link w:val="BalloonTextChar"/>
    <w:rsid w:val="00543CFF"/>
    <w:rPr>
      <w:rFonts w:ascii="Tahoma" w:hAnsi="Tahoma" w:cs="Tahoma"/>
      <w:sz w:val="16"/>
      <w:szCs w:val="16"/>
    </w:rPr>
  </w:style>
  <w:style w:type="character" w:customStyle="1" w:styleId="BalloonTextChar">
    <w:name w:val="Balloon Text Char"/>
    <w:basedOn w:val="DefaultParagraphFont"/>
    <w:link w:val="BalloonText"/>
    <w:rsid w:val="00543C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C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3C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CFF"/>
    <w:rPr>
      <w:b/>
      <w:color w:val="660033"/>
      <w:spacing w:val="0"/>
    </w:rPr>
  </w:style>
  <w:style w:type="paragraph" w:customStyle="1" w:styleId="Nameditemlist">
    <w:name w:val="Named item list"/>
    <w:basedOn w:val="BodyText"/>
    <w:qFormat/>
    <w:rsid w:val="00543C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1516</Words>
  <Characters>10083</Characters>
  <Application>Microsoft Office Word</Application>
  <DocSecurity>0</DocSecurity>
  <Lines>333</Lines>
  <Paragraphs>214</Paragraphs>
  <ScaleCrop>false</ScaleCrop>
  <Company>Author-it Software Corporation Ltd.</Company>
  <LinksUpToDate>false</LinksUpToDate>
  <CharactersWithSpaces>11545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PSPREG401C Exercise regulatory powers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2012-11-01T17:05:00Z</dcterms:created>
  <dcterms:modified xsi:type="dcterms:W3CDTF">2012-11-01T17:05:00Z</dcterms:modified>
</cp:coreProperties>
</file>