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7AA" w:rsidP="003A47AA">
      <w:pPr>
        <w:pStyle w:val="Title"/>
      </w:pPr>
      <w:r>
        <w:fldChar w:fldCharType="begin"/>
      </w:r>
      <w:r>
        <w:instrText xml:space="preserve"> TITLE   \* MERGEFORMAT </w:instrText>
      </w:r>
      <w:r>
        <w:fldChar w:fldCharType="separate"/>
      </w:r>
      <w:r>
        <w:t>PSPRAIL501A Operate within the regulatory framework for rail safety</w:t>
      </w:r>
      <w:r>
        <w:fldChar w:fldCharType="end"/>
      </w:r>
    </w:p>
    <w:p w:rsidR="003A47AA" w:rsidP="003A47AA">
      <w:pPr>
        <w:pStyle w:val="Version"/>
        <w:sectPr w:rsidSect="00CF0B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F0B1D" w:rsidP="00CF0B1D">
      <w:pPr>
        <w:pStyle w:val="SuperHeading"/>
      </w:pPr>
      <w:r w:rsidRPr="00CF0B1D">
        <w:t>PSPRAIL501A Operate within the regulatory framework for rail safety</w:t>
      </w:r>
    </w:p>
    <w:p w:rsidR="00000000" w:rsidRPr="00CF0B1D" w:rsidP="00CF0B1D">
      <w:pPr>
        <w:pStyle w:val="SuperHeading"/>
      </w:pPr>
    </w:p>
    <w:p w:rsidR="00000000" w:rsidRPr="00CF0B1D" w:rsidP="00CF0B1D">
      <w:pPr>
        <w:pStyle w:val="Heading1"/>
      </w:pPr>
      <w:bookmarkStart w:id="1" w:name="O_411394"/>
      <w:bookmarkEnd w:id="1"/>
      <w:r w:rsidRPr="00CF0B1D">
        <w:t>Modification History</w:t>
      </w:r>
    </w:p>
    <w:p w:rsidR="00000000" w:rsidRPr="00CF0B1D" w:rsidP="00CF0B1D">
      <w:pPr>
        <w:pStyle w:val="BodyText"/>
      </w:pPr>
      <w:r w:rsidRPr="00CF0B1D">
        <w:t>PSPRAIL501A Release 2:</w:t>
      </w:r>
      <w:r w:rsidRPr="00CF0B1D">
        <w:tab/>
        <w:t>Layout adjusted. No changes to content.</w:t>
      </w:r>
    </w:p>
    <w:p w:rsidR="00000000" w:rsidRPr="00CF0B1D" w:rsidP="00CF0B1D">
      <w:pPr>
        <w:pStyle w:val="BodyText"/>
      </w:pPr>
      <w:r w:rsidRPr="00CF0B1D">
        <w:t>PSPRAIL501A Release 1:</w:t>
      </w:r>
      <w:r w:rsidRPr="00CF0B1D">
        <w:tab/>
        <w:t>Primary release.</w:t>
      </w:r>
    </w:p>
    <w:p w:rsidR="00000000" w:rsidRPr="00CF0B1D" w:rsidP="00CF0B1D">
      <w:pPr>
        <w:pStyle w:val="AllowPageBreak"/>
      </w:pPr>
    </w:p>
    <w:p w:rsidR="00000000" w:rsidRPr="00CF0B1D" w:rsidP="00CF0B1D">
      <w:pPr>
        <w:pStyle w:val="Heading1"/>
      </w:pPr>
      <w:bookmarkStart w:id="2" w:name="O_411390"/>
      <w:bookmarkEnd w:id="2"/>
      <w:r w:rsidRPr="00CF0B1D">
        <w:t>Unit Descriptor</w:t>
      </w:r>
    </w:p>
    <w:p w:rsidR="00000000" w:rsidRPr="00CF0B1D" w:rsidP="00CF0B1D">
      <w:pPr>
        <w:pStyle w:val="BodyText"/>
      </w:pPr>
      <w:r w:rsidRPr="00CF0B1D">
        <w:t xml:space="preserve">This unit </w:t>
      </w:r>
      <w:r w:rsidRPr="00CF0B1D">
        <w:t>covers the development and maintenance of up-to-date knowledge of the rail industry and the regulatory framework for rail safety, in order to develop industry relationships and operate effectively within the industry on behalf of the rail safety regulator.</w:t>
      </w:r>
    </w:p>
    <w:p w:rsidR="00000000" w:rsidRPr="00CF0B1D" w:rsidP="00CF0B1D">
      <w:pPr>
        <w:pStyle w:val="BodyText"/>
      </w:pPr>
      <w:r w:rsidRPr="00CF0B1D">
        <w:t>No licensing, legislative, regulatory or certification requirements apply to this unit at the time of publication.</w:t>
      </w:r>
    </w:p>
    <w:p w:rsidR="00000000" w:rsidRPr="00CF0B1D" w:rsidP="00CF0B1D">
      <w:pPr>
        <w:pStyle w:val="AllowPageBreak"/>
      </w:pPr>
    </w:p>
    <w:p w:rsidR="00000000" w:rsidRPr="00CF0B1D" w:rsidP="00CF0B1D">
      <w:pPr>
        <w:pStyle w:val="Heading1"/>
      </w:pPr>
      <w:bookmarkStart w:id="3" w:name="O_411402"/>
      <w:bookmarkEnd w:id="3"/>
      <w:r w:rsidRPr="00CF0B1D">
        <w:t>Application of the Unit</w:t>
      </w:r>
    </w:p>
    <w:p w:rsidR="00000000" w:rsidRPr="00CF0B1D" w:rsidP="00CF0B1D">
      <w:pPr>
        <w:pStyle w:val="BodyText"/>
      </w:pPr>
      <w:r w:rsidRPr="00CF0B1D">
        <w:t>In the workplace, staff members must develop, maintain and apply up-to-date knowledge of the rail i</w:t>
      </w:r>
      <w:r w:rsidRPr="00CF0B1D">
        <w:t>ndustry in order to continually improve services and safety outcomes. They must understand and use rail terminology; develop an understanding of railway infrastructure, railway technologies, railway operations and management, systems engineering and system</w:t>
      </w:r>
      <w:r w:rsidRPr="00CF0B1D">
        <w:t>s interfaces; and apply this in their regulatory roles. Staff members need to identify key participants in the rail industry, their relationships and their duties under rail safety legislation. In addition, they need a good understanding of key concepts an</w:t>
      </w:r>
      <w:r w:rsidRPr="00CF0B1D">
        <w:t>d definitions included in the legislation in order to implement regulatory requirements and provide accurate information to industry operators.</w:t>
      </w:r>
    </w:p>
    <w:p w:rsidR="00000000" w:rsidRPr="00CF0B1D" w:rsidP="00CF0B1D">
      <w:pPr>
        <w:pStyle w:val="AllowPageBreak"/>
      </w:pPr>
    </w:p>
    <w:p w:rsidR="00000000" w:rsidRPr="00CF0B1D" w:rsidP="00CF0B1D">
      <w:pPr>
        <w:pStyle w:val="Heading1"/>
      </w:pPr>
      <w:bookmarkStart w:id="4" w:name="O_411395"/>
      <w:bookmarkEnd w:id="4"/>
      <w:r w:rsidRPr="00CF0B1D">
        <w:t>Licensing/Regulatory Information</w:t>
      </w:r>
    </w:p>
    <w:p w:rsidR="00000000" w:rsidRPr="00CF0B1D" w:rsidP="00CF0B1D">
      <w:pPr>
        <w:pStyle w:val="BodyText"/>
      </w:pPr>
      <w:r w:rsidRPr="00CF0B1D">
        <w:t>Not applicable.</w:t>
      </w:r>
    </w:p>
    <w:p w:rsidR="00000000" w:rsidRPr="00CF0B1D" w:rsidP="00CF0B1D">
      <w:pPr>
        <w:pStyle w:val="AllowPageBreak"/>
      </w:pPr>
    </w:p>
    <w:p w:rsidR="00000000" w:rsidRPr="00CF0B1D" w:rsidP="00CF0B1D">
      <w:pPr>
        <w:pStyle w:val="Heading1"/>
      </w:pPr>
      <w:bookmarkStart w:id="5" w:name="O_411393"/>
      <w:bookmarkEnd w:id="5"/>
      <w:r w:rsidRPr="00CF0B1D">
        <w:t>Pre-Requisites</w:t>
      </w:r>
    </w:p>
    <w:p w:rsidR="00000000" w:rsidRPr="00CF0B1D" w:rsidP="00CF0B1D">
      <w:pPr>
        <w:pStyle w:val="BodyText"/>
      </w:pPr>
      <w:r w:rsidRPr="00CF0B1D">
        <w:t>Not applicable.</w:t>
      </w:r>
    </w:p>
    <w:p w:rsidR="00000000" w:rsidRPr="00CF0B1D" w:rsidP="00CF0B1D">
      <w:pPr>
        <w:pStyle w:val="AllowPageBreak"/>
      </w:pPr>
    </w:p>
    <w:p w:rsidR="00000000" w:rsidRPr="00CF0B1D" w:rsidP="00CF0B1D">
      <w:pPr>
        <w:pStyle w:val="Heading1"/>
      </w:pPr>
      <w:bookmarkStart w:id="6" w:name="O_411398"/>
      <w:bookmarkEnd w:id="6"/>
      <w:r w:rsidRPr="00CF0B1D">
        <w:t>Employability Skills Information</w:t>
      </w:r>
    </w:p>
    <w:p w:rsidR="00000000" w:rsidRPr="00CF0B1D" w:rsidP="00CF0B1D">
      <w:pPr>
        <w:pStyle w:val="BodyText"/>
      </w:pPr>
      <w:r w:rsidRPr="00CF0B1D">
        <w:t>This unit contains employability skills.</w:t>
      </w:r>
    </w:p>
    <w:p w:rsidR="00000000" w:rsidRPr="00CF0B1D" w:rsidP="00CF0B1D">
      <w:pPr>
        <w:pStyle w:val="AllowPageBreak"/>
      </w:pPr>
    </w:p>
    <w:p w:rsidR="00000000" w:rsidRPr="00CF0B1D" w:rsidP="00CF0B1D">
      <w:pPr>
        <w:pStyle w:val="Heading1"/>
      </w:pPr>
      <w:bookmarkStart w:id="7" w:name="O_411399"/>
      <w:bookmarkEnd w:id="7"/>
      <w:r w:rsidRPr="00CF0B1D">
        <w:t>Elements and Performance Criteria Pre-Content</w:t>
      </w:r>
    </w:p>
    <w:tbl>
      <w:tblPr>
        <w:tblW w:w="9322" w:type="dxa"/>
        <w:tblLayout w:type="fixed"/>
        <w:tblCellMar>
          <w:left w:w="62" w:type="dxa"/>
          <w:right w:w="62" w:type="dxa"/>
        </w:tblCellMar>
        <w:tblLook w:val="0000"/>
      </w:tblPr>
      <w:tblGrid>
        <w:gridCol w:w="2943"/>
        <w:gridCol w:w="6379"/>
      </w:tblGrid>
      <w:tr w:rsidTr="003A47A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t>Performance criteria describe the required performance needed to demonstrate achievement of the element. Where</w:t>
            </w:r>
            <w:r w:rsidRPr="00CF0B1D">
              <w:rPr>
                <w:rStyle w:val="BoldandItalics"/>
              </w:rPr>
              <w:t xml:space="preserve"> bold italicised </w:t>
            </w:r>
            <w:r w:rsidRPr="00CF0B1D">
              <w:t>text is used, further information is detailed in the range statement. Assessment of performance is to be consistent with the evid</w:t>
            </w:r>
            <w:r w:rsidRPr="00CF0B1D">
              <w:t>ence guide.</w:t>
            </w:r>
          </w:p>
        </w:tc>
      </w:tr>
    </w:tbl>
    <w:p w:rsidR="00000000" w:rsidRPr="00CF0B1D" w:rsidP="00CF0B1D">
      <w:pPr>
        <w:pStyle w:val="BodyText"/>
      </w:pPr>
    </w:p>
    <w:p w:rsidR="00000000" w:rsidRPr="00CF0B1D" w:rsidP="00CF0B1D">
      <w:pPr>
        <w:pStyle w:val="AllowPageBreak"/>
      </w:pPr>
    </w:p>
    <w:p w:rsidR="00000000" w:rsidRPr="00CF0B1D" w:rsidP="00CF0B1D">
      <w:pPr>
        <w:pStyle w:val="Heading1"/>
      </w:pPr>
      <w:bookmarkStart w:id="8" w:name="O_411400"/>
      <w:bookmarkEnd w:id="8"/>
      <w:r w:rsidRPr="00CF0B1D">
        <w:t>Elements and Performance Criteria</w:t>
      </w:r>
    </w:p>
    <w:tbl>
      <w:tblPr>
        <w:tblW w:w="9322" w:type="dxa"/>
        <w:tblLayout w:type="fixed"/>
        <w:tblCellMar>
          <w:left w:w="62" w:type="dxa"/>
          <w:right w:w="62" w:type="dxa"/>
        </w:tblCellMar>
        <w:tblLook w:val="0000"/>
      </w:tblPr>
      <w:tblGrid>
        <w:gridCol w:w="2943"/>
        <w:gridCol w:w="6379"/>
      </w:tblGrid>
      <w:tr w:rsidTr="003A47AA">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SpecialBold"/>
              </w:rPr>
              <w:t>PERFORMANCE CRITERIA</w:t>
            </w:r>
          </w:p>
        </w:tc>
      </w:tr>
      <w:tr w:rsidTr="003A47A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F0B1D">
            <w:pPr>
              <w:pStyle w:val="List"/>
              <w:rPr>
                <w:lang w:val="en-NZ"/>
              </w:rPr>
            </w:pPr>
            <w:r w:rsidRPr="00CF0B1D">
              <w:rPr>
                <w:rStyle w:val="SpecialBold"/>
              </w:rPr>
              <w:t>1</w:t>
            </w:r>
            <w:r w:rsidRPr="00CF0B1D">
              <w:t xml:space="preserve">. </w:t>
            </w:r>
            <w:r w:rsidRPr="00CF0B1D">
              <w:tab/>
            </w:r>
            <w:r w:rsidRPr="00CF0B1D">
              <w:rPr>
                <w:rStyle w:val="SpecialBold"/>
              </w:rPr>
              <w:t>Develop rail industry knowledge</w:t>
            </w:r>
          </w:p>
        </w:tc>
        <w:tc>
          <w:tcPr>
            <w:tcW w:w="6379" w:type="dxa"/>
            <w:tcBorders>
              <w:top w:val="nil"/>
              <w:left w:val="nil"/>
              <w:bottom w:val="nil"/>
              <w:right w:val="nil"/>
            </w:tcBorders>
            <w:tcMar>
              <w:top w:w="0" w:type="dxa"/>
              <w:left w:w="62" w:type="dxa"/>
              <w:bottom w:w="0" w:type="dxa"/>
              <w:right w:w="62" w:type="dxa"/>
            </w:tcMar>
          </w:tcPr>
          <w:p w:rsidR="00000000" w:rsidRPr="00CF0B1D" w:rsidP="00CF0B1D">
            <w:pPr>
              <w:pStyle w:val="List"/>
            </w:pPr>
            <w:r w:rsidRPr="00CF0B1D">
              <w:t>1.1</w:t>
            </w:r>
            <w:r w:rsidRPr="00CF0B1D">
              <w:tab/>
            </w:r>
            <w:r w:rsidRPr="00CF0B1D">
              <w:rPr>
                <w:rStyle w:val="BoldandItalics"/>
              </w:rPr>
              <w:t>Rail terminology</w:t>
            </w:r>
            <w:r w:rsidRPr="00CF0B1D">
              <w:t xml:space="preserve"> and </w:t>
            </w:r>
            <w:r w:rsidRPr="00CF0B1D">
              <w:rPr>
                <w:rStyle w:val="BoldandItalics"/>
              </w:rPr>
              <w:t>elements of railway systems</w:t>
            </w:r>
            <w:r w:rsidRPr="00CF0B1D">
              <w:t xml:space="preserve"> are identified and clarified to ensure knowledge is up-to-date.</w:t>
            </w:r>
          </w:p>
          <w:p w:rsidR="00000000" w:rsidRPr="00CF0B1D" w:rsidP="00CF0B1D">
            <w:pPr>
              <w:pStyle w:val="List"/>
            </w:pPr>
            <w:r w:rsidRPr="00CF0B1D">
              <w:t>1.2</w:t>
            </w:r>
            <w:r w:rsidRPr="00CF0B1D">
              <w:tab/>
            </w:r>
            <w:r w:rsidRPr="00CF0B1D">
              <w:rPr>
                <w:rStyle w:val="BoldandItalics"/>
              </w:rPr>
              <w:t>Railway technologies</w:t>
            </w:r>
            <w:r w:rsidRPr="00CF0B1D">
              <w:t xml:space="preserve">, </w:t>
            </w:r>
            <w:r w:rsidRPr="00CF0B1D">
              <w:rPr>
                <w:rStyle w:val="BoldandItalics"/>
              </w:rPr>
              <w:t>infrastructure</w:t>
            </w:r>
            <w:r w:rsidRPr="00CF0B1D">
              <w:t xml:space="preserve"> and interaction relating to the sphere of operation are researched and confirmed as current with experienced, senior or supervisory staff.</w:t>
            </w:r>
          </w:p>
          <w:p w:rsidR="00000000" w:rsidP="00CF0B1D">
            <w:pPr>
              <w:pStyle w:val="List"/>
              <w:rPr>
                <w:lang w:val="en-NZ"/>
              </w:rPr>
            </w:pPr>
            <w:r w:rsidRPr="00CF0B1D">
              <w:t>1.3</w:t>
            </w:r>
            <w:r w:rsidRPr="00CF0B1D">
              <w:tab/>
              <w:t xml:space="preserve">Key issues relating to railway operations and management, rail safety and </w:t>
            </w:r>
            <w:r w:rsidRPr="00CF0B1D">
              <w:rPr>
                <w:rStyle w:val="BoldandItalics"/>
              </w:rPr>
              <w:t>sy</w:t>
            </w:r>
            <w:r w:rsidRPr="00CF0B1D">
              <w:rPr>
                <w:rStyle w:val="BoldandItalics"/>
              </w:rPr>
              <w:t>stems interfaces</w:t>
            </w:r>
            <w:r w:rsidRPr="00CF0B1D">
              <w:t xml:space="preserve"> are identified and their impact on rail safety regulation is determined in accordance with legislation.</w:t>
            </w:r>
          </w:p>
        </w:tc>
      </w:tr>
      <w:tr w:rsidTr="003A47A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F0B1D">
            <w:pPr>
              <w:pStyle w:val="List"/>
              <w:rPr>
                <w:lang w:val="en-NZ"/>
              </w:rPr>
            </w:pPr>
            <w:r w:rsidRPr="00CF0B1D">
              <w:rPr>
                <w:rStyle w:val="SpecialBold"/>
              </w:rPr>
              <w:t>2</w:t>
            </w:r>
            <w:r w:rsidRPr="00CF0B1D">
              <w:t xml:space="preserve">. </w:t>
            </w:r>
            <w:r w:rsidRPr="00CF0B1D">
              <w:tab/>
            </w:r>
            <w:r w:rsidRPr="00CF0B1D">
              <w:rPr>
                <w:rStyle w:val="SpecialBold"/>
              </w:rPr>
              <w:t>Maintain currency in rail industry knowledge</w:t>
            </w:r>
          </w:p>
        </w:tc>
        <w:tc>
          <w:tcPr>
            <w:tcW w:w="6379" w:type="dxa"/>
            <w:tcBorders>
              <w:top w:val="nil"/>
              <w:left w:val="nil"/>
              <w:bottom w:val="nil"/>
              <w:right w:val="nil"/>
            </w:tcBorders>
            <w:tcMar>
              <w:top w:w="0" w:type="dxa"/>
              <w:left w:w="62" w:type="dxa"/>
              <w:bottom w:w="0" w:type="dxa"/>
              <w:right w:w="62" w:type="dxa"/>
            </w:tcMar>
          </w:tcPr>
          <w:p w:rsidR="00000000" w:rsidRPr="00CF0B1D" w:rsidP="00CF0B1D">
            <w:pPr>
              <w:pStyle w:val="List"/>
            </w:pPr>
            <w:r w:rsidRPr="00CF0B1D">
              <w:t>2.1</w:t>
            </w:r>
            <w:r w:rsidRPr="00CF0B1D">
              <w:tab/>
              <w:t>Changes in rail industry operations and technology are monitored over time and th</w:t>
            </w:r>
            <w:r w:rsidRPr="00CF0B1D">
              <w:t>eir implications for safety regulation are identified and discussed within the work group.</w:t>
            </w:r>
          </w:p>
          <w:p w:rsidR="00000000" w:rsidRPr="00CF0B1D" w:rsidP="00CF0B1D">
            <w:pPr>
              <w:pStyle w:val="List"/>
            </w:pPr>
            <w:r w:rsidRPr="00CF0B1D">
              <w:t>2.2</w:t>
            </w:r>
            <w:r w:rsidRPr="00CF0B1D">
              <w:tab/>
              <w:t>Changes in rail safety regulatory requirements are monitored and available information, training and awareness sessions are accessed to maintain knowledge and sk</w:t>
            </w:r>
            <w:r w:rsidRPr="00CF0B1D">
              <w:t>ill base.</w:t>
            </w:r>
          </w:p>
          <w:p w:rsidR="00000000" w:rsidP="00CF0B1D">
            <w:pPr>
              <w:pStyle w:val="List"/>
              <w:rPr>
                <w:lang w:val="en-NZ"/>
              </w:rPr>
            </w:pPr>
            <w:r w:rsidRPr="00CF0B1D">
              <w:t>2.3</w:t>
            </w:r>
            <w:r w:rsidRPr="00CF0B1D">
              <w:tab/>
              <w:t xml:space="preserve">Regular contact and </w:t>
            </w:r>
            <w:r w:rsidRPr="00CF0B1D">
              <w:rPr>
                <w:rStyle w:val="BoldandItalics"/>
              </w:rPr>
              <w:t>information</w:t>
            </w:r>
            <w:r w:rsidRPr="00CF0B1D">
              <w:t xml:space="preserve"> exchange with </w:t>
            </w:r>
            <w:r w:rsidRPr="00CF0B1D">
              <w:rPr>
                <w:rStyle w:val="BoldandItalics"/>
              </w:rPr>
              <w:t>other rail safety regulatory staff</w:t>
            </w:r>
            <w:r w:rsidRPr="00CF0B1D">
              <w:t xml:space="preserve"> are undertaken to ensure consistent application of regulatory requirements.</w:t>
            </w:r>
          </w:p>
        </w:tc>
      </w:tr>
      <w:tr w:rsidTr="003A47A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F0B1D">
            <w:pPr>
              <w:pStyle w:val="List"/>
              <w:rPr>
                <w:lang w:val="en-NZ"/>
              </w:rPr>
            </w:pPr>
            <w:r w:rsidRPr="00CF0B1D">
              <w:rPr>
                <w:rStyle w:val="SpecialBold"/>
              </w:rPr>
              <w:t>3</w:t>
            </w:r>
            <w:r w:rsidRPr="00CF0B1D">
              <w:t xml:space="preserve">. </w:t>
            </w:r>
            <w:r w:rsidRPr="00CF0B1D">
              <w:tab/>
            </w:r>
            <w:r w:rsidRPr="00CF0B1D">
              <w:rPr>
                <w:rStyle w:val="SpecialBold"/>
              </w:rPr>
              <w:t>Apply knowledge of rail industry standards</w:t>
            </w:r>
          </w:p>
        </w:tc>
        <w:tc>
          <w:tcPr>
            <w:tcW w:w="6379" w:type="dxa"/>
            <w:tcBorders>
              <w:top w:val="nil"/>
              <w:left w:val="nil"/>
              <w:bottom w:val="nil"/>
              <w:right w:val="nil"/>
            </w:tcBorders>
            <w:tcMar>
              <w:top w:w="0" w:type="dxa"/>
              <w:left w:w="62" w:type="dxa"/>
              <w:bottom w:w="0" w:type="dxa"/>
              <w:right w:w="62" w:type="dxa"/>
            </w:tcMar>
          </w:tcPr>
          <w:p w:rsidR="00000000" w:rsidRPr="00CF0B1D" w:rsidP="00CF0B1D">
            <w:pPr>
              <w:pStyle w:val="List"/>
            </w:pPr>
            <w:r w:rsidRPr="00CF0B1D">
              <w:t>3.1</w:t>
            </w:r>
            <w:r w:rsidRPr="00CF0B1D">
              <w:tab/>
            </w:r>
            <w:r w:rsidRPr="00CF0B1D">
              <w:rPr>
                <w:rStyle w:val="BoldandItalics"/>
              </w:rPr>
              <w:t>Rail safety operating principles</w:t>
            </w:r>
            <w:r w:rsidRPr="00CF0B1D">
              <w:t xml:space="preserve"> </w:t>
            </w:r>
            <w:r w:rsidRPr="00CF0B1D">
              <w:t>are identified and confirmed.</w:t>
            </w:r>
          </w:p>
          <w:p w:rsidR="00000000" w:rsidRPr="00CF0B1D" w:rsidP="00CF0B1D">
            <w:pPr>
              <w:pStyle w:val="List"/>
            </w:pPr>
            <w:r w:rsidRPr="00CF0B1D">
              <w:t>3.2</w:t>
            </w:r>
            <w:r w:rsidRPr="00CF0B1D">
              <w:tab/>
            </w:r>
            <w:r w:rsidRPr="00CF0B1D">
              <w:rPr>
                <w:rStyle w:val="BoldandItalics"/>
              </w:rPr>
              <w:t>Applicable current national and international standards</w:t>
            </w:r>
            <w:r w:rsidRPr="00CF0B1D">
              <w:t>, codes and local rules are identified and their relevance to rail safety regulation is confirmed.</w:t>
            </w:r>
          </w:p>
          <w:p w:rsidR="00000000" w:rsidRPr="00CF0B1D" w:rsidP="00CF0B1D">
            <w:pPr>
              <w:pStyle w:val="List"/>
            </w:pPr>
            <w:r w:rsidRPr="00CF0B1D">
              <w:t>3.3</w:t>
            </w:r>
            <w:r w:rsidRPr="00CF0B1D">
              <w:tab/>
              <w:t>Requirements of rail industry standards for use by rail transpor</w:t>
            </w:r>
            <w:r w:rsidRPr="00CF0B1D">
              <w:t>t operators are identified in the context of safety management systems and risk management.</w:t>
            </w:r>
          </w:p>
          <w:p w:rsidR="00000000" w:rsidP="00CF0B1D">
            <w:pPr>
              <w:pStyle w:val="List"/>
              <w:rPr>
                <w:lang w:val="en-NZ"/>
              </w:rPr>
            </w:pPr>
            <w:r w:rsidRPr="00CF0B1D">
              <w:t>3.3</w:t>
            </w:r>
            <w:r w:rsidRPr="00CF0B1D">
              <w:tab/>
            </w:r>
            <w:r w:rsidRPr="00CF0B1D">
              <w:rPr>
                <w:rStyle w:val="BoldandItalics"/>
              </w:rPr>
              <w:t>Implications</w:t>
            </w:r>
            <w:r w:rsidRPr="00CF0B1D">
              <w:t xml:space="preserve"> of using rail industry standards for rail safety compliance are explained as required, in accordance with industry needs.</w:t>
            </w:r>
          </w:p>
        </w:tc>
      </w:tr>
      <w:tr w:rsidTr="003A47A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F0B1D">
            <w:pPr>
              <w:pStyle w:val="List"/>
              <w:rPr>
                <w:lang w:val="en-NZ"/>
              </w:rPr>
            </w:pPr>
            <w:r w:rsidRPr="00CF0B1D">
              <w:rPr>
                <w:rStyle w:val="SpecialBold"/>
              </w:rPr>
              <w:t>4</w:t>
            </w:r>
            <w:r w:rsidRPr="00CF0B1D">
              <w:t xml:space="preserve">. </w:t>
            </w:r>
            <w:r w:rsidRPr="00CF0B1D">
              <w:tab/>
            </w:r>
            <w:r w:rsidRPr="00CF0B1D">
              <w:rPr>
                <w:rStyle w:val="SpecialBold"/>
              </w:rPr>
              <w:t>Identify and use key principles underpinning rail safety regulation</w:t>
            </w:r>
          </w:p>
        </w:tc>
        <w:tc>
          <w:tcPr>
            <w:tcW w:w="6379" w:type="dxa"/>
            <w:tcBorders>
              <w:top w:val="nil"/>
              <w:left w:val="nil"/>
              <w:bottom w:val="nil"/>
              <w:right w:val="nil"/>
            </w:tcBorders>
            <w:tcMar>
              <w:top w:w="0" w:type="dxa"/>
              <w:left w:w="62" w:type="dxa"/>
              <w:bottom w:w="0" w:type="dxa"/>
              <w:right w:w="62" w:type="dxa"/>
            </w:tcMar>
          </w:tcPr>
          <w:p w:rsidR="00000000" w:rsidRPr="00CF0B1D" w:rsidP="00CF0B1D">
            <w:pPr>
              <w:pStyle w:val="List"/>
            </w:pPr>
            <w:r w:rsidRPr="00CF0B1D">
              <w:t>4.1</w:t>
            </w:r>
            <w:r w:rsidRPr="00CF0B1D">
              <w:tab/>
              <w:t>Role, function and purpose of co-regulation in the rail industry are explained in the context of legislation and explanatory memorandum.</w:t>
            </w:r>
          </w:p>
          <w:p w:rsidR="00000000" w:rsidRPr="00CF0B1D" w:rsidP="00CF0B1D">
            <w:pPr>
              <w:pStyle w:val="List"/>
            </w:pPr>
            <w:r w:rsidRPr="00CF0B1D">
              <w:t>4.2</w:t>
            </w:r>
            <w:r w:rsidRPr="00CF0B1D">
              <w:tab/>
              <w:t>Role, function and purpose of safety manage</w:t>
            </w:r>
            <w:r w:rsidRPr="00CF0B1D">
              <w:t>ment systems and accreditation are explained in the context of legislation and guidelines.</w:t>
            </w:r>
          </w:p>
          <w:p w:rsidR="00000000" w:rsidP="00CF0B1D">
            <w:pPr>
              <w:pStyle w:val="List"/>
              <w:rPr>
                <w:lang w:val="en-NZ"/>
              </w:rPr>
            </w:pPr>
            <w:r w:rsidRPr="00CF0B1D">
              <w:t>4.3</w:t>
            </w:r>
            <w:r w:rsidRPr="00CF0B1D">
              <w:tab/>
              <w:t xml:space="preserve">Functions and obligations of </w:t>
            </w:r>
            <w:r w:rsidRPr="00CF0B1D">
              <w:rPr>
                <w:rStyle w:val="BoldandItalics"/>
              </w:rPr>
              <w:t>duty holders and their general duties</w:t>
            </w:r>
            <w:r w:rsidRPr="00CF0B1D">
              <w:t xml:space="preserve"> are explained in the context of rail safety legislation.</w:t>
            </w:r>
          </w:p>
        </w:tc>
      </w:tr>
      <w:tr w:rsidTr="003A47A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F0B1D">
            <w:pPr>
              <w:pStyle w:val="List"/>
              <w:rPr>
                <w:lang w:val="en-NZ"/>
              </w:rPr>
            </w:pPr>
            <w:r w:rsidRPr="00CF0B1D">
              <w:rPr>
                <w:rStyle w:val="SpecialBold"/>
              </w:rPr>
              <w:t>5</w:t>
            </w:r>
            <w:r w:rsidRPr="00CF0B1D">
              <w:t xml:space="preserve">. </w:t>
            </w:r>
            <w:r w:rsidRPr="00CF0B1D">
              <w:tab/>
            </w:r>
            <w:r w:rsidRPr="00CF0B1D">
              <w:rPr>
                <w:rStyle w:val="SpecialBold"/>
              </w:rPr>
              <w:t>Establish and maintain rail indu</w:t>
            </w:r>
            <w:r w:rsidRPr="00CF0B1D">
              <w:rPr>
                <w:rStyle w:val="SpecialBold"/>
              </w:rPr>
              <w:t>stry relationships</w:t>
            </w:r>
          </w:p>
        </w:tc>
        <w:tc>
          <w:tcPr>
            <w:tcW w:w="6379" w:type="dxa"/>
            <w:tcBorders>
              <w:top w:val="nil"/>
              <w:left w:val="nil"/>
              <w:bottom w:val="nil"/>
              <w:right w:val="nil"/>
            </w:tcBorders>
            <w:tcMar>
              <w:top w:w="0" w:type="dxa"/>
              <w:left w:w="62" w:type="dxa"/>
              <w:bottom w:w="0" w:type="dxa"/>
              <w:right w:w="62" w:type="dxa"/>
            </w:tcMar>
          </w:tcPr>
          <w:p w:rsidR="00000000" w:rsidRPr="00CF0B1D" w:rsidP="00CF0B1D">
            <w:pPr>
              <w:pStyle w:val="List"/>
            </w:pPr>
            <w:r w:rsidRPr="00CF0B1D">
              <w:t>5.1</w:t>
            </w:r>
            <w:r w:rsidRPr="00CF0B1D">
              <w:tab/>
            </w:r>
            <w:r w:rsidRPr="00CF0B1D">
              <w:rPr>
                <w:rStyle w:val="BoldandItalics"/>
              </w:rPr>
              <w:t>Rail industry organisations</w:t>
            </w:r>
            <w:r w:rsidRPr="00CF0B1D">
              <w:t xml:space="preserve"> are identified and formal and informal lines of communications are established and maintained.</w:t>
            </w:r>
          </w:p>
          <w:p w:rsidR="00000000" w:rsidRPr="00CF0B1D" w:rsidP="00CF0B1D">
            <w:pPr>
              <w:pStyle w:val="List"/>
            </w:pPr>
            <w:r w:rsidRPr="00CF0B1D">
              <w:t>5.2</w:t>
            </w:r>
            <w:r w:rsidRPr="00CF0B1D">
              <w:tab/>
              <w:t>Trust and confidence are gained and maintained through high standards of ethical practice.</w:t>
            </w:r>
          </w:p>
          <w:p w:rsidR="00000000" w:rsidRPr="00CF0B1D" w:rsidP="00CF0B1D">
            <w:pPr>
              <w:pStyle w:val="List"/>
            </w:pPr>
            <w:r w:rsidRPr="00CF0B1D">
              <w:t>5.3</w:t>
            </w:r>
            <w:r w:rsidRPr="00CF0B1D">
              <w:tab/>
              <w:t>Interests a</w:t>
            </w:r>
            <w:r w:rsidRPr="00CF0B1D">
              <w:t>nd requirements of the regulator are represented and promoted using strategies tailored to the particular industry organisation.</w:t>
            </w:r>
          </w:p>
          <w:p w:rsidR="00000000" w:rsidRPr="00CF0B1D" w:rsidP="00CF0B1D">
            <w:pPr>
              <w:pStyle w:val="List"/>
            </w:pPr>
            <w:r w:rsidRPr="00CF0B1D">
              <w:t>5.4</w:t>
            </w:r>
            <w:r w:rsidRPr="00CF0B1D">
              <w:tab/>
              <w:t>Feedback is obtained and used to improve services and regulatory outcomes.</w:t>
            </w:r>
          </w:p>
        </w:tc>
      </w:tr>
    </w:tbl>
    <w:p w:rsidR="00000000" w:rsidRPr="00CF0B1D" w:rsidP="00CF0B1D">
      <w:pPr>
        <w:pStyle w:val="BodyText"/>
      </w:pPr>
    </w:p>
    <w:p w:rsidR="00000000" w:rsidRPr="00CF0B1D" w:rsidP="00CF0B1D">
      <w:pPr>
        <w:pStyle w:val="AllowPageBreak"/>
      </w:pPr>
    </w:p>
    <w:p w:rsidR="00000000" w:rsidRPr="00CF0B1D" w:rsidP="00CF0B1D">
      <w:pPr>
        <w:pStyle w:val="Heading1"/>
      </w:pPr>
      <w:bookmarkStart w:id="9" w:name="O_411391"/>
      <w:bookmarkEnd w:id="9"/>
      <w:r w:rsidRPr="00CF0B1D">
        <w:t>Required Skills and Knowledge</w:t>
      </w:r>
    </w:p>
    <w:tbl>
      <w:tblPr>
        <w:tblW w:w="9311" w:type="dxa"/>
        <w:tblLayout w:type="fixed"/>
        <w:tblCellMar>
          <w:left w:w="62" w:type="dxa"/>
          <w:right w:w="62" w:type="dxa"/>
        </w:tblCellMar>
        <w:tblLook w:val="0000"/>
      </w:tblPr>
      <w:tblGrid>
        <w:gridCol w:w="9311"/>
      </w:tblGrid>
      <w:tr w:rsidTr="003A47A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t>This section describes the essential skills and knowledge and their level, required for this unit.</w:t>
            </w:r>
          </w:p>
        </w:tc>
      </w:tr>
      <w:tr w:rsidTr="003A47A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rPr>
                <w:rStyle w:val="SpecialBold"/>
              </w:rPr>
              <w:t>Required skills</w:t>
            </w:r>
            <w:r w:rsidRPr="00CF0B1D">
              <w:t>:</w:t>
            </w:r>
          </w:p>
          <w:p w:rsidR="00000000" w:rsidRPr="00CF0B1D" w:rsidP="00CF0B1D">
            <w:pPr>
              <w:pStyle w:val="BodyText"/>
            </w:pPr>
            <w:r w:rsidRPr="00CF0B1D">
              <w:t>Look for evidence that confirms skills in:</w:t>
            </w:r>
          </w:p>
          <w:p w:rsidR="00000000" w:rsidRPr="00CF0B1D" w:rsidP="00CF0B1D">
            <w:pPr>
              <w:pStyle w:val="ListBullet"/>
            </w:pPr>
            <w:r w:rsidRPr="00CF0B1D">
              <w:t>researching information related to the rail industry and rail safety regulation</w:t>
            </w:r>
          </w:p>
          <w:p w:rsidR="00000000" w:rsidRPr="00CF0B1D" w:rsidP="00CF0B1D">
            <w:pPr>
              <w:pStyle w:val="ListBullet"/>
            </w:pPr>
            <w:r w:rsidRPr="00CF0B1D">
              <w:t>accessing and using rail safety industry standards</w:t>
            </w:r>
          </w:p>
          <w:p w:rsidR="00000000" w:rsidRPr="00CF0B1D" w:rsidP="00CF0B1D">
            <w:pPr>
              <w:pStyle w:val="ListBullet"/>
            </w:pPr>
            <w:r w:rsidRPr="00CF0B1D">
              <w:t>developing and maintaining currency in rail industry knowledge</w:t>
            </w:r>
          </w:p>
          <w:p w:rsidR="00000000" w:rsidRPr="00CF0B1D" w:rsidP="00CF0B1D">
            <w:pPr>
              <w:pStyle w:val="ListBullet"/>
            </w:pPr>
            <w:r w:rsidRPr="00CF0B1D">
              <w:t>communicating with others, involving the explanation of complex information relating to rail safety regulation</w:t>
            </w:r>
          </w:p>
          <w:p w:rsidR="00000000" w:rsidRPr="00CF0B1D" w:rsidP="00CF0B1D">
            <w:pPr>
              <w:pStyle w:val="ListBullet"/>
            </w:pPr>
            <w:r w:rsidRPr="00CF0B1D">
              <w:t>networking and building relatio</w:t>
            </w:r>
            <w:r w:rsidRPr="00CF0B1D">
              <w:t>nships with a diverse range of rail industry organisations</w:t>
            </w:r>
          </w:p>
          <w:p w:rsidR="00000000" w:rsidRPr="00CF0B1D" w:rsidP="00CF0B1D">
            <w:pPr>
              <w:pStyle w:val="ListBullet"/>
            </w:pPr>
            <w:r w:rsidRPr="00CF0B1D">
              <w:t>self-management to work ethically and in accordance with legislation</w:t>
            </w:r>
          </w:p>
          <w:p w:rsidR="00000000" w:rsidRPr="00CF0B1D" w:rsidP="00CF0B1D">
            <w:pPr>
              <w:pStyle w:val="ListBullet"/>
            </w:pPr>
            <w:r w:rsidRPr="00CF0B1D">
              <w:t>using technology to conduct research, access industry standards, review changing industry information and network with others</w:t>
            </w:r>
          </w:p>
          <w:p w:rsidR="00000000" w:rsidRPr="00CF0B1D" w:rsidP="00CF0B1D">
            <w:pPr>
              <w:pStyle w:val="ListBullet"/>
            </w:pPr>
            <w:r w:rsidRPr="00CF0B1D">
              <w:t>re</w:t>
            </w:r>
            <w:r w:rsidRPr="00CF0B1D">
              <w:t>sponding to diversity, including gender and disability</w:t>
            </w:r>
          </w:p>
          <w:p w:rsidR="00000000" w:rsidP="00CF0B1D">
            <w:pPr>
              <w:pStyle w:val="ListBullet"/>
              <w:rPr>
                <w:lang w:val="en-NZ"/>
              </w:rPr>
            </w:pPr>
            <w:r w:rsidRPr="00CF0B1D">
              <w:t>applying environmental and occupational health and safety procedures when using computer technology and when networking in the field with rail industry operators</w:t>
            </w:r>
          </w:p>
        </w:tc>
      </w:tr>
      <w:tr w:rsidTr="003A47A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rPr>
                <w:rStyle w:val="SpecialBold"/>
              </w:rPr>
              <w:t>Required knowledge</w:t>
            </w:r>
            <w:r w:rsidRPr="00CF0B1D">
              <w:t>:</w:t>
            </w:r>
          </w:p>
          <w:p w:rsidR="00000000" w:rsidRPr="00CF0B1D" w:rsidP="00CF0B1D">
            <w:pPr>
              <w:pStyle w:val="BodyText"/>
            </w:pPr>
            <w:r w:rsidRPr="00CF0B1D">
              <w:t>Look for evidence that confirms knowledge and understanding of:</w:t>
            </w:r>
          </w:p>
          <w:p w:rsidR="00000000" w:rsidRPr="00CF0B1D" w:rsidP="00CF0B1D">
            <w:pPr>
              <w:pStyle w:val="ListBullet"/>
            </w:pPr>
            <w:r w:rsidRPr="00CF0B1D">
              <w:t>rail industry and rail industry terminology, including terminology used in technical standards</w:t>
            </w:r>
          </w:p>
          <w:p w:rsidR="00000000" w:rsidRPr="00CF0B1D" w:rsidP="00CF0B1D">
            <w:pPr>
              <w:pStyle w:val="ListBullet"/>
            </w:pPr>
            <w:r w:rsidRPr="00CF0B1D">
              <w:t>changes in rail industry operations and technology with implications for rail safety regulation</w:t>
            </w:r>
          </w:p>
          <w:p w:rsidR="00000000" w:rsidRPr="00CF0B1D" w:rsidP="00CF0B1D">
            <w:pPr>
              <w:pStyle w:val="ListBullet"/>
            </w:pPr>
            <w:r w:rsidRPr="00CF0B1D">
              <w:t>key principles and practices associated with railway operations</w:t>
            </w:r>
          </w:p>
          <w:p w:rsidR="00000000" w:rsidRPr="00CF0B1D" w:rsidP="00CF0B1D">
            <w:pPr>
              <w:pStyle w:val="ListBullet"/>
            </w:pPr>
            <w:r w:rsidRPr="00CF0B1D">
              <w:t xml:space="preserve">relevance of national and international standards to the rail industry </w:t>
            </w:r>
          </w:p>
          <w:p w:rsidR="00000000" w:rsidRPr="00CF0B1D" w:rsidP="00CF0B1D">
            <w:pPr>
              <w:pStyle w:val="ListBullet"/>
            </w:pPr>
            <w:r w:rsidRPr="00CF0B1D">
              <w:t>rail safety</w:t>
            </w:r>
          </w:p>
          <w:p w:rsidR="00000000" w:rsidRPr="00CF0B1D" w:rsidP="00CF0B1D">
            <w:pPr>
              <w:pStyle w:val="ListBullet"/>
            </w:pPr>
            <w:r w:rsidRPr="00CF0B1D">
              <w:t xml:space="preserve">key concepts and definitions relating to rail safety regulation </w:t>
            </w:r>
          </w:p>
          <w:p w:rsidR="00000000" w:rsidRPr="00CF0B1D" w:rsidP="00CF0B1D">
            <w:pPr>
              <w:pStyle w:val="ListBullet"/>
            </w:pPr>
            <w:r w:rsidRPr="00CF0B1D">
              <w:t>duty holders and their duties under rail sa</w:t>
            </w:r>
            <w:r w:rsidRPr="00CF0B1D">
              <w:t>fety legislation</w:t>
            </w:r>
          </w:p>
          <w:p w:rsidR="00000000" w:rsidRPr="00CF0B1D" w:rsidP="00CF0B1D">
            <w:pPr>
              <w:pStyle w:val="ListBullet"/>
            </w:pPr>
            <w:r w:rsidRPr="00CF0B1D">
              <w:t>key participants in the rail industry.</w:t>
            </w:r>
          </w:p>
        </w:tc>
      </w:tr>
    </w:tbl>
    <w:p w:rsidR="00000000" w:rsidRPr="00CF0B1D" w:rsidP="00CF0B1D">
      <w:pPr>
        <w:pStyle w:val="BodyText"/>
      </w:pPr>
    </w:p>
    <w:p w:rsidR="00000000" w:rsidRPr="00CF0B1D" w:rsidP="00CF0B1D">
      <w:pPr>
        <w:pStyle w:val="AllowPageBreak"/>
      </w:pPr>
    </w:p>
    <w:p w:rsidR="00000000" w:rsidRPr="00CF0B1D" w:rsidP="00CF0B1D">
      <w:pPr>
        <w:pStyle w:val="Heading1"/>
      </w:pPr>
      <w:bookmarkStart w:id="10" w:name="O_411397"/>
      <w:bookmarkEnd w:id="10"/>
      <w:r w:rsidRPr="00CF0B1D">
        <w:t>Evidence Guide</w:t>
      </w:r>
    </w:p>
    <w:tbl>
      <w:tblPr>
        <w:tblW w:w="9322" w:type="dxa"/>
        <w:tblLayout w:type="fixed"/>
        <w:tblCellMar>
          <w:left w:w="62" w:type="dxa"/>
          <w:right w:w="62" w:type="dxa"/>
        </w:tblCellMar>
        <w:tblLook w:val="0000"/>
      </w:tblPr>
      <w:tblGrid>
        <w:gridCol w:w="2660"/>
        <w:gridCol w:w="6662"/>
      </w:tblGrid>
      <w:tr w:rsidTr="003A47A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t>The Evidence Guide specifies the evidence required to demonstrate achievement in the unit of competency as a whole. It must be read in conjunction with the unit descr</w:t>
            </w:r>
            <w:r w:rsidRPr="00CF0B1D">
              <w:t>iptor, performance criteria, The range statement and the Assessment Guidelines for the Public Sector Training Package.</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t>In addition to integrated demonstration of the elements and their related performance criteria, look for evidence that confirms:</w:t>
            </w:r>
          </w:p>
          <w:p w:rsidR="00000000" w:rsidRPr="00CF0B1D" w:rsidP="00CF0B1D">
            <w:pPr>
              <w:pStyle w:val="ListBullet"/>
            </w:pPr>
            <w:r w:rsidRPr="00CF0B1D">
              <w:t>the knowledge requirements of this unit</w:t>
            </w:r>
          </w:p>
          <w:p w:rsidR="00000000" w:rsidRPr="00CF0B1D" w:rsidP="00CF0B1D">
            <w:pPr>
              <w:pStyle w:val="ListBullet"/>
            </w:pPr>
            <w:r w:rsidRPr="00CF0B1D">
              <w:t>the skill requirements of this unit</w:t>
            </w:r>
          </w:p>
          <w:p w:rsidR="00000000" w:rsidRPr="00CF0B1D" w:rsidP="00CF0B1D">
            <w:pPr>
              <w:pStyle w:val="ListBullet"/>
            </w:pPr>
            <w:r w:rsidRPr="00CF0B1D">
              <w:t>application of employability skills as they relate</w:t>
            </w:r>
            <w:r w:rsidRPr="00CF0B1D">
              <w:t xml:space="preserve"> to this unit</w:t>
            </w:r>
          </w:p>
          <w:p w:rsidR="00000000" w:rsidP="00CF0B1D">
            <w:pPr>
              <w:pStyle w:val="ListBullet"/>
              <w:rPr>
                <w:lang w:val="en-NZ"/>
              </w:rPr>
            </w:pPr>
            <w:r w:rsidRPr="00CF0B1D">
              <w:t>effective operation within the regulatory framework for rail safety in a range of 3 or more contexts or occasions over time.</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SpecialBold"/>
              </w:rPr>
              <w:t>Context of and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t>Valid assessment of this unit requires:</w:t>
            </w:r>
          </w:p>
          <w:p w:rsidR="00000000" w:rsidRPr="00CF0B1D" w:rsidP="00CF0B1D">
            <w:pPr>
              <w:pStyle w:val="ListBullet"/>
            </w:pPr>
            <w:r w:rsidRPr="00CF0B1D">
              <w:t xml:space="preserve">a workplace environment or one that closely resembles normal work practice and replicates the range of conditions likely to be encountered when working within the regulatory framework for rail safety, including coping with difficulties, irregularities and </w:t>
            </w:r>
            <w:r w:rsidRPr="00CF0B1D">
              <w:t>breakdowns in routine</w:t>
            </w:r>
          </w:p>
          <w:p w:rsidR="00000000" w:rsidRPr="00CF0B1D" w:rsidP="00CF0B1D">
            <w:pPr>
              <w:pStyle w:val="BodyText"/>
            </w:pPr>
            <w:r w:rsidRPr="00CF0B1D">
              <w:t>Resources essential for assessment include:</w:t>
            </w:r>
          </w:p>
          <w:p w:rsidR="00000000" w:rsidRPr="00CF0B1D" w:rsidP="00CF0B1D">
            <w:pPr>
              <w:pStyle w:val="ListBullet"/>
            </w:pPr>
            <w:r w:rsidRPr="00CF0B1D">
              <w:t xml:space="preserve">legislation, guidelines, codes of practice and standards relating to rail safety </w:t>
            </w:r>
          </w:p>
          <w:p w:rsidR="00000000" w:rsidRPr="00CF0B1D" w:rsidP="00CF0B1D">
            <w:pPr>
              <w:pStyle w:val="ListBullet"/>
            </w:pPr>
            <w:r w:rsidRPr="00CF0B1D">
              <w:t>current rail industry terminology and meanings</w:t>
            </w:r>
          </w:p>
          <w:p w:rsidR="00000000" w:rsidRPr="00CF0B1D" w:rsidP="00CF0B1D">
            <w:pPr>
              <w:pStyle w:val="ListBullet"/>
            </w:pPr>
            <w:r w:rsidRPr="00CF0B1D">
              <w:t>organisational procedures, guidelines and protocols for work</w:t>
            </w:r>
            <w:r w:rsidRPr="00CF0B1D">
              <w:t>ing within the regulatory framework for rail safety</w:t>
            </w:r>
          </w:p>
          <w:p w:rsidR="00000000" w:rsidRPr="00CF0B1D" w:rsidP="00CF0B1D">
            <w:pPr>
              <w:pStyle w:val="ListBullet"/>
            </w:pPr>
            <w:r w:rsidRPr="00CF0B1D">
              <w:t>scenarios and/or case studies to illustrate the range of situations likely to be encountered when working within the regulatory framework for rail safety</w:t>
            </w:r>
          </w:p>
          <w:p w:rsidR="00000000" w:rsidP="00CF0B1D">
            <w:pPr>
              <w:pStyle w:val="ListBullet"/>
              <w:rPr>
                <w:lang w:val="en-NZ"/>
              </w:rPr>
            </w:pPr>
            <w:r w:rsidRPr="00CF0B1D">
              <w:t>access to relevant systems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t>A</w:t>
            </w:r>
            <w:r w:rsidRPr="00CF0B1D">
              <w:t xml:space="preserve">ssessment methods suitable for valid and reliable assessment of this unit must use authenticated evidence from the workplace and/or training courses and may include a combination of two or more of: </w:t>
            </w:r>
          </w:p>
          <w:p w:rsidR="00000000" w:rsidRPr="00CF0B1D" w:rsidP="00CF0B1D">
            <w:pPr>
              <w:pStyle w:val="ListBullet"/>
            </w:pPr>
            <w:r w:rsidRPr="00CF0B1D">
              <w:t>research projects</w:t>
            </w:r>
          </w:p>
          <w:p w:rsidR="00000000" w:rsidRPr="00CF0B1D" w:rsidP="00CF0B1D">
            <w:pPr>
              <w:pStyle w:val="ListBullet"/>
            </w:pPr>
            <w:r w:rsidRPr="00CF0B1D">
              <w:t>simulation or role plays</w:t>
            </w:r>
          </w:p>
          <w:p w:rsidR="00000000" w:rsidRPr="00CF0B1D" w:rsidP="00CF0B1D">
            <w:pPr>
              <w:pStyle w:val="ListBullet"/>
            </w:pPr>
            <w:r w:rsidRPr="00CF0B1D">
              <w:t xml:space="preserve">case studies </w:t>
            </w:r>
            <w:r w:rsidRPr="00CF0B1D">
              <w:t>and scenarios</w:t>
            </w:r>
          </w:p>
          <w:p w:rsidR="00000000" w:rsidRPr="00CF0B1D" w:rsidP="00CF0B1D">
            <w:pPr>
              <w:pStyle w:val="ListBullet"/>
            </w:pPr>
            <w:r w:rsidRPr="00CF0B1D">
              <w:t>workplace projects</w:t>
            </w:r>
          </w:p>
          <w:p w:rsidR="00000000" w:rsidRPr="00CF0B1D" w:rsidP="00CF0B1D">
            <w:pPr>
              <w:pStyle w:val="ListBullet"/>
            </w:pPr>
            <w:r w:rsidRPr="00CF0B1D">
              <w:t>portfolios</w:t>
            </w:r>
          </w:p>
          <w:p w:rsidR="00000000" w:rsidRPr="00CF0B1D" w:rsidP="00CF0B1D">
            <w:pPr>
              <w:pStyle w:val="ListBullet"/>
            </w:pPr>
            <w:r w:rsidRPr="00CF0B1D">
              <w:t>authenticated evidence from the workplace and/or training courses.</w:t>
            </w:r>
          </w:p>
          <w:p w:rsidR="00000000" w:rsidRPr="00CF0B1D" w:rsidP="00CF0B1D">
            <w:pPr>
              <w:pStyle w:val="BodyText"/>
            </w:pPr>
            <w:r w:rsidRPr="00CF0B1D">
              <w:t xml:space="preserve">The assessment environment should not disadvantage the candidate and where the person has a disability the principle of reasonable adjustment </w:t>
            </w:r>
            <w:r w:rsidRPr="00CF0B1D">
              <w:t>should be applied during assessment.</w:t>
            </w:r>
          </w:p>
          <w:p w:rsidR="00000000" w:rsidRPr="00CF0B1D" w:rsidP="00CF0B1D">
            <w:pPr>
              <w:pStyle w:val="BodyText"/>
            </w:pPr>
            <w:r w:rsidRPr="00CF0B1D">
              <w:t>Assessment methods should reflect but not exceed workplace demands, such as literacy, and the needs of particular groups, such as:</w:t>
            </w:r>
          </w:p>
          <w:p w:rsidR="00000000" w:rsidRPr="00CF0B1D" w:rsidP="00CF0B1D">
            <w:pPr>
              <w:pStyle w:val="ListBullet"/>
            </w:pPr>
            <w:r w:rsidRPr="00CF0B1D">
              <w:t>people with disabilities</w:t>
            </w:r>
          </w:p>
          <w:p w:rsidR="00000000" w:rsidRPr="00CF0B1D" w:rsidP="00CF0B1D">
            <w:pPr>
              <w:pStyle w:val="ListBullet"/>
            </w:pPr>
            <w:r w:rsidRPr="00CF0B1D">
              <w:t>people from culturally and linguistically diverse backgrounds</w:t>
            </w:r>
          </w:p>
          <w:p w:rsidR="00000000" w:rsidRPr="00CF0B1D" w:rsidP="00CF0B1D">
            <w:pPr>
              <w:pStyle w:val="ListBullet"/>
            </w:pPr>
            <w:r w:rsidRPr="00CF0B1D">
              <w:t>Aboriginal and Torres Strait Islander people</w:t>
            </w:r>
          </w:p>
          <w:p w:rsidR="00000000" w:rsidRPr="00CF0B1D" w:rsidP="00CF0B1D">
            <w:pPr>
              <w:pStyle w:val="ListBullet"/>
            </w:pPr>
            <w:r w:rsidRPr="00CF0B1D">
              <w:t>women</w:t>
            </w:r>
          </w:p>
          <w:p w:rsidR="00000000" w:rsidRPr="00CF0B1D" w:rsidP="00CF0B1D">
            <w:pPr>
              <w:pStyle w:val="ListBullet"/>
            </w:pPr>
            <w:r w:rsidRPr="00CF0B1D">
              <w:t>young people</w:t>
            </w:r>
          </w:p>
          <w:p w:rsidR="00000000" w:rsidRPr="00CF0B1D" w:rsidP="00CF0B1D">
            <w:pPr>
              <w:pStyle w:val="ListBullet"/>
            </w:pPr>
            <w:r w:rsidRPr="00CF0B1D">
              <w:t>older people</w:t>
            </w:r>
          </w:p>
          <w:p w:rsidR="00000000" w:rsidRPr="00CF0B1D" w:rsidP="00CF0B1D">
            <w:pPr>
              <w:pStyle w:val="ListBullet"/>
            </w:pPr>
            <w:r w:rsidRPr="00CF0B1D">
              <w:t>people in rural and remote locations</w:t>
            </w:r>
          </w:p>
          <w:p w:rsidR="00000000" w:rsidRPr="00CF0B1D" w:rsidP="00CF0B1D">
            <w:pPr>
              <w:pStyle w:val="BodyText"/>
            </w:pPr>
            <w:r w:rsidRPr="00CF0B1D">
              <w:t xml:space="preserve">Suggested units that may be co-assessed with this unit to increase the efficiency and realism of the assessment process include: </w:t>
            </w:r>
          </w:p>
          <w:p w:rsidR="00000000" w:rsidRPr="00CF0B1D" w:rsidP="00CF0B1D">
            <w:pPr>
              <w:pStyle w:val="ListBullet"/>
            </w:pPr>
            <w:r w:rsidRPr="00CF0B1D">
              <w:t>PSPETHC501B</w:t>
            </w:r>
            <w:r w:rsidRPr="00CF0B1D">
              <w:t xml:space="preserve"> Promote the values and ethos of public service</w:t>
            </w:r>
          </w:p>
          <w:p w:rsidR="00000000" w:rsidRPr="00CF0B1D" w:rsidP="00CF0B1D">
            <w:pPr>
              <w:pStyle w:val="ListBullet"/>
            </w:pPr>
            <w:r w:rsidRPr="00CF0B1D">
              <w:t>PSPGOV504B Undertake research and analysis</w:t>
            </w:r>
          </w:p>
          <w:p w:rsidR="00000000" w:rsidRPr="00CF0B1D" w:rsidP="00CF0B1D">
            <w:pPr>
              <w:pStyle w:val="ListBullet"/>
            </w:pPr>
            <w:r w:rsidRPr="00CF0B1D">
              <w:t>PSPGOV512A Use complex workplace communication strategies</w:t>
            </w:r>
          </w:p>
          <w:p w:rsidR="00000000" w:rsidRPr="00CF0B1D" w:rsidP="00CF0B1D">
            <w:pPr>
              <w:pStyle w:val="ListBullet"/>
            </w:pPr>
            <w:r w:rsidRPr="00CF0B1D">
              <w:t>PSPLEGN501B Promote compliance with legislation in the public sector</w:t>
            </w:r>
          </w:p>
          <w:p w:rsidR="00000000" w:rsidRPr="00CF0B1D" w:rsidP="00CF0B1D">
            <w:pPr>
              <w:pStyle w:val="ListBullet"/>
            </w:pPr>
            <w:r w:rsidRPr="00CF0B1D">
              <w:t>PSPRAIL502A Assess and administer accr</w:t>
            </w:r>
            <w:r w:rsidRPr="00CF0B1D">
              <w:t>editation and registration applications</w:t>
            </w:r>
          </w:p>
          <w:p w:rsidR="00000000" w:rsidRPr="00CF0B1D" w:rsidP="00CF0B1D">
            <w:pPr>
              <w:pStyle w:val="ListBullet"/>
            </w:pPr>
            <w:r w:rsidRPr="00CF0B1D">
              <w:t>PSPRAIL504A Review and promote safety culture</w:t>
            </w:r>
          </w:p>
          <w:p w:rsidR="00000000" w:rsidP="00CF0B1D">
            <w:pPr>
              <w:pStyle w:val="ListBullet"/>
              <w:rPr>
                <w:lang w:val="en-NZ"/>
              </w:rPr>
            </w:pPr>
            <w:r w:rsidRPr="00CF0B1D">
              <w:t>BSBAUD503B Lead a quality audit</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BodyText"/>
            </w:pPr>
            <w:r w:rsidRPr="00CF0B1D">
              <w:t>For consistency of assessment:</w:t>
            </w:r>
          </w:p>
          <w:p w:rsidR="00000000" w:rsidRPr="00CF0B1D" w:rsidP="00CF0B1D">
            <w:pPr>
              <w:pStyle w:val="ListBullet"/>
            </w:pPr>
            <w:r w:rsidRPr="00CF0B1D">
              <w:t>evidence must be gathered over time in a range of contexts to ensure the person can achieve the unit outcome and apply the competency in different situations or environments</w:t>
            </w:r>
          </w:p>
          <w:p w:rsidR="00000000" w:rsidRPr="00CF0B1D" w:rsidP="00CF0B1D">
            <w:pPr>
              <w:pStyle w:val="BodyText"/>
            </w:pPr>
            <w:r w:rsidRPr="00CF0B1D">
              <w:t>Assessing employability skills:</w:t>
            </w:r>
          </w:p>
          <w:p w:rsidR="00000000" w:rsidRPr="00CF0B1D" w:rsidP="00CF0B1D">
            <w:pPr>
              <w:pStyle w:val="ListBullet"/>
            </w:pPr>
            <w:r w:rsidRPr="00CF0B1D">
              <w:t>employability skills are integral to effective pe</w:t>
            </w:r>
            <w:r w:rsidRPr="00CF0B1D">
              <w:t>rformance in the workplace and are broadly consistent across industry sectors</w:t>
            </w:r>
          </w:p>
          <w:p w:rsidR="00000000" w:rsidRPr="00CF0B1D" w:rsidP="00CF0B1D">
            <w:pPr>
              <w:pStyle w:val="ListBullet"/>
            </w:pPr>
            <w:r w:rsidRPr="00CF0B1D">
              <w:t>the way these skills are applied varies between occupations and qualifications due to the different work functions and contexts</w:t>
            </w:r>
          </w:p>
          <w:p w:rsidR="00000000" w:rsidRPr="00CF0B1D" w:rsidP="00CF0B1D">
            <w:pPr>
              <w:pStyle w:val="ListBullet"/>
            </w:pPr>
            <w:r w:rsidRPr="00CF0B1D">
              <w:t>employability skills embedded in this unit of comp</w:t>
            </w:r>
            <w:r w:rsidRPr="00CF0B1D">
              <w:t>etency should be assessed holistically with other relevant units that make up the skill set or qualification, and in the context of the job role</w:t>
            </w:r>
          </w:p>
          <w:p w:rsidR="00000000" w:rsidRPr="00CF0B1D" w:rsidP="00CF0B1D">
            <w:pPr>
              <w:pStyle w:val="BodyText"/>
            </w:pPr>
            <w:r w:rsidRPr="00CF0B1D">
              <w:t>In practice, operating effectively within the regulatory framework for rail safety overlaps with other generali</w:t>
            </w:r>
            <w:r w:rsidRPr="00CF0B1D">
              <w:t>st or specialist work activities, such as undertaking research and analysis, acting ethically, using complex communication strategies, leading quality audits, and assessing and administering accreditation and registration applications. Co-assessment with u</w:t>
            </w:r>
            <w:r w:rsidRPr="00CF0B1D">
              <w:t>nits of competency addressing these other activities could be considered.</w:t>
            </w:r>
          </w:p>
        </w:tc>
      </w:tr>
    </w:tbl>
    <w:p w:rsidR="00000000" w:rsidRPr="00CF0B1D" w:rsidP="00CF0B1D">
      <w:pPr>
        <w:pStyle w:val="BodyText"/>
      </w:pPr>
    </w:p>
    <w:p w:rsidR="00000000" w:rsidRPr="00CF0B1D" w:rsidP="00CF0B1D">
      <w:pPr>
        <w:pStyle w:val="AllowPageBreak"/>
      </w:pPr>
    </w:p>
    <w:p w:rsidR="00000000" w:rsidRPr="00CF0B1D" w:rsidP="00CF0B1D">
      <w:pPr>
        <w:pStyle w:val="Heading1"/>
      </w:pPr>
      <w:bookmarkStart w:id="11" w:name="O_411392"/>
      <w:bookmarkEnd w:id="11"/>
      <w:r w:rsidRPr="00CF0B1D">
        <w:t>Range Statement</w:t>
      </w:r>
    </w:p>
    <w:tbl>
      <w:tblPr>
        <w:tblW w:w="9322" w:type="dxa"/>
        <w:tblLayout w:type="fixed"/>
        <w:tblCellMar>
          <w:left w:w="62" w:type="dxa"/>
          <w:right w:w="62" w:type="dxa"/>
        </w:tblCellMar>
        <w:tblLook w:val="0000"/>
      </w:tblPr>
      <w:tblGrid>
        <w:gridCol w:w="2660"/>
        <w:gridCol w:w="6662"/>
      </w:tblGrid>
      <w:tr w:rsidTr="003A47A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t>The range statement provides information about the context in which the unit of competency is carried out. The variables cater for differences betw</w:t>
            </w:r>
            <w:r w:rsidRPr="00CF0B1D">
              <w:t>een States and Territories and the Commonwealth, and between organisations and workplaces. They allow for different work requirements, work practices and knowledge. The range statement also provides a focus for assessment. It relates to the unit as a whole</w:t>
            </w:r>
            <w:r w:rsidRPr="00CF0B1D">
              <w:t xml:space="preserve">. Text in </w:t>
            </w:r>
            <w:r w:rsidRPr="00CF0B1D">
              <w:rPr>
                <w:rStyle w:val="Emphasis"/>
              </w:rPr>
              <w:t>italics</w:t>
            </w:r>
            <w:r w:rsidRPr="00CF0B1D">
              <w:t xml:space="preserve"> in the Performance criteria is explained here.</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Rail terminology</w:t>
            </w:r>
            <w:r w:rsidRPr="00CF0B1D">
              <w:t xml:space="preserve"> may relate to infrastructure, such as:</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rail, including:</w:t>
            </w:r>
          </w:p>
          <w:p w:rsidR="00000000" w:rsidRPr="00CF0B1D" w:rsidP="00CF0B1D">
            <w:pPr>
              <w:pStyle w:val="ListBullet2"/>
            </w:pPr>
            <w:r w:rsidRPr="00CF0B1D">
              <w:t>mass</w:t>
            </w:r>
          </w:p>
          <w:p w:rsidR="00000000" w:rsidRPr="00CF0B1D" w:rsidP="00CF0B1D">
            <w:pPr>
              <w:pStyle w:val="ListBullet2"/>
            </w:pPr>
            <w:r w:rsidRPr="00CF0B1D">
              <w:t>rail head</w:t>
            </w:r>
          </w:p>
          <w:p w:rsidR="00000000" w:rsidRPr="00CF0B1D" w:rsidP="00CF0B1D">
            <w:pPr>
              <w:pStyle w:val="ListBullet2"/>
            </w:pPr>
            <w:r w:rsidRPr="00CF0B1D">
              <w:t>web</w:t>
            </w:r>
          </w:p>
          <w:p w:rsidR="00000000" w:rsidRPr="00CF0B1D" w:rsidP="00CF0B1D">
            <w:pPr>
              <w:pStyle w:val="ListBullet2"/>
            </w:pPr>
            <w:r w:rsidRPr="00CF0B1D">
              <w:t>rail foot</w:t>
            </w:r>
          </w:p>
          <w:p w:rsidR="00000000" w:rsidRPr="00CF0B1D" w:rsidP="00CF0B1D">
            <w:pPr>
              <w:pStyle w:val="ListBullet2"/>
            </w:pPr>
            <w:r w:rsidRPr="00CF0B1D">
              <w:t>jointed</w:t>
            </w:r>
          </w:p>
          <w:p w:rsidR="00000000" w:rsidRPr="00CF0B1D" w:rsidP="00CF0B1D">
            <w:pPr>
              <w:pStyle w:val="ListBullet2"/>
            </w:pPr>
            <w:r w:rsidRPr="00CF0B1D">
              <w:t>continuously welded: thermit or flashbutt</w:t>
            </w:r>
          </w:p>
          <w:p w:rsidR="00000000" w:rsidRPr="00CF0B1D" w:rsidP="00CF0B1D">
            <w:pPr>
              <w:pStyle w:val="ListBullet2"/>
            </w:pPr>
            <w:r w:rsidRPr="00CF0B1D">
              <w:t>fastening (dog spike, pandrol clip and fishplate)</w:t>
            </w:r>
          </w:p>
          <w:p w:rsidR="00000000" w:rsidRPr="00CF0B1D" w:rsidP="00CF0B1D">
            <w:pPr>
              <w:pStyle w:val="ListBullet2"/>
            </w:pPr>
            <w:r w:rsidRPr="00CF0B1D">
              <w:t>sleeper plate</w:t>
            </w:r>
          </w:p>
          <w:p w:rsidR="00000000" w:rsidRPr="00CF0B1D" w:rsidP="00CF0B1D">
            <w:pPr>
              <w:pStyle w:val="ListBullet2"/>
            </w:pPr>
            <w:r w:rsidRPr="00CF0B1D">
              <w:t>sleeper (timber, concrete or steel)</w:t>
            </w:r>
          </w:p>
          <w:p w:rsidR="00000000" w:rsidRPr="00CF0B1D" w:rsidP="00CF0B1D">
            <w:pPr>
              <w:pStyle w:val="ListBullet2"/>
            </w:pPr>
            <w:r w:rsidRPr="00CF0B1D">
              <w:t xml:space="preserve">ballast </w:t>
            </w:r>
          </w:p>
          <w:p w:rsidR="00000000" w:rsidRPr="00CF0B1D" w:rsidP="00CF0B1D">
            <w:pPr>
              <w:pStyle w:val="ListBullet2"/>
            </w:pPr>
            <w:r w:rsidRPr="00CF0B1D">
              <w:t>rack</w:t>
            </w:r>
          </w:p>
          <w:p w:rsidR="00000000" w:rsidRPr="00CF0B1D" w:rsidP="00CF0B1D">
            <w:pPr>
              <w:pStyle w:val="ListBullet2"/>
            </w:pPr>
            <w:r w:rsidRPr="00CF0B1D">
              <w:t>formation</w:t>
            </w:r>
          </w:p>
          <w:p w:rsidR="00000000" w:rsidRPr="00CF0B1D" w:rsidP="00CF0B1D">
            <w:pPr>
              <w:pStyle w:val="ListBullet2"/>
            </w:pPr>
            <w:r w:rsidRPr="00CF0B1D">
              <w:t>points and crossings (turnouts, crossovers and diamonds)</w:t>
            </w:r>
          </w:p>
          <w:p w:rsidR="00000000" w:rsidRPr="00CF0B1D" w:rsidP="00CF0B1D">
            <w:pPr>
              <w:pStyle w:val="ListBullet2"/>
            </w:pPr>
            <w:r w:rsidRPr="00CF0B1D">
              <w:t>curves (circular or transition) and cant</w:t>
            </w:r>
          </w:p>
          <w:p w:rsidR="00000000" w:rsidRPr="00CF0B1D" w:rsidP="00CF0B1D">
            <w:pPr>
              <w:pStyle w:val="ListBullet2"/>
            </w:pPr>
            <w:r w:rsidRPr="00CF0B1D">
              <w:t>grades</w:t>
            </w:r>
          </w:p>
          <w:p w:rsidR="00000000" w:rsidRPr="00CF0B1D" w:rsidP="00CF0B1D">
            <w:pPr>
              <w:pStyle w:val="ListBullet2"/>
            </w:pPr>
            <w:r w:rsidRPr="00CF0B1D">
              <w:t>track, including deteriorat</w:t>
            </w:r>
            <w:r w:rsidRPr="00CF0B1D">
              <w:t>ion and maintenance, re-sleepering, surfacing and tamping</w:t>
            </w:r>
          </w:p>
          <w:p w:rsidR="00000000" w:rsidRPr="00CF0B1D" w:rsidP="00CF0B1D">
            <w:pPr>
              <w:pStyle w:val="ListBullet2"/>
            </w:pPr>
            <w:r w:rsidRPr="00CF0B1D">
              <w:t>substation and feeder system</w:t>
            </w:r>
          </w:p>
          <w:p w:rsidR="00000000" w:rsidRPr="00CF0B1D" w:rsidP="00CF0B1D">
            <w:pPr>
              <w:pStyle w:val="ListBullet2"/>
            </w:pPr>
            <w:r w:rsidRPr="00CF0B1D">
              <w:t xml:space="preserve">electrical overhead (catenary, contact, dropper wire, span wire, centre pole, span pole and building rosette) </w:t>
            </w:r>
          </w:p>
          <w:p w:rsidR="00000000" w:rsidRPr="00CF0B1D" w:rsidP="00CF0B1D">
            <w:pPr>
              <w:pStyle w:val="ListBullet2"/>
            </w:pPr>
            <w:r w:rsidRPr="00CF0B1D">
              <w:t>train signalling (fixed or automatic)</w:t>
            </w:r>
          </w:p>
          <w:p w:rsidR="00000000" w:rsidRPr="00CF0B1D" w:rsidP="00CF0B1D">
            <w:pPr>
              <w:pStyle w:val="ListBullet2"/>
            </w:pPr>
            <w:r w:rsidRPr="00CF0B1D">
              <w:t>tram signalling</w:t>
            </w:r>
          </w:p>
          <w:p w:rsidR="00000000" w:rsidRPr="00CF0B1D" w:rsidP="00CF0B1D">
            <w:pPr>
              <w:pStyle w:val="ListBullet2"/>
            </w:pPr>
            <w:r w:rsidRPr="00CF0B1D">
              <w:t>tram</w:t>
            </w:r>
            <w:r w:rsidRPr="00CF0B1D">
              <w:t xml:space="preserve"> squares</w:t>
            </w:r>
          </w:p>
          <w:p w:rsidR="00000000" w:rsidRPr="00CF0B1D" w:rsidP="00CF0B1D">
            <w:pPr>
              <w:pStyle w:val="ListBullet2"/>
            </w:pPr>
            <w:r w:rsidRPr="00CF0B1D">
              <w:t>stations</w:t>
            </w:r>
          </w:p>
          <w:p w:rsidR="00000000" w:rsidRPr="00CF0B1D" w:rsidP="00CF0B1D">
            <w:pPr>
              <w:pStyle w:val="ListBullet2"/>
            </w:pPr>
            <w:r w:rsidRPr="00CF0B1D">
              <w:t>depots</w:t>
            </w:r>
          </w:p>
          <w:p w:rsidR="00000000" w:rsidRPr="00CF0B1D" w:rsidP="00CF0B1D">
            <w:pPr>
              <w:pStyle w:val="ListBullet2"/>
            </w:pPr>
            <w:r w:rsidRPr="00CF0B1D">
              <w:t>level crossings</w:t>
            </w:r>
          </w:p>
          <w:p w:rsidR="00000000" w:rsidRPr="00CF0B1D" w:rsidP="00CF0B1D">
            <w:pPr>
              <w:pStyle w:val="ListBullet2"/>
            </w:pPr>
            <w:r w:rsidRPr="00CF0B1D">
              <w:t>sidings</w:t>
            </w:r>
          </w:p>
          <w:p w:rsidR="00000000" w:rsidRPr="00CF0B1D" w:rsidP="00CF0B1D">
            <w:pPr>
              <w:pStyle w:val="ListBullet"/>
            </w:pPr>
            <w:r w:rsidRPr="00CF0B1D">
              <w:t>rolling stock:</w:t>
            </w:r>
          </w:p>
          <w:p w:rsidR="00000000" w:rsidRPr="00CF0B1D" w:rsidP="00CF0B1D">
            <w:pPr>
              <w:pStyle w:val="ListBullet2"/>
            </w:pPr>
            <w:r w:rsidRPr="00CF0B1D">
              <w:t>locomotives</w:t>
            </w:r>
          </w:p>
          <w:p w:rsidR="00000000" w:rsidRPr="00CF0B1D" w:rsidP="00CF0B1D">
            <w:pPr>
              <w:pStyle w:val="ListBullet"/>
            </w:pPr>
            <w:r w:rsidRPr="00CF0B1D">
              <w:t xml:space="preserve">trains: </w:t>
            </w:r>
          </w:p>
          <w:p w:rsidR="00000000" w:rsidRPr="00CF0B1D" w:rsidP="00CF0B1D">
            <w:pPr>
              <w:pStyle w:val="ListBullet2"/>
            </w:pPr>
            <w:r w:rsidRPr="00CF0B1D">
              <w:t>passenger</w:t>
            </w:r>
          </w:p>
          <w:p w:rsidR="00000000" w:rsidRPr="00CF0B1D" w:rsidP="00CF0B1D">
            <w:pPr>
              <w:pStyle w:val="ListBullet2"/>
            </w:pPr>
            <w:r w:rsidRPr="00CF0B1D">
              <w:t>freight: container, flat, open, van, hopper and tank</w:t>
            </w:r>
          </w:p>
          <w:p w:rsidR="00000000" w:rsidRPr="00CF0B1D" w:rsidP="00CF0B1D">
            <w:pPr>
              <w:pStyle w:val="ListBullet2"/>
            </w:pPr>
            <w:r w:rsidRPr="00CF0B1D">
              <w:t>special purpose, including:</w:t>
            </w:r>
          </w:p>
          <w:p w:rsidR="00000000" w:rsidRPr="00CF0B1D" w:rsidP="00CF0B1D">
            <w:pPr>
              <w:pStyle w:val="ListBullet3"/>
            </w:pPr>
            <w:r w:rsidRPr="00CF0B1D">
              <w:t>special vehicles</w:t>
            </w:r>
          </w:p>
          <w:p w:rsidR="00000000" w:rsidRPr="00CF0B1D" w:rsidP="00CF0B1D">
            <w:pPr>
              <w:pStyle w:val="ListBullet3"/>
            </w:pPr>
            <w:r w:rsidRPr="00CF0B1D">
              <w:t>multi-units</w:t>
            </w:r>
          </w:p>
          <w:p w:rsidR="00000000" w:rsidRPr="00CF0B1D" w:rsidP="00CF0B1D">
            <w:pPr>
              <w:pStyle w:val="ListBullet3"/>
            </w:pPr>
            <w:r w:rsidRPr="00CF0B1D">
              <w:t>trailers</w:t>
            </w:r>
          </w:p>
          <w:p w:rsidR="00000000" w:rsidRPr="00CF0B1D" w:rsidP="00CF0B1D">
            <w:pPr>
              <w:pStyle w:val="ListBullet3"/>
            </w:pPr>
            <w:r w:rsidRPr="00CF0B1D">
              <w:t>road/rail vehicles</w:t>
            </w:r>
          </w:p>
          <w:p w:rsidR="00000000" w:rsidRPr="00CF0B1D" w:rsidP="00CF0B1D">
            <w:pPr>
              <w:pStyle w:val="ListBullet3"/>
            </w:pPr>
            <w:r w:rsidRPr="00CF0B1D">
              <w:t>tram cars</w:t>
            </w:r>
          </w:p>
          <w:p w:rsidR="00000000" w:rsidRPr="00CF0B1D" w:rsidP="00CF0B1D">
            <w:pPr>
              <w:pStyle w:val="ListBullet3"/>
            </w:pPr>
            <w:r w:rsidRPr="00CF0B1D">
              <w:t>hi rail</w:t>
            </w:r>
          </w:p>
          <w:p w:rsidR="00000000" w:rsidRPr="00CF0B1D" w:rsidP="00CF0B1D">
            <w:pPr>
              <w:pStyle w:val="ListBullet3"/>
            </w:pPr>
            <w:r w:rsidRPr="00CF0B1D">
              <w:t>self-propelled vehicles</w:t>
            </w:r>
          </w:p>
          <w:p w:rsidR="00000000" w:rsidRPr="00CF0B1D" w:rsidP="00CF0B1D">
            <w:pPr>
              <w:pStyle w:val="ListBullet3"/>
            </w:pPr>
            <w:r w:rsidRPr="00CF0B1D">
              <w:t>diesel motive units (DMUs)</w:t>
            </w:r>
          </w:p>
          <w:p w:rsidR="00000000" w:rsidRPr="00CF0B1D" w:rsidP="00CF0B1D">
            <w:pPr>
              <w:pStyle w:val="ListBullet3"/>
            </w:pPr>
            <w:r w:rsidRPr="00CF0B1D">
              <w:t>historic/heritage rolling stock</w:t>
            </w:r>
          </w:p>
          <w:p w:rsidR="00000000" w:rsidRPr="00CF0B1D" w:rsidP="00CF0B1D">
            <w:pPr>
              <w:pStyle w:val="ListBullet"/>
            </w:pPr>
            <w:r w:rsidRPr="00CF0B1D">
              <w:t>rolling stock systems:</w:t>
            </w:r>
          </w:p>
          <w:p w:rsidR="00000000" w:rsidRPr="00CF0B1D" w:rsidP="00CF0B1D">
            <w:pPr>
              <w:pStyle w:val="ListBullet2"/>
            </w:pPr>
            <w:r w:rsidRPr="00CF0B1D">
              <w:t>traction</w:t>
            </w:r>
          </w:p>
          <w:p w:rsidR="00000000" w:rsidRPr="00CF0B1D" w:rsidP="00CF0B1D">
            <w:pPr>
              <w:pStyle w:val="ListBullet2"/>
            </w:pPr>
            <w:r w:rsidRPr="00CF0B1D">
              <w:t>braking</w:t>
            </w:r>
          </w:p>
          <w:p w:rsidR="00000000" w:rsidRPr="00CF0B1D" w:rsidP="00CF0B1D">
            <w:pPr>
              <w:pStyle w:val="ListBullet2"/>
            </w:pPr>
            <w:r w:rsidRPr="00CF0B1D">
              <w:t>running gear (wheelsets, bogies, couplers and draft gear)</w:t>
            </w:r>
          </w:p>
          <w:p w:rsidR="00000000" w:rsidRPr="00CF0B1D" w:rsidP="00CF0B1D">
            <w:pPr>
              <w:pStyle w:val="ListBullet2"/>
            </w:pPr>
            <w:r w:rsidRPr="00CF0B1D">
              <w:t>pantograph</w:t>
            </w:r>
          </w:p>
          <w:p w:rsidR="00000000" w:rsidRPr="00CF0B1D" w:rsidP="00CF0B1D">
            <w:pPr>
              <w:pStyle w:val="ListBullet2"/>
            </w:pPr>
            <w:r w:rsidRPr="00CF0B1D">
              <w:t>trolley pole</w:t>
            </w:r>
          </w:p>
          <w:p w:rsidR="00000000" w:rsidRPr="00CF0B1D" w:rsidP="00CF0B1D">
            <w:pPr>
              <w:pStyle w:val="ListBullet"/>
            </w:pPr>
            <w:r w:rsidRPr="00CF0B1D">
              <w:t>rail operations:</w:t>
            </w:r>
          </w:p>
          <w:p w:rsidR="00000000" w:rsidRPr="00CF0B1D" w:rsidP="00CF0B1D">
            <w:pPr>
              <w:pStyle w:val="ListBullet2"/>
            </w:pPr>
            <w:r w:rsidRPr="00CF0B1D">
              <w:t>safeworking systems: train control, space interval or block working, running lines, authorisation of movements, fixed and onboard signals, drive on sight operations, staff (token) working, train order working, electronic authority, manual and automatic sig</w:t>
            </w:r>
            <w:r w:rsidRPr="00CF0B1D">
              <w:t>nalling, indicators</w:t>
            </w:r>
          </w:p>
          <w:p w:rsidR="00000000" w:rsidP="00CF0B1D">
            <w:pPr>
              <w:pStyle w:val="ListBullet2"/>
              <w:rPr>
                <w:lang w:val="en-NZ"/>
              </w:rPr>
            </w:pPr>
            <w:r w:rsidRPr="00CF0B1D">
              <w:t>systems interfaces (outline, wheel/rail, train/signals)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Elements of railway systems</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railway infrastructure</w:t>
            </w:r>
          </w:p>
          <w:p w:rsidR="00000000" w:rsidRPr="00CF0B1D" w:rsidP="00CF0B1D">
            <w:pPr>
              <w:pStyle w:val="ListBullet"/>
            </w:pPr>
            <w:r w:rsidRPr="00CF0B1D">
              <w:t>railway technologies</w:t>
            </w:r>
          </w:p>
          <w:p w:rsidR="00000000" w:rsidRPr="00CF0B1D" w:rsidP="00CF0B1D">
            <w:pPr>
              <w:pStyle w:val="ListBullet"/>
            </w:pPr>
            <w:r w:rsidRPr="00CF0B1D">
              <w:t>railway operations and management</w:t>
            </w:r>
          </w:p>
          <w:p w:rsidR="00000000" w:rsidRPr="00CF0B1D" w:rsidP="00CF0B1D">
            <w:pPr>
              <w:pStyle w:val="ListBullet"/>
            </w:pPr>
            <w:r w:rsidRPr="00CF0B1D">
              <w:t>systems engineering</w:t>
            </w:r>
          </w:p>
          <w:p w:rsidR="00000000" w:rsidRPr="00CF0B1D" w:rsidP="00CF0B1D">
            <w:pPr>
              <w:pStyle w:val="ListBullet"/>
            </w:pPr>
            <w:r w:rsidRPr="00CF0B1D">
              <w:t>systems interfaces</w:t>
            </w:r>
          </w:p>
          <w:p w:rsidR="00000000" w:rsidRPr="00CF0B1D" w:rsidP="00CF0B1D">
            <w:pPr>
              <w:pStyle w:val="ListBullet"/>
            </w:pPr>
            <w:r w:rsidRPr="00CF0B1D">
              <w:t>access arrangements</w:t>
            </w:r>
          </w:p>
          <w:p w:rsidR="00000000" w:rsidRPr="00CF0B1D" w:rsidP="00CF0B1D">
            <w:pPr>
              <w:pStyle w:val="ListBullet"/>
            </w:pPr>
            <w:r w:rsidRPr="00CF0B1D">
              <w:t>safety considerations, such as:</w:t>
            </w:r>
          </w:p>
          <w:p w:rsidR="00000000" w:rsidRPr="00CF0B1D" w:rsidP="00CF0B1D">
            <w:pPr>
              <w:pStyle w:val="ListBullet2"/>
            </w:pPr>
            <w:r w:rsidRPr="00CF0B1D">
              <w:t>structural</w:t>
            </w:r>
          </w:p>
          <w:p w:rsidR="00000000" w:rsidRPr="00CF0B1D" w:rsidP="00CF0B1D">
            <w:pPr>
              <w:pStyle w:val="ListBullet2"/>
            </w:pPr>
            <w:r w:rsidRPr="00CF0B1D">
              <w:t>design</w:t>
            </w:r>
          </w:p>
          <w:p w:rsidR="00000000" w:rsidRPr="00CF0B1D" w:rsidP="00CF0B1D">
            <w:pPr>
              <w:pStyle w:val="ListBullet2"/>
            </w:pPr>
            <w:r w:rsidRPr="00CF0B1D">
              <w:t>performance</w:t>
            </w:r>
          </w:p>
          <w:p w:rsidR="00000000" w:rsidRPr="00CF0B1D" w:rsidP="00CF0B1D">
            <w:pPr>
              <w:pStyle w:val="ListBullet2"/>
            </w:pPr>
            <w:r w:rsidRPr="00CF0B1D">
              <w:t>maintenance</w:t>
            </w:r>
          </w:p>
          <w:p w:rsidR="00000000" w:rsidRPr="00CF0B1D" w:rsidP="00CF0B1D">
            <w:pPr>
              <w:pStyle w:val="ListBullet2"/>
            </w:pPr>
            <w:r w:rsidRPr="00CF0B1D">
              <w:t>interfaces</w:t>
            </w:r>
          </w:p>
          <w:p w:rsidR="00000000" w:rsidRPr="00CF0B1D" w:rsidP="00CF0B1D">
            <w:pPr>
              <w:pStyle w:val="ListBullet2"/>
            </w:pPr>
            <w:r w:rsidRPr="00CF0B1D">
              <w:t>human factors</w:t>
            </w:r>
          </w:p>
          <w:p w:rsidR="00000000" w:rsidRPr="00CF0B1D" w:rsidP="00CF0B1D">
            <w:pPr>
              <w:pStyle w:val="ListBullet2"/>
            </w:pPr>
            <w:r w:rsidRPr="00CF0B1D">
              <w:t>crashworthiness</w:t>
            </w:r>
          </w:p>
          <w:p w:rsidR="00000000" w:rsidRPr="00CF0B1D" w:rsidP="00CF0B1D">
            <w:pPr>
              <w:pStyle w:val="ListBullet"/>
            </w:pPr>
            <w:r w:rsidRPr="00CF0B1D">
              <w:t>emergency requirements</w:t>
            </w:r>
          </w:p>
          <w:p w:rsidR="00000000" w:rsidP="00CF0B1D">
            <w:pPr>
              <w:pStyle w:val="ListBullet"/>
              <w:rPr>
                <w:lang w:val="en-NZ"/>
              </w:rPr>
            </w:pPr>
            <w:r w:rsidRPr="00CF0B1D">
              <w:t>safety management systems for rail transport operators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Railway technologies</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rolling stock, including:</w:t>
            </w:r>
          </w:p>
          <w:p w:rsidR="00000000" w:rsidRPr="00CF0B1D" w:rsidP="00CF0B1D">
            <w:pPr>
              <w:pStyle w:val="ListBullet2"/>
            </w:pPr>
            <w:r w:rsidRPr="00CF0B1D">
              <w:t>locomotives</w:t>
            </w:r>
          </w:p>
          <w:p w:rsidR="00000000" w:rsidRPr="00CF0B1D" w:rsidP="00CF0B1D">
            <w:pPr>
              <w:pStyle w:val="ListBullet2"/>
            </w:pPr>
            <w:r w:rsidRPr="00CF0B1D">
              <w:t>rail cars</w:t>
            </w:r>
          </w:p>
          <w:p w:rsidR="00000000" w:rsidRPr="00CF0B1D" w:rsidP="00CF0B1D">
            <w:pPr>
              <w:pStyle w:val="ListBullet2"/>
            </w:pPr>
            <w:r w:rsidRPr="00CF0B1D">
              <w:t>trams</w:t>
            </w:r>
          </w:p>
          <w:p w:rsidR="00000000" w:rsidRPr="00CF0B1D" w:rsidP="00CF0B1D">
            <w:pPr>
              <w:pStyle w:val="ListBullet2"/>
            </w:pPr>
            <w:r w:rsidRPr="00CF0B1D">
              <w:t>monorails</w:t>
            </w:r>
          </w:p>
          <w:p w:rsidR="00000000" w:rsidRPr="00CF0B1D" w:rsidP="00CF0B1D">
            <w:pPr>
              <w:pStyle w:val="ListBullet2"/>
            </w:pPr>
            <w:r w:rsidRPr="00CF0B1D">
              <w:t>road/rail vehicles</w:t>
            </w:r>
          </w:p>
          <w:p w:rsidR="00000000" w:rsidRPr="00CF0B1D" w:rsidP="00CF0B1D">
            <w:pPr>
              <w:pStyle w:val="ListBullet2"/>
            </w:pPr>
            <w:r w:rsidRPr="00CF0B1D">
              <w:t>passenger rolling stock</w:t>
            </w:r>
          </w:p>
          <w:p w:rsidR="00000000" w:rsidRPr="00CF0B1D" w:rsidP="00CF0B1D">
            <w:pPr>
              <w:pStyle w:val="ListBullet2"/>
            </w:pPr>
            <w:r w:rsidRPr="00CF0B1D">
              <w:t>freight rolling stock</w:t>
            </w:r>
          </w:p>
          <w:p w:rsidR="00000000" w:rsidRPr="00CF0B1D" w:rsidP="00CF0B1D">
            <w:pPr>
              <w:pStyle w:val="ListBullet2"/>
            </w:pPr>
            <w:r w:rsidRPr="00CF0B1D">
              <w:t>special vehicles, multi-units and trailers</w:t>
            </w:r>
          </w:p>
          <w:p w:rsidR="00000000" w:rsidRPr="00CF0B1D" w:rsidP="00CF0B1D">
            <w:pPr>
              <w:pStyle w:val="ListBullet2"/>
            </w:pPr>
            <w:r w:rsidRPr="00CF0B1D">
              <w:t xml:space="preserve">electric motive units (EMUs) and DMUs </w:t>
            </w:r>
          </w:p>
          <w:p w:rsidR="00000000" w:rsidRPr="00CF0B1D" w:rsidP="00CF0B1D">
            <w:pPr>
              <w:pStyle w:val="ListBullet2"/>
            </w:pPr>
            <w:r w:rsidRPr="00CF0B1D">
              <w:t>historic/heritage rolling stock</w:t>
            </w:r>
          </w:p>
          <w:p w:rsidR="00000000" w:rsidRPr="00CF0B1D" w:rsidP="00CF0B1D">
            <w:pPr>
              <w:pStyle w:val="ListBullet"/>
            </w:pPr>
            <w:r w:rsidRPr="00CF0B1D">
              <w:t>rolling stock systems</w:t>
            </w:r>
          </w:p>
          <w:p w:rsidR="00000000" w:rsidRPr="00CF0B1D" w:rsidP="00CF0B1D">
            <w:pPr>
              <w:pStyle w:val="ListBullet"/>
            </w:pPr>
            <w:r w:rsidRPr="00CF0B1D">
              <w:t>rail vehicle crashworthiness</w:t>
            </w:r>
          </w:p>
          <w:p w:rsidR="00000000" w:rsidRPr="00CF0B1D" w:rsidP="00CF0B1D">
            <w:pPr>
              <w:pStyle w:val="ListBullet"/>
            </w:pPr>
            <w:r w:rsidRPr="00CF0B1D">
              <w:t>vehicle maintenance</w:t>
            </w:r>
          </w:p>
          <w:p w:rsidR="00000000" w:rsidRPr="00CF0B1D" w:rsidP="00CF0B1D">
            <w:pPr>
              <w:pStyle w:val="ListBullet"/>
            </w:pPr>
            <w:r w:rsidRPr="00CF0B1D">
              <w:t>wheel/rail interface theory and practice</w:t>
            </w:r>
          </w:p>
          <w:p w:rsidR="00000000" w:rsidRPr="00CF0B1D" w:rsidP="00CF0B1D">
            <w:pPr>
              <w:pStyle w:val="ListBullet"/>
            </w:pPr>
            <w:r w:rsidRPr="00CF0B1D">
              <w:t>railway traction and braking</w:t>
            </w:r>
          </w:p>
          <w:p w:rsidR="00000000" w:rsidRPr="00CF0B1D" w:rsidP="00CF0B1D">
            <w:pPr>
              <w:pStyle w:val="ListBullet"/>
            </w:pPr>
            <w:r w:rsidRPr="00CF0B1D">
              <w:t>traction power and distribution</w:t>
            </w:r>
          </w:p>
          <w:p w:rsidR="00000000" w:rsidRPr="00CF0B1D" w:rsidP="00CF0B1D">
            <w:pPr>
              <w:pStyle w:val="ListBullet"/>
            </w:pPr>
            <w:r w:rsidRPr="00CF0B1D">
              <w:t>track and road bed</w:t>
            </w:r>
          </w:p>
          <w:p w:rsidR="00000000" w:rsidP="00CF0B1D">
            <w:pPr>
              <w:pStyle w:val="ListBullet"/>
              <w:rPr>
                <w:lang w:val="en-NZ"/>
              </w:rPr>
            </w:pPr>
            <w:r w:rsidRPr="00CF0B1D">
              <w:t>signalling</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Railway infrastructure</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track infrastructure, including:</w:t>
            </w:r>
          </w:p>
          <w:p w:rsidR="00000000" w:rsidRPr="00CF0B1D" w:rsidP="00CF0B1D">
            <w:pPr>
              <w:pStyle w:val="ListBullet2"/>
            </w:pPr>
            <w:r w:rsidRPr="00CF0B1D">
              <w:t>track systems and geometry</w:t>
            </w:r>
          </w:p>
          <w:p w:rsidR="00000000" w:rsidRPr="00CF0B1D" w:rsidP="00CF0B1D">
            <w:pPr>
              <w:pStyle w:val="ListBullet2"/>
            </w:pPr>
            <w:r w:rsidRPr="00CF0B1D">
              <w:t>track beds and components</w:t>
            </w:r>
          </w:p>
          <w:p w:rsidR="00000000" w:rsidRPr="00CF0B1D" w:rsidP="00CF0B1D">
            <w:pPr>
              <w:pStyle w:val="ListBullet2"/>
            </w:pPr>
            <w:r w:rsidRPr="00CF0B1D">
              <w:t>points and crossings</w:t>
            </w:r>
          </w:p>
          <w:p w:rsidR="00000000" w:rsidRPr="00CF0B1D" w:rsidP="00CF0B1D">
            <w:pPr>
              <w:pStyle w:val="ListBullet2"/>
            </w:pPr>
            <w:r w:rsidRPr="00CF0B1D">
              <w:t>curves and grades</w:t>
            </w:r>
          </w:p>
          <w:p w:rsidR="00000000" w:rsidRPr="00CF0B1D" w:rsidP="00CF0B1D">
            <w:pPr>
              <w:pStyle w:val="ListBullet2"/>
            </w:pPr>
            <w:r w:rsidRPr="00CF0B1D">
              <w:t>structures for railways, such as cuttings, embankments, tunnels and bridges</w:t>
            </w:r>
          </w:p>
          <w:p w:rsidR="00000000" w:rsidRPr="00CF0B1D" w:rsidP="00CF0B1D">
            <w:pPr>
              <w:pStyle w:val="ListBullet2"/>
            </w:pPr>
            <w:r w:rsidRPr="00CF0B1D">
              <w:t>level crossings</w:t>
            </w:r>
          </w:p>
          <w:p w:rsidR="00000000" w:rsidRPr="00CF0B1D" w:rsidP="00CF0B1D">
            <w:pPr>
              <w:pStyle w:val="ListBullet2"/>
            </w:pPr>
            <w:r w:rsidRPr="00CF0B1D">
              <w:t>kinematic envelopes/rolling stock outlines</w:t>
            </w:r>
          </w:p>
          <w:p w:rsidR="00000000" w:rsidRPr="00CF0B1D" w:rsidP="00CF0B1D">
            <w:pPr>
              <w:pStyle w:val="ListBullet2"/>
            </w:pPr>
            <w:r w:rsidRPr="00CF0B1D">
              <w:t>gauging</w:t>
            </w:r>
          </w:p>
          <w:p w:rsidR="00000000" w:rsidRPr="00CF0B1D" w:rsidP="00CF0B1D">
            <w:pPr>
              <w:pStyle w:val="ListBullet2"/>
            </w:pPr>
            <w:r w:rsidRPr="00CF0B1D">
              <w:t>on-street tram tracks</w:t>
            </w:r>
          </w:p>
          <w:p w:rsidR="00000000" w:rsidRPr="00CF0B1D" w:rsidP="00CF0B1D">
            <w:pPr>
              <w:pStyle w:val="ListBullet"/>
            </w:pPr>
            <w:r w:rsidRPr="00CF0B1D">
              <w:t>electrical infrastructure, including:</w:t>
            </w:r>
          </w:p>
          <w:p w:rsidR="00000000" w:rsidRPr="00CF0B1D" w:rsidP="00CF0B1D">
            <w:pPr>
              <w:pStyle w:val="ListBullet2"/>
            </w:pPr>
            <w:r w:rsidRPr="00CF0B1D">
              <w:t>electrification systems, such as overhead live electrical and third rail</w:t>
            </w:r>
          </w:p>
          <w:p w:rsidR="00000000" w:rsidRPr="00CF0B1D" w:rsidP="00CF0B1D">
            <w:pPr>
              <w:pStyle w:val="ListBullet2"/>
            </w:pPr>
            <w:r w:rsidRPr="00CF0B1D">
              <w:t>electric traction supply systems, including electromagnetic interference from traction supplies, e.g. electrolysis</w:t>
            </w:r>
          </w:p>
          <w:p w:rsidR="00000000" w:rsidRPr="00CF0B1D" w:rsidP="00CF0B1D">
            <w:pPr>
              <w:pStyle w:val="ListBullet"/>
            </w:pPr>
            <w:r w:rsidRPr="00CF0B1D">
              <w:t>signalling infrastructure,</w:t>
            </w:r>
            <w:r w:rsidRPr="00CF0B1D">
              <w:t xml:space="preserve"> including:</w:t>
            </w:r>
          </w:p>
          <w:p w:rsidR="00000000" w:rsidRPr="00CF0B1D" w:rsidP="00CF0B1D">
            <w:pPr>
              <w:pStyle w:val="ListBullet2"/>
            </w:pPr>
            <w:r w:rsidRPr="00CF0B1D">
              <w:t>fixed</w:t>
            </w:r>
          </w:p>
          <w:p w:rsidR="00000000" w:rsidRPr="00CF0B1D" w:rsidP="00CF0B1D">
            <w:pPr>
              <w:pStyle w:val="ListBullet2"/>
            </w:pPr>
            <w:r w:rsidRPr="00CF0B1D">
              <w:t>manual and automatic signalling</w:t>
            </w:r>
          </w:p>
          <w:p w:rsidR="00000000" w:rsidRPr="00CF0B1D" w:rsidP="00CF0B1D">
            <w:pPr>
              <w:pStyle w:val="ListBullet2"/>
            </w:pPr>
            <w:r w:rsidRPr="00CF0B1D">
              <w:t>basic principles of signalling and train control</w:t>
            </w:r>
          </w:p>
          <w:p w:rsidR="00000000" w:rsidRPr="00CF0B1D" w:rsidP="00CF0B1D">
            <w:pPr>
              <w:pStyle w:val="ListBullet2"/>
            </w:pPr>
            <w:r w:rsidRPr="00CF0B1D">
              <w:t>tram signals</w:t>
            </w:r>
          </w:p>
          <w:p w:rsidR="00000000" w:rsidRPr="00CF0B1D" w:rsidP="00CF0B1D">
            <w:pPr>
              <w:pStyle w:val="ListBullet2"/>
            </w:pPr>
            <w:r w:rsidRPr="00CF0B1D">
              <w:t>communications for train control</w:t>
            </w:r>
          </w:p>
          <w:p w:rsidR="00000000" w:rsidRPr="00CF0B1D" w:rsidP="00CF0B1D">
            <w:pPr>
              <w:pStyle w:val="ListBullet2"/>
            </w:pPr>
            <w:r w:rsidRPr="00CF0B1D">
              <w:t>automatic train protection systems</w:t>
            </w:r>
          </w:p>
          <w:p w:rsidR="00000000" w:rsidRPr="00CF0B1D" w:rsidP="00CF0B1D">
            <w:pPr>
              <w:pStyle w:val="ListBullet2"/>
            </w:pPr>
            <w:r w:rsidRPr="00CF0B1D">
              <w:t>train monitoring</w:t>
            </w:r>
          </w:p>
          <w:p w:rsidR="00000000" w:rsidRPr="00CF0B1D" w:rsidP="00CF0B1D">
            <w:pPr>
              <w:pStyle w:val="ListBullet2"/>
            </w:pPr>
            <w:r w:rsidRPr="00CF0B1D">
              <w:t>trackside warning systems</w:t>
            </w:r>
          </w:p>
          <w:p w:rsidR="00000000" w:rsidP="00CF0B1D">
            <w:pPr>
              <w:pStyle w:val="ListBullet2"/>
              <w:rPr>
                <w:lang w:val="en-NZ"/>
              </w:rPr>
            </w:pPr>
            <w:r w:rsidRPr="00CF0B1D">
              <w:t>cab-based signalling or train protection systems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Systems interfaces</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projects</w:t>
            </w:r>
          </w:p>
          <w:p w:rsidR="00000000" w:rsidRPr="00CF0B1D" w:rsidP="00CF0B1D">
            <w:pPr>
              <w:pStyle w:val="ListBullet"/>
            </w:pPr>
            <w:r w:rsidRPr="00CF0B1D">
              <w:t>tramway squares</w:t>
            </w:r>
          </w:p>
          <w:p w:rsidR="00000000" w:rsidRPr="00CF0B1D" w:rsidP="00CF0B1D">
            <w:pPr>
              <w:pStyle w:val="ListBullet"/>
            </w:pPr>
            <w:r w:rsidRPr="00CF0B1D">
              <w:t>electrical systems substations</w:t>
            </w:r>
          </w:p>
          <w:p w:rsidR="00000000" w:rsidRPr="00CF0B1D" w:rsidP="00CF0B1D">
            <w:pPr>
              <w:pStyle w:val="ListBullet"/>
            </w:pPr>
            <w:r w:rsidRPr="00CF0B1D">
              <w:t>systems engineering and systems integration</w:t>
            </w:r>
          </w:p>
          <w:p w:rsidR="00000000" w:rsidRPr="00CF0B1D" w:rsidP="00CF0B1D">
            <w:pPr>
              <w:pStyle w:val="ListBullet"/>
            </w:pPr>
            <w:r w:rsidRPr="00CF0B1D">
              <w:t>new works approvals, including identification of issues relating to management of change and material change</w:t>
            </w:r>
          </w:p>
          <w:p w:rsidR="00000000" w:rsidRPr="00CF0B1D" w:rsidP="00CF0B1D">
            <w:pPr>
              <w:pStyle w:val="ListBullet"/>
            </w:pPr>
            <w:r w:rsidRPr="00CF0B1D">
              <w:t>management of major railway projects</w:t>
            </w:r>
          </w:p>
          <w:p w:rsidR="00000000" w:rsidRPr="00CF0B1D" w:rsidP="00CF0B1D">
            <w:pPr>
              <w:pStyle w:val="ListBullet"/>
            </w:pPr>
            <w:r w:rsidRPr="00CF0B1D">
              <w:t>infrastructure maintenance systems and possessions planning</w:t>
            </w:r>
          </w:p>
          <w:p w:rsidR="00000000" w:rsidP="00CF0B1D">
            <w:pPr>
              <w:pStyle w:val="ListBullet"/>
              <w:rPr>
                <w:lang w:val="en-NZ"/>
              </w:rPr>
            </w:pPr>
            <w:r w:rsidRPr="00CF0B1D">
              <w:t>safeworking and operations, including rules and op</w:t>
            </w:r>
            <w:r w:rsidRPr="00CF0B1D">
              <w:t>erating procedures for safeworking on trains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 xml:space="preserve">Information </w:t>
            </w:r>
            <w:r w:rsidRPr="00CF0B1D">
              <w:t>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uniform administration guidelines</w:t>
            </w:r>
          </w:p>
          <w:p w:rsidR="00000000" w:rsidRPr="00CF0B1D" w:rsidP="00CF0B1D">
            <w:pPr>
              <w:pStyle w:val="ListBullet"/>
            </w:pPr>
            <w:r w:rsidRPr="00CF0B1D">
              <w:t>business rules for audits</w:t>
            </w:r>
          </w:p>
          <w:p w:rsidR="00000000" w:rsidRPr="00CF0B1D" w:rsidP="00CF0B1D">
            <w:pPr>
              <w:pStyle w:val="ListBullet"/>
            </w:pPr>
            <w:r w:rsidRPr="00CF0B1D">
              <w:t>safety notices</w:t>
            </w:r>
          </w:p>
          <w:p w:rsidR="00000000" w:rsidP="00CF0B1D">
            <w:pPr>
              <w:pStyle w:val="ListBullet"/>
              <w:rPr>
                <w:lang w:val="en-NZ"/>
              </w:rPr>
            </w:pPr>
            <w:r w:rsidRPr="00CF0B1D">
              <w:t>national audit program information</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Other rail safety regulatory staff</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colleagues and supervisors</w:t>
            </w:r>
          </w:p>
          <w:p w:rsidR="00000000" w:rsidP="00CF0B1D">
            <w:pPr>
              <w:pStyle w:val="ListBullet"/>
              <w:rPr>
                <w:lang w:val="en-NZ"/>
              </w:rPr>
            </w:pPr>
            <w:r w:rsidRPr="00CF0B1D">
              <w:t>inter-jurisdictional regulatory staff</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Rail safety operating principles</w:t>
            </w:r>
            <w:r w:rsidRPr="00CF0B1D">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identification and management of risk</w:t>
            </w:r>
          </w:p>
          <w:p w:rsidR="00000000" w:rsidRPr="00CF0B1D" w:rsidP="00CF0B1D">
            <w:pPr>
              <w:pStyle w:val="ListBullet"/>
            </w:pPr>
            <w:r w:rsidRPr="00CF0B1D">
              <w:t>protection of persons from injury</w:t>
            </w:r>
          </w:p>
          <w:p w:rsidR="00000000" w:rsidRPr="00CF0B1D" w:rsidP="00CF0B1D">
            <w:pPr>
              <w:pStyle w:val="ListBullet"/>
            </w:pPr>
            <w:r w:rsidRPr="00CF0B1D">
              <w:t>protection of property from damage</w:t>
            </w:r>
          </w:p>
          <w:p w:rsidR="00000000" w:rsidRPr="00CF0B1D" w:rsidP="00CF0B1D">
            <w:pPr>
              <w:pStyle w:val="ListBullet"/>
            </w:pPr>
            <w:r w:rsidRPr="00CF0B1D">
              <w:t xml:space="preserve">ensuring that emergencies and incidents </w:t>
            </w:r>
            <w:r w:rsidRPr="00CF0B1D">
              <w:t>are properly managed</w:t>
            </w:r>
          </w:p>
          <w:p w:rsidR="00000000" w:rsidRPr="00CF0B1D" w:rsidP="00CF0B1D">
            <w:pPr>
              <w:pStyle w:val="ListBullet"/>
            </w:pPr>
            <w:r w:rsidRPr="00CF0B1D">
              <w:t>ensuring that interfaces between different organisations are properly defined and managed</w:t>
            </w:r>
          </w:p>
          <w:p w:rsidR="00000000" w:rsidRPr="00CF0B1D" w:rsidP="00CF0B1D">
            <w:pPr>
              <w:pStyle w:val="ListBullet"/>
            </w:pPr>
            <w:r w:rsidRPr="00CF0B1D">
              <w:t>track access</w:t>
            </w:r>
          </w:p>
          <w:p w:rsidR="00000000" w:rsidP="00CF0B1D">
            <w:pPr>
              <w:pStyle w:val="ListBullet"/>
              <w:rPr>
                <w:lang w:val="en-NZ"/>
              </w:rPr>
            </w:pPr>
            <w:r w:rsidRPr="00CF0B1D">
              <w:t>train separation</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Applicable current national and international standards</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Rail Industry Safety and Standards Board (RI</w:t>
            </w:r>
            <w:r w:rsidRPr="00CF0B1D">
              <w:t>SSB) (formerly Code Management Company [CMC]) codes and standards, e.g. Code of Practice for Health Assessment of Rail Safety Workers Volumes 1 and 2</w:t>
            </w:r>
          </w:p>
          <w:p w:rsidR="00000000" w:rsidRPr="00CF0B1D" w:rsidP="00CF0B1D">
            <w:pPr>
              <w:pStyle w:val="ListBullet"/>
            </w:pPr>
            <w:r w:rsidRPr="00CF0B1D">
              <w:t>AS4292 series: Railway Safety Management</w:t>
            </w:r>
          </w:p>
          <w:p w:rsidR="00000000" w:rsidRPr="00CF0B1D" w:rsidP="00CF0B1D">
            <w:pPr>
              <w:pStyle w:val="ListBullet"/>
            </w:pPr>
            <w:r w:rsidRPr="00CF0B1D">
              <w:t>AS/NZS4360 Risk Management and HB436:2004 Risk Management Guidelines</w:t>
            </w:r>
          </w:p>
          <w:p w:rsidR="00000000" w:rsidRPr="00CF0B1D" w:rsidP="00CF0B1D">
            <w:pPr>
              <w:pStyle w:val="ListBullet"/>
            </w:pPr>
            <w:r w:rsidRPr="00CF0B1D">
              <w:t>AS/NZS/ISO 9000 series: Quality Management Systems</w:t>
            </w:r>
          </w:p>
          <w:p w:rsidR="00000000" w:rsidRPr="00CF0B1D" w:rsidP="00CF0B1D">
            <w:pPr>
              <w:pStyle w:val="ListBullet"/>
            </w:pPr>
            <w:r w:rsidRPr="00CF0B1D">
              <w:t>AS/NZS15288 Systems engineering - System life cycle processes</w:t>
            </w:r>
          </w:p>
          <w:p w:rsidR="00000000" w:rsidRPr="00CF0B1D" w:rsidP="00CF0B1D">
            <w:pPr>
              <w:pStyle w:val="ListBullet"/>
            </w:pPr>
            <w:r w:rsidRPr="00CF0B1D">
              <w:t>AS/NZS61508 Functional safety of electrical/electronic/programmable electr</w:t>
            </w:r>
            <w:r w:rsidRPr="00CF0B1D">
              <w:t>onic safety-related systems</w:t>
            </w:r>
          </w:p>
          <w:p w:rsidR="00000000" w:rsidRPr="00CF0B1D" w:rsidP="00CF0B1D">
            <w:pPr>
              <w:pStyle w:val="ListBullet"/>
            </w:pPr>
            <w:r w:rsidRPr="00CF0B1D">
              <w:t>AS/NZS/ISO 19011 Guidelines for Quality and/or Environmental Management System Auditing</w:t>
            </w:r>
          </w:p>
          <w:p w:rsidR="00000000" w:rsidRPr="00CF0B1D" w:rsidP="00CF0B1D">
            <w:pPr>
              <w:pStyle w:val="ListBullet"/>
            </w:pPr>
            <w:r w:rsidRPr="00CF0B1D">
              <w:t>AS/NZS3931 Risk Analysis of Technological Systems - Application Guide</w:t>
            </w:r>
          </w:p>
          <w:p w:rsidR="00000000" w:rsidRPr="00CF0B1D" w:rsidP="00CF0B1D">
            <w:pPr>
              <w:pStyle w:val="ListBullet"/>
            </w:pPr>
            <w:r w:rsidRPr="00CF0B1D">
              <w:t>AS1742.7 Manual of Uniform Traffic Control Devices Part 7: Railway Cro</w:t>
            </w:r>
            <w:r w:rsidRPr="00CF0B1D">
              <w:t>ssings</w:t>
            </w:r>
          </w:p>
          <w:p w:rsidR="00000000" w:rsidRPr="00CF0B1D" w:rsidP="00CF0B1D">
            <w:pPr>
              <w:pStyle w:val="ListBullet"/>
            </w:pPr>
            <w:r w:rsidRPr="00CF0B1D">
              <w:t>AS3806 Compliance Programs</w:t>
            </w:r>
          </w:p>
          <w:p w:rsidR="00000000" w:rsidRPr="00CF0B1D" w:rsidP="00CF0B1D">
            <w:pPr>
              <w:pStyle w:val="ListBullet"/>
            </w:pPr>
            <w:r w:rsidRPr="00CF0B1D">
              <w:t>relevant international standards, such as:</w:t>
            </w:r>
          </w:p>
          <w:p w:rsidR="00000000" w:rsidRPr="00CF0B1D" w:rsidP="00CF0B1D">
            <w:pPr>
              <w:pStyle w:val="ListBullet2"/>
            </w:pPr>
            <w:r w:rsidRPr="00CF0B1D">
              <w:t>European Technical Specifications for Interoperability (TSIs)</w:t>
            </w:r>
          </w:p>
          <w:p w:rsidR="00000000" w:rsidRPr="00CF0B1D" w:rsidP="00CF0B1D">
            <w:pPr>
              <w:pStyle w:val="ListBullet2"/>
            </w:pPr>
            <w:r w:rsidRPr="00CF0B1D">
              <w:t>European Norms (ENs)</w:t>
            </w:r>
          </w:p>
          <w:p w:rsidR="00000000" w:rsidP="00CF0B1D">
            <w:pPr>
              <w:pStyle w:val="ListBullet2"/>
              <w:rPr>
                <w:lang w:val="en-NZ"/>
              </w:rPr>
            </w:pPr>
            <w:r w:rsidRPr="00CF0B1D">
              <w:t>British Railway Group Standards (RGSs)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 xml:space="preserve">Implications </w:t>
            </w:r>
            <w:r w:rsidRPr="00CF0B1D">
              <w:t>may include:</w:t>
            </w:r>
          </w:p>
        </w:tc>
        <w:tc>
          <w:tcPr>
            <w:tcW w:w="6662" w:type="dxa"/>
            <w:tcBorders>
              <w:top w:val="nil"/>
              <w:left w:val="nil"/>
              <w:bottom w:val="nil"/>
              <w:right w:val="nil"/>
            </w:tcBorders>
            <w:tcMar>
              <w:top w:w="0" w:type="dxa"/>
              <w:left w:w="62" w:type="dxa"/>
              <w:bottom w:w="0" w:type="dxa"/>
              <w:right w:w="62" w:type="dxa"/>
            </w:tcMar>
          </w:tcPr>
          <w:p w:rsidR="00000000" w:rsidP="00CF0B1D">
            <w:pPr>
              <w:pStyle w:val="ListBullet"/>
              <w:rPr>
                <w:lang w:val="en-NZ"/>
              </w:rPr>
            </w:pPr>
            <w:r w:rsidRPr="00CF0B1D">
              <w:t>a requirement that rail transport operators demonstrate that use of the appropriate standard or code will mitigate the risk</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Duty holders</w:t>
            </w:r>
            <w:r w:rsidRPr="00CF0B1D">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rail transport operators - rail infrastructure managers and/or rolling stock operators</w:t>
            </w:r>
          </w:p>
          <w:p w:rsidR="00000000" w:rsidRPr="00CF0B1D" w:rsidP="00CF0B1D">
            <w:pPr>
              <w:pStyle w:val="ListBullet"/>
            </w:pPr>
            <w:r w:rsidRPr="00CF0B1D">
              <w:t>contractors</w:t>
            </w:r>
          </w:p>
          <w:p w:rsidR="00000000" w:rsidRPr="00CF0B1D" w:rsidP="00CF0B1D">
            <w:pPr>
              <w:pStyle w:val="ListBullet"/>
            </w:pPr>
            <w:r w:rsidRPr="00CF0B1D">
              <w:t>designers</w:t>
            </w:r>
            <w:r w:rsidRPr="00CF0B1D">
              <w:t>, manufacturers, suppliers, commissioners, erectors and installers</w:t>
            </w:r>
          </w:p>
          <w:p w:rsidR="00000000" w:rsidRPr="00CF0B1D" w:rsidP="00CF0B1D">
            <w:pPr>
              <w:pStyle w:val="ListBullet"/>
            </w:pPr>
            <w:r w:rsidRPr="00CF0B1D">
              <w:t>de-commissioners</w:t>
            </w:r>
          </w:p>
          <w:p w:rsidR="00000000" w:rsidRPr="00CF0B1D" w:rsidP="00CF0B1D">
            <w:pPr>
              <w:pStyle w:val="ListBullet"/>
            </w:pPr>
            <w:r w:rsidRPr="00CF0B1D">
              <w:t>managers of private sidings</w:t>
            </w:r>
          </w:p>
          <w:p w:rsidR="00000000" w:rsidP="00CF0B1D">
            <w:pPr>
              <w:pStyle w:val="ListBullet"/>
              <w:rPr>
                <w:lang w:val="en-NZ"/>
              </w:rPr>
            </w:pPr>
            <w:r w:rsidRPr="00CF0B1D">
              <w:t>rail safety workers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Purpose of general duties</w:t>
            </w:r>
            <w:r w:rsidRPr="00CF0B1D">
              <w:t xml:space="preserve"> is:</w:t>
            </w:r>
          </w:p>
        </w:tc>
        <w:tc>
          <w:tcPr>
            <w:tcW w:w="6662" w:type="dxa"/>
            <w:tcBorders>
              <w:top w:val="nil"/>
              <w:left w:val="nil"/>
              <w:bottom w:val="nil"/>
              <w:right w:val="nil"/>
            </w:tcBorders>
            <w:tcMar>
              <w:top w:w="0" w:type="dxa"/>
              <w:left w:w="62" w:type="dxa"/>
              <w:bottom w:w="0" w:type="dxa"/>
              <w:right w:w="62" w:type="dxa"/>
            </w:tcMar>
          </w:tcPr>
          <w:p w:rsidR="00000000" w:rsidP="00CF0B1D">
            <w:pPr>
              <w:pStyle w:val="ListBullet"/>
              <w:rPr>
                <w:lang w:val="en-NZ"/>
              </w:rPr>
            </w:pPr>
            <w:r w:rsidRPr="00CF0B1D">
              <w:t>to provide a concise statement of a duty holder's overall safety responsibilities</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General d</w:t>
            </w:r>
            <w:r w:rsidRPr="00CF0B1D">
              <w:rPr>
                <w:rStyle w:val="BoldandItalics"/>
              </w:rPr>
              <w:t>uties</w:t>
            </w:r>
            <w:r w:rsidRPr="00CF0B1D">
              <w:t xml:space="preserve"> are: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 xml:space="preserve">broad legal requirements that define the extent and nature of the responsibilities of a duty holder  </w:t>
            </w:r>
          </w:p>
          <w:p w:rsidR="00000000" w:rsidRPr="00CF0B1D" w:rsidP="00CF0B1D">
            <w:pPr>
              <w:pStyle w:val="ListBullet"/>
            </w:pPr>
            <w:r w:rsidRPr="00CF0B1D">
              <w:t>described as general duties to distinguish them from other more specific and detailed legal requirements</w:t>
            </w:r>
          </w:p>
          <w:p w:rsidR="00000000" w:rsidP="00CF0B1D">
            <w:pPr>
              <w:pStyle w:val="ListBullet"/>
              <w:rPr>
                <w:lang w:val="en-NZ"/>
              </w:rPr>
            </w:pPr>
            <w:r w:rsidRPr="00CF0B1D">
              <w:t>sometimes referred to as 'general duties of care' or more simply as 'the duty of care'</w:t>
            </w:r>
          </w:p>
        </w:tc>
      </w:tr>
      <w:tr w:rsidTr="003A47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0B1D">
            <w:pPr>
              <w:pStyle w:val="BodyText"/>
              <w:rPr>
                <w:lang w:val="en-NZ"/>
              </w:rPr>
            </w:pPr>
            <w:r w:rsidRPr="00CF0B1D">
              <w:rPr>
                <w:rStyle w:val="BoldandItalics"/>
              </w:rPr>
              <w:t>Rail industry organisations</w:t>
            </w:r>
            <w:r w:rsidRPr="00CF0B1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F0B1D" w:rsidP="00CF0B1D">
            <w:pPr>
              <w:pStyle w:val="ListBullet"/>
            </w:pPr>
            <w:r w:rsidRPr="00CF0B1D">
              <w:t>rail transport operators</w:t>
            </w:r>
          </w:p>
          <w:p w:rsidR="00000000" w:rsidRPr="00CF0B1D" w:rsidP="00CF0B1D">
            <w:pPr>
              <w:pStyle w:val="ListBullet"/>
            </w:pPr>
            <w:r w:rsidRPr="00CF0B1D">
              <w:t>industry associations</w:t>
            </w:r>
          </w:p>
          <w:p w:rsidR="00000000" w:rsidRPr="00CF0B1D" w:rsidP="00CF0B1D">
            <w:pPr>
              <w:pStyle w:val="ListBullet"/>
            </w:pPr>
            <w:r w:rsidRPr="00CF0B1D">
              <w:t>unions</w:t>
            </w:r>
          </w:p>
          <w:p w:rsidR="00000000" w:rsidRPr="00CF0B1D" w:rsidP="00CF0B1D">
            <w:pPr>
              <w:pStyle w:val="ListBullet"/>
            </w:pPr>
            <w:r w:rsidRPr="00CF0B1D">
              <w:t>maintainers</w:t>
            </w:r>
          </w:p>
          <w:p w:rsidR="00000000" w:rsidRPr="00CF0B1D" w:rsidP="00CF0B1D">
            <w:pPr>
              <w:pStyle w:val="ListBullet"/>
            </w:pPr>
            <w:r w:rsidRPr="00CF0B1D">
              <w:t>suppliers</w:t>
            </w:r>
          </w:p>
          <w:p w:rsidR="00000000" w:rsidRPr="00CF0B1D" w:rsidP="00CF0B1D">
            <w:pPr>
              <w:pStyle w:val="ListBullet"/>
            </w:pPr>
            <w:r w:rsidRPr="00CF0B1D">
              <w:t>contractors</w:t>
            </w:r>
          </w:p>
        </w:tc>
      </w:tr>
    </w:tbl>
    <w:p w:rsidR="003A47AA" w:rsidP="00CF0B1D">
      <w:pPr>
        <w:pStyle w:val="BodyText"/>
      </w:pPr>
    </w:p>
    <w:p w:rsidR="003A47AA" w:rsidP="00CF0B1D">
      <w:pPr>
        <w:pStyle w:val="BodyText"/>
      </w:pPr>
    </w:p>
    <w:p w:rsidR="00000000" w:rsidRPr="00CF0B1D" w:rsidP="00CF0B1D">
      <w:pPr>
        <w:pStyle w:val="Heading1"/>
      </w:pPr>
      <w:bookmarkStart w:id="12" w:name="O_411389"/>
      <w:bookmarkEnd w:id="12"/>
      <w:r w:rsidRPr="00CF0B1D">
        <w:t>Unit Sector(s)</w:t>
      </w:r>
    </w:p>
    <w:p w:rsidR="00000000" w:rsidRPr="00CF0B1D" w:rsidP="00CF0B1D">
      <w:pPr>
        <w:pStyle w:val="BodyText"/>
      </w:pPr>
      <w:r w:rsidRPr="00CF0B1D">
        <w:t>Not applicable.</w:t>
      </w:r>
    </w:p>
    <w:p w:rsidR="00000000" w:rsidRPr="00CF0B1D" w:rsidP="00CF0B1D">
      <w:pPr>
        <w:pStyle w:val="AllowPageBreak"/>
      </w:pPr>
    </w:p>
    <w:p w:rsidR="00000000" w:rsidRPr="00CF0B1D" w:rsidP="00CF0B1D">
      <w:pPr>
        <w:pStyle w:val="Heading1"/>
      </w:pPr>
      <w:bookmarkStart w:id="13" w:name="O_411401"/>
      <w:bookmarkEnd w:id="13"/>
      <w:r w:rsidRPr="00CF0B1D">
        <w:t>Competency field</w:t>
      </w:r>
    </w:p>
    <w:p w:rsidR="00000000" w:rsidRPr="00CF0B1D" w:rsidP="00CF0B1D">
      <w:pPr>
        <w:pStyle w:val="BodyText"/>
      </w:pPr>
      <w:r w:rsidRPr="00CF0B1D">
        <w:t>Rail Safety Regulation.</w:t>
      </w:r>
    </w:p>
    <w:p w:rsidR="00000000" w:rsidRPr="00CF0B1D" w:rsidP="00CF0B1D"/>
    <w:sectPr w:rsidSect="00CF0B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7AA" w:rsidP="003A4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A" w:rsidP="00CF0B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47AA" w:rsidP="00CF0B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47AA" w:rsidP="00CF0B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7AA" w:rsidP="003A47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A" w:rsidP="00CF0B1D">
    <w:pPr>
      <w:pStyle w:val="Header"/>
      <w:framePr w:wrap="around"/>
    </w:pPr>
    <w:r>
      <w:fldChar w:fldCharType="begin"/>
    </w:r>
    <w:r>
      <w:instrText xml:space="preserve"> TITLE   \* MERGEFORMAT </w:instrText>
    </w:r>
    <w:r>
      <w:fldChar w:fldCharType="separate"/>
    </w:r>
    <w:r>
      <w:t>PSPRAIL501A Operate within the regulatory framework for rail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47AA" w:rsidP="00CF0B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67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25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B6A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B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B1D"/>
    <w:pPr>
      <w:spacing w:before="360" w:after="60"/>
      <w:outlineLvl w:val="0"/>
    </w:pPr>
    <w:rPr>
      <w:sz w:val="32"/>
    </w:rPr>
  </w:style>
  <w:style w:type="paragraph" w:styleId="Heading2">
    <w:name w:val="heading 2"/>
    <w:basedOn w:val="HeadingBase"/>
    <w:next w:val="BodyText"/>
    <w:link w:val="Heading2Char"/>
    <w:qFormat/>
    <w:rsid w:val="00CF0B1D"/>
    <w:pPr>
      <w:keepLines/>
      <w:spacing w:before="240" w:after="120"/>
      <w:outlineLvl w:val="1"/>
    </w:pPr>
    <w:rPr>
      <w:sz w:val="28"/>
      <w:szCs w:val="40"/>
    </w:rPr>
  </w:style>
  <w:style w:type="paragraph" w:styleId="Heading3">
    <w:name w:val="heading 3"/>
    <w:basedOn w:val="HeadingBase"/>
    <w:next w:val="BodyText"/>
    <w:link w:val="Heading3Char"/>
    <w:qFormat/>
    <w:rsid w:val="00CF0B1D"/>
    <w:pPr>
      <w:spacing w:before="180" w:after="120"/>
      <w:outlineLvl w:val="2"/>
    </w:pPr>
    <w:rPr>
      <w:spacing w:val="-10"/>
      <w:kern w:val="32"/>
    </w:rPr>
  </w:style>
  <w:style w:type="paragraph" w:styleId="Heading4">
    <w:name w:val="heading 4"/>
    <w:basedOn w:val="HeadingBase"/>
    <w:next w:val="BodyText"/>
    <w:link w:val="Heading4Char"/>
    <w:qFormat/>
    <w:rsid w:val="00CF0B1D"/>
    <w:pPr>
      <w:spacing w:before="160" w:after="120"/>
      <w:outlineLvl w:val="3"/>
    </w:pPr>
    <w:rPr>
      <w:sz w:val="22"/>
    </w:rPr>
  </w:style>
  <w:style w:type="paragraph" w:styleId="Heading5">
    <w:name w:val="heading 5"/>
    <w:basedOn w:val="HeadingBase"/>
    <w:next w:val="Normal"/>
    <w:link w:val="Heading5Char"/>
    <w:qFormat/>
    <w:rsid w:val="00CF0B1D"/>
    <w:pPr>
      <w:spacing w:before="80"/>
      <w:outlineLvl w:val="4"/>
    </w:pPr>
    <w:rPr>
      <w:color w:val="918585"/>
      <w:sz w:val="20"/>
    </w:rPr>
  </w:style>
  <w:style w:type="paragraph" w:styleId="Heading6">
    <w:name w:val="heading 6"/>
    <w:basedOn w:val="HeadingBase"/>
    <w:next w:val="Normal"/>
    <w:link w:val="Heading6Char"/>
    <w:qFormat/>
    <w:rsid w:val="00CF0B1D"/>
    <w:pPr>
      <w:spacing w:before="60"/>
      <w:outlineLvl w:val="5"/>
    </w:pPr>
    <w:rPr>
      <w:color w:val="918585"/>
      <w:sz w:val="20"/>
    </w:rPr>
  </w:style>
  <w:style w:type="paragraph" w:styleId="Heading7">
    <w:name w:val="heading 7"/>
    <w:basedOn w:val="Normal"/>
    <w:next w:val="Normal"/>
    <w:link w:val="Heading7Char"/>
    <w:qFormat/>
    <w:rsid w:val="00CF0B1D"/>
    <w:pPr>
      <w:ind w:left="720"/>
      <w:outlineLvl w:val="6"/>
    </w:pPr>
    <w:rPr>
      <w:i/>
    </w:rPr>
  </w:style>
  <w:style w:type="paragraph" w:styleId="Heading8">
    <w:name w:val="heading 8"/>
    <w:basedOn w:val="Normal"/>
    <w:next w:val="Normal"/>
    <w:link w:val="Heading8Char"/>
    <w:qFormat/>
    <w:rsid w:val="00CF0B1D"/>
    <w:pPr>
      <w:ind w:left="720"/>
      <w:outlineLvl w:val="7"/>
    </w:pPr>
    <w:rPr>
      <w:i/>
    </w:rPr>
  </w:style>
  <w:style w:type="paragraph" w:styleId="Heading9">
    <w:name w:val="heading 9"/>
    <w:basedOn w:val="Normal"/>
    <w:next w:val="Normal"/>
    <w:link w:val="Heading9Char"/>
    <w:qFormat/>
    <w:rsid w:val="00CF0B1D"/>
    <w:pPr>
      <w:ind w:left="720"/>
      <w:outlineLvl w:val="8"/>
    </w:pPr>
    <w:rPr>
      <w:i/>
    </w:rPr>
  </w:style>
  <w:style w:type="character" w:default="1" w:styleId="DefaultParagraphFont">
    <w:name w:val="Default Paragraph Font"/>
    <w:uiPriority w:val="1"/>
    <w:unhideWhenUsed/>
    <w:rsid w:val="00CF0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B1D"/>
  </w:style>
  <w:style w:type="character" w:customStyle="1" w:styleId="Heading1Char">
    <w:name w:val="Heading 1 Char"/>
    <w:basedOn w:val="DefaultParagraphFont"/>
    <w:link w:val="Heading1"/>
    <w:rsid w:val="00CF0B1D"/>
    <w:rPr>
      <w:rFonts w:ascii="Times New Roman" w:eastAsia="Times New Roman" w:hAnsi="Times New Roman" w:cs="Times New Roman"/>
      <w:b/>
      <w:sz w:val="32"/>
      <w:szCs w:val="20"/>
      <w:lang w:eastAsia="en-US"/>
    </w:rPr>
  </w:style>
  <w:style w:type="paragraph" w:styleId="BodyText">
    <w:name w:val="Body Text"/>
    <w:basedOn w:val="Normal"/>
    <w:link w:val="BodyTextChar"/>
    <w:rsid w:val="00CF0B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B1D"/>
    <w:rPr>
      <w:rFonts w:ascii="Times New Roman" w:eastAsia="Times New Roman" w:hAnsi="Times New Roman" w:cs="Times New Roman"/>
      <w:sz w:val="24"/>
      <w:lang w:val="en-US" w:eastAsia="en-US"/>
    </w:rPr>
  </w:style>
  <w:style w:type="paragraph" w:styleId="Footer">
    <w:name w:val="footer"/>
    <w:basedOn w:val="Normal"/>
    <w:link w:val="FooterChar"/>
    <w:rsid w:val="00CF0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B1D"/>
    <w:rPr>
      <w:rFonts w:ascii="Times New Roman" w:eastAsia="Times New Roman" w:hAnsi="Times New Roman" w:cs="Times New Roman"/>
      <w:sz w:val="16"/>
      <w:lang w:val="en-US" w:eastAsia="en-US"/>
    </w:rPr>
  </w:style>
  <w:style w:type="paragraph" w:styleId="List">
    <w:name w:val="List"/>
    <w:basedOn w:val="BodyText"/>
    <w:next w:val="BodyText"/>
    <w:rsid w:val="00CF0B1D"/>
    <w:pPr>
      <w:tabs>
        <w:tab w:val="left" w:pos="340"/>
      </w:tabs>
      <w:spacing w:before="60" w:after="60"/>
      <w:ind w:left="340" w:hanging="340"/>
    </w:pPr>
  </w:style>
  <w:style w:type="paragraph" w:styleId="ListBullet">
    <w:name w:val="List Bullet"/>
    <w:basedOn w:val="List"/>
    <w:rsid w:val="00CF0B1D"/>
    <w:pPr>
      <w:numPr>
        <w:numId w:val="14"/>
      </w:numPr>
      <w:tabs>
        <w:tab w:val="clear" w:pos="340"/>
      </w:tabs>
      <w:spacing w:before="40" w:after="40"/>
    </w:pPr>
  </w:style>
  <w:style w:type="character" w:customStyle="1" w:styleId="SpecialBold">
    <w:name w:val="Special Bold"/>
    <w:basedOn w:val="DefaultParagraphFont"/>
    <w:rsid w:val="00CF0B1D"/>
    <w:rPr>
      <w:b/>
      <w:spacing w:val="0"/>
    </w:rPr>
  </w:style>
  <w:style w:type="paragraph" w:styleId="ListBullet2">
    <w:name w:val="List Bullet 2"/>
    <w:basedOn w:val="List2"/>
    <w:rsid w:val="00CF0B1D"/>
    <w:pPr>
      <w:numPr>
        <w:numId w:val="15"/>
      </w:numPr>
      <w:tabs>
        <w:tab w:val="clear" w:pos="680"/>
      </w:tabs>
    </w:pPr>
  </w:style>
  <w:style w:type="paragraph" w:styleId="Header">
    <w:name w:val="header"/>
    <w:basedOn w:val="Normal"/>
    <w:link w:val="HeaderChar"/>
    <w:rsid w:val="00CF0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B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0B1D"/>
    <w:rPr>
      <w:i/>
    </w:rPr>
  </w:style>
  <w:style w:type="paragraph" w:customStyle="1" w:styleId="SuperHeading">
    <w:name w:val="SuperHeading"/>
    <w:basedOn w:val="Normal"/>
    <w:rsid w:val="00CF0B1D"/>
    <w:pPr>
      <w:spacing w:before="240" w:after="120"/>
      <w:outlineLvl w:val="0"/>
    </w:pPr>
    <w:rPr>
      <w:rFonts w:ascii="Times New Roman" w:hAnsi="Times New Roman"/>
      <w:b/>
      <w:sz w:val="28"/>
    </w:rPr>
  </w:style>
  <w:style w:type="paragraph" w:customStyle="1" w:styleId="AllowPageBreak">
    <w:name w:val="AllowPageBreak"/>
    <w:rsid w:val="00CF0B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0B1D"/>
    <w:pPr>
      <w:numPr>
        <w:numId w:val="3"/>
      </w:numPr>
      <w:tabs>
        <w:tab w:val="clear" w:pos="1021"/>
      </w:tabs>
      <w:ind w:left="1037" w:hanging="357"/>
    </w:pPr>
  </w:style>
  <w:style w:type="character" w:customStyle="1" w:styleId="BoldandItalics">
    <w:name w:val="Bold and Italics"/>
    <w:qFormat/>
    <w:rsid w:val="00CF0B1D"/>
    <w:rPr>
      <w:b/>
      <w:i/>
      <w:u w:val="none"/>
    </w:rPr>
  </w:style>
  <w:style w:type="character" w:customStyle="1" w:styleId="Heading2Char">
    <w:name w:val="Heading 2 Char"/>
    <w:basedOn w:val="DefaultParagraphFont"/>
    <w:link w:val="Heading2"/>
    <w:rsid w:val="00CF0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B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B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B1D"/>
    <w:rPr>
      <w:rFonts w:ascii="Courier New" w:eastAsia="Times New Roman" w:hAnsi="Courier New" w:cs="Times New Roman"/>
      <w:i/>
      <w:szCs w:val="20"/>
      <w:lang w:val="en-US" w:eastAsia="en-US"/>
    </w:rPr>
  </w:style>
  <w:style w:type="paragraph" w:customStyle="1" w:styleId="HeadingBase">
    <w:name w:val="Heading Base"/>
    <w:rsid w:val="00CF0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B1D"/>
    <w:pPr>
      <w:tabs>
        <w:tab w:val="right" w:leader="dot" w:pos="9072"/>
      </w:tabs>
      <w:ind w:left="567"/>
    </w:pPr>
    <w:rPr>
      <w:szCs w:val="22"/>
    </w:rPr>
  </w:style>
  <w:style w:type="paragraph" w:customStyle="1" w:styleId="TOCBase">
    <w:name w:val="TOC Base"/>
    <w:rsid w:val="00CF0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B1D"/>
    <w:pPr>
      <w:tabs>
        <w:tab w:val="right" w:leader="dot" w:pos="9072"/>
      </w:tabs>
      <w:spacing w:before="40" w:after="40"/>
      <w:ind w:left="284"/>
    </w:pPr>
    <w:rPr>
      <w:rFonts w:ascii="Times New Roman" w:hAnsi="Times New Roman"/>
    </w:rPr>
  </w:style>
  <w:style w:type="paragraph" w:styleId="TOC1">
    <w:name w:val="toc 1"/>
    <w:basedOn w:val="TOCBase"/>
    <w:next w:val="Normal"/>
    <w:rsid w:val="00CF0B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B1D"/>
    <w:pPr>
      <w:spacing w:before="5040"/>
      <w:jc w:val="center"/>
    </w:pPr>
    <w:rPr>
      <w:sz w:val="48"/>
      <w:szCs w:val="72"/>
      <w:lang w:val="en-US"/>
    </w:rPr>
  </w:style>
  <w:style w:type="character" w:customStyle="1" w:styleId="TitleChar">
    <w:name w:val="Title Char"/>
    <w:basedOn w:val="DefaultParagraphFont"/>
    <w:link w:val="Title"/>
    <w:rsid w:val="00CF0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B1D"/>
    <w:pPr>
      <w:tabs>
        <w:tab w:val="left" w:pos="3600"/>
        <w:tab w:val="left" w:pos="3958"/>
      </w:tabs>
    </w:pPr>
  </w:style>
  <w:style w:type="paragraph" w:customStyle="1" w:styleId="Note">
    <w:name w:val="Note"/>
    <w:basedOn w:val="BodyText"/>
    <w:rsid w:val="00CF0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B1D"/>
    <w:pPr>
      <w:framePr w:wrap="auto" w:hAnchor="text" w:y="6049"/>
    </w:pPr>
    <w:rPr>
      <w:color w:val="000000"/>
      <w:sz w:val="40"/>
    </w:rPr>
  </w:style>
  <w:style w:type="paragraph" w:customStyle="1" w:styleId="TOCTitle">
    <w:name w:val="TOCTitle"/>
    <w:basedOn w:val="Heading1"/>
    <w:rsid w:val="00CF0B1D"/>
    <w:pPr>
      <w:spacing w:after="240"/>
      <w:jc w:val="center"/>
      <w:outlineLvl w:val="9"/>
    </w:pPr>
    <w:rPr>
      <w:caps/>
    </w:rPr>
  </w:style>
  <w:style w:type="paragraph" w:customStyle="1" w:styleId="Version">
    <w:name w:val="Version"/>
    <w:rsid w:val="00CF0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B1D"/>
    <w:pPr>
      <w:keepNext w:val="0"/>
      <w:tabs>
        <w:tab w:val="right" w:pos="4176"/>
      </w:tabs>
      <w:ind w:left="198" w:hanging="198"/>
    </w:pPr>
    <w:rPr>
      <w:rFonts w:ascii="Garamond" w:hAnsi="Garamond"/>
    </w:rPr>
  </w:style>
  <w:style w:type="paragraph" w:styleId="IndexHeading">
    <w:name w:val="index heading"/>
    <w:basedOn w:val="Normal"/>
    <w:next w:val="Index1"/>
    <w:semiHidden/>
    <w:rsid w:val="00CF0B1D"/>
    <w:pPr>
      <w:spacing w:before="120" w:after="120"/>
    </w:pPr>
    <w:rPr>
      <w:rFonts w:ascii="Arial" w:hAnsi="Arial"/>
      <w:b/>
      <w:color w:val="918585"/>
      <w:sz w:val="24"/>
    </w:rPr>
  </w:style>
  <w:style w:type="paragraph" w:customStyle="1" w:styleId="Chapter">
    <w:name w:val="Chapter"/>
    <w:basedOn w:val="Normal"/>
    <w:rsid w:val="00CF0B1D"/>
    <w:pPr>
      <w:spacing w:before="240"/>
    </w:pPr>
    <w:rPr>
      <w:rFonts w:ascii="Times New Roman" w:hAnsi="Times New Roman"/>
      <w:smallCaps/>
      <w:spacing w:val="80"/>
      <w:sz w:val="28"/>
    </w:rPr>
  </w:style>
  <w:style w:type="paragraph" w:customStyle="1" w:styleId="InChapter">
    <w:name w:val="InChapter"/>
    <w:basedOn w:val="Heading3"/>
    <w:rsid w:val="00CF0B1D"/>
    <w:pPr>
      <w:spacing w:after="240"/>
      <w:outlineLvl w:val="9"/>
    </w:pPr>
    <w:rPr>
      <w:noProof/>
    </w:rPr>
  </w:style>
  <w:style w:type="paragraph" w:styleId="Index2">
    <w:name w:val="index 2"/>
    <w:basedOn w:val="Normal"/>
    <w:next w:val="Normal"/>
    <w:semiHidden/>
    <w:rsid w:val="00CF0B1D"/>
    <w:pPr>
      <w:tabs>
        <w:tab w:val="right" w:pos="4176"/>
      </w:tabs>
      <w:ind w:left="568" w:hanging="284"/>
    </w:pPr>
    <w:rPr>
      <w:rFonts w:ascii="Garamond" w:hAnsi="Garamond"/>
    </w:rPr>
  </w:style>
  <w:style w:type="paragraph" w:customStyle="1" w:styleId="Byline">
    <w:name w:val="Byline"/>
    <w:rsid w:val="00CF0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B1D"/>
    <w:pPr>
      <w:tabs>
        <w:tab w:val="clear" w:pos="3600"/>
        <w:tab w:val="clear" w:pos="3958"/>
      </w:tabs>
      <w:jc w:val="right"/>
    </w:pPr>
  </w:style>
  <w:style w:type="paragraph" w:styleId="Caption">
    <w:name w:val="caption"/>
    <w:basedOn w:val="BodyText"/>
    <w:next w:val="Normal"/>
    <w:qFormat/>
    <w:rsid w:val="00CF0B1D"/>
    <w:pPr>
      <w:framePr w:w="2268" w:hSpace="181" w:vSpace="181" w:wrap="around" w:vAnchor="text" w:hAnchor="page" w:x="1135" w:y="285" w:anchorLock="1"/>
    </w:pPr>
    <w:rPr>
      <w:i/>
    </w:rPr>
  </w:style>
  <w:style w:type="paragraph" w:customStyle="1" w:styleId="MiniTOCTitle">
    <w:name w:val="MiniTOCTitle"/>
    <w:basedOn w:val="Heading4"/>
    <w:rsid w:val="00CF0B1D"/>
    <w:pPr>
      <w:spacing w:before="240"/>
      <w:outlineLvl w:val="9"/>
    </w:pPr>
    <w:rPr>
      <w:noProof/>
      <w:sz w:val="24"/>
    </w:rPr>
  </w:style>
  <w:style w:type="paragraph" w:customStyle="1" w:styleId="MiniTOCItem">
    <w:name w:val="MiniTOCItem"/>
    <w:basedOn w:val="ListBullet"/>
    <w:rsid w:val="00CF0B1D"/>
    <w:pPr>
      <w:numPr>
        <w:numId w:val="0"/>
      </w:numPr>
      <w:tabs>
        <w:tab w:val="right" w:leader="dot" w:pos="6521"/>
      </w:tabs>
      <w:spacing w:before="0" w:after="0"/>
    </w:pPr>
  </w:style>
  <w:style w:type="paragraph" w:customStyle="1" w:styleId="TOFTitle">
    <w:name w:val="TOFTitle"/>
    <w:basedOn w:val="TOCTitle"/>
    <w:rsid w:val="00CF0B1D"/>
  </w:style>
  <w:style w:type="paragraph" w:styleId="TableofFigures">
    <w:name w:val="table of figures"/>
    <w:basedOn w:val="Normal"/>
    <w:next w:val="Normal"/>
    <w:semiHidden/>
    <w:rsid w:val="00CF0B1D"/>
    <w:pPr>
      <w:tabs>
        <w:tab w:val="right" w:leader="dot" w:pos="9072"/>
      </w:tabs>
      <w:ind w:left="970" w:hanging="403"/>
    </w:pPr>
    <w:rPr>
      <w:rFonts w:ascii="Times New Roman" w:hAnsi="Times New Roman"/>
      <w:b/>
    </w:rPr>
  </w:style>
  <w:style w:type="paragraph" w:styleId="ListNumber">
    <w:name w:val="List Number"/>
    <w:basedOn w:val="List"/>
    <w:rsid w:val="00CF0B1D"/>
    <w:pPr>
      <w:numPr>
        <w:numId w:val="12"/>
      </w:numPr>
    </w:pPr>
  </w:style>
  <w:style w:type="character" w:customStyle="1" w:styleId="WingdingSymbols">
    <w:name w:val="Wingding Symbols"/>
    <w:rsid w:val="00CF0B1D"/>
    <w:rPr>
      <w:rFonts w:ascii="Wingdings" w:hAnsi="Wingdings"/>
    </w:rPr>
  </w:style>
  <w:style w:type="paragraph" w:customStyle="1" w:styleId="TableHeading">
    <w:name w:val="Table Heading"/>
    <w:basedOn w:val="HeadingBase"/>
    <w:rsid w:val="00CF0B1D"/>
    <w:pPr>
      <w:keepLines/>
      <w:pBdr>
        <w:bottom w:val="single" w:sz="6" w:space="1" w:color="918585"/>
      </w:pBdr>
      <w:spacing w:before="240"/>
    </w:pPr>
  </w:style>
  <w:style w:type="character" w:customStyle="1" w:styleId="HotSpot">
    <w:name w:val="HotSpot"/>
    <w:rsid w:val="00CF0B1D"/>
    <w:rPr>
      <w:color w:val="0033CC"/>
      <w:u w:val="none"/>
    </w:rPr>
  </w:style>
  <w:style w:type="paragraph" w:customStyle="1" w:styleId="BodyTextRight">
    <w:name w:val="Body Text Right"/>
    <w:basedOn w:val="BodyText"/>
    <w:rsid w:val="00CF0B1D"/>
    <w:pPr>
      <w:spacing w:before="0" w:after="0"/>
      <w:jc w:val="right"/>
    </w:pPr>
  </w:style>
  <w:style w:type="paragraph" w:styleId="Index3">
    <w:name w:val="index 3"/>
    <w:basedOn w:val="ListNumber2"/>
    <w:next w:val="Normal"/>
    <w:semiHidden/>
    <w:rsid w:val="00CF0B1D"/>
    <w:pPr>
      <w:numPr>
        <w:numId w:val="0"/>
      </w:numPr>
      <w:tabs>
        <w:tab w:val="right" w:leader="dot" w:pos="4176"/>
      </w:tabs>
    </w:pPr>
  </w:style>
  <w:style w:type="paragraph" w:styleId="ListNumber2">
    <w:name w:val="List Number 2"/>
    <w:basedOn w:val="List2"/>
    <w:rsid w:val="00CF0B1D"/>
    <w:pPr>
      <w:numPr>
        <w:numId w:val="11"/>
      </w:numPr>
      <w:tabs>
        <w:tab w:val="clear" w:pos="1060"/>
      </w:tabs>
    </w:pPr>
  </w:style>
  <w:style w:type="paragraph" w:customStyle="1" w:styleId="MarginNote">
    <w:name w:val="Margin Note"/>
    <w:basedOn w:val="BodyText"/>
    <w:rsid w:val="00CF0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B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B1D"/>
    <w:rPr>
      <w:sz w:val="32"/>
    </w:rPr>
  </w:style>
  <w:style w:type="paragraph" w:customStyle="1" w:styleId="HeadingProcedure">
    <w:name w:val="Heading Procedure"/>
    <w:basedOn w:val="HeadingBase"/>
    <w:next w:val="Normal"/>
    <w:rsid w:val="00CF0B1D"/>
    <w:pPr>
      <w:tabs>
        <w:tab w:val="left" w:pos="0"/>
      </w:tabs>
      <w:spacing w:before="120" w:after="60"/>
    </w:pPr>
    <w:rPr>
      <w:i/>
      <w:color w:val="918585"/>
      <w:sz w:val="22"/>
    </w:rPr>
  </w:style>
  <w:style w:type="paragraph" w:customStyle="1" w:styleId="TableBodyText">
    <w:name w:val="Table Body Text"/>
    <w:basedOn w:val="BodyText"/>
    <w:rsid w:val="00CF0B1D"/>
    <w:pPr>
      <w:spacing w:before="60" w:after="60"/>
    </w:pPr>
  </w:style>
  <w:style w:type="paragraph" w:styleId="ListContinue">
    <w:name w:val="List Continue"/>
    <w:basedOn w:val="List"/>
    <w:rsid w:val="00CF0B1D"/>
    <w:pPr>
      <w:ind w:firstLine="0"/>
    </w:pPr>
  </w:style>
  <w:style w:type="paragraph" w:customStyle="1" w:styleId="ListNote">
    <w:name w:val="List Note"/>
    <w:basedOn w:val="List"/>
    <w:rsid w:val="00CF0B1D"/>
    <w:pPr>
      <w:pBdr>
        <w:top w:val="single" w:sz="6" w:space="2" w:color="918585"/>
        <w:bottom w:val="single" w:sz="6" w:space="2" w:color="918585"/>
      </w:pBdr>
      <w:tabs>
        <w:tab w:val="left" w:pos="1021"/>
      </w:tabs>
      <w:ind w:firstLine="0"/>
    </w:pPr>
  </w:style>
  <w:style w:type="paragraph" w:customStyle="1" w:styleId="Warning">
    <w:name w:val="Warning"/>
    <w:basedOn w:val="BodyText"/>
    <w:rsid w:val="00CF0B1D"/>
    <w:pPr>
      <w:shd w:val="clear" w:color="auto" w:fill="D9D9D9"/>
      <w:tabs>
        <w:tab w:val="left" w:pos="992"/>
      </w:tabs>
      <w:ind w:left="119" w:right="119"/>
    </w:pPr>
    <w:rPr>
      <w:sz w:val="20"/>
    </w:rPr>
  </w:style>
  <w:style w:type="paragraph" w:customStyle="1" w:styleId="MarginIcons">
    <w:name w:val="Margin Icons"/>
    <w:basedOn w:val="BodyText"/>
    <w:rsid w:val="00CF0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B1D"/>
    <w:rPr>
      <w:rFonts w:ascii="Courier New" w:hAnsi="Courier New"/>
    </w:rPr>
  </w:style>
  <w:style w:type="paragraph" w:customStyle="1" w:styleId="NoteBullet">
    <w:name w:val="Note Bullet"/>
    <w:basedOn w:val="Note"/>
    <w:rsid w:val="00CF0B1D"/>
    <w:pPr>
      <w:tabs>
        <w:tab w:val="clear" w:pos="680"/>
      </w:tabs>
      <w:spacing w:before="60" w:after="60"/>
    </w:pPr>
  </w:style>
  <w:style w:type="paragraph" w:customStyle="1" w:styleId="SubHeading2">
    <w:name w:val="SubHeading2"/>
    <w:basedOn w:val="HeadingBase"/>
    <w:rsid w:val="00CF0B1D"/>
    <w:pPr>
      <w:spacing w:before="240" w:after="60"/>
    </w:pPr>
    <w:rPr>
      <w:sz w:val="20"/>
    </w:rPr>
  </w:style>
  <w:style w:type="paragraph" w:customStyle="1" w:styleId="SubHeading1">
    <w:name w:val="SubHeading1"/>
    <w:basedOn w:val="HeadingBase"/>
    <w:rsid w:val="00CF0B1D"/>
    <w:pPr>
      <w:spacing w:before="240" w:after="60"/>
    </w:pPr>
    <w:rPr>
      <w:color w:val="918585"/>
      <w:sz w:val="22"/>
    </w:rPr>
  </w:style>
  <w:style w:type="paragraph" w:customStyle="1" w:styleId="SideHeading">
    <w:name w:val="Side Heading"/>
    <w:basedOn w:val="HeadingBase"/>
    <w:rsid w:val="00CF0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B1D"/>
    <w:pPr>
      <w:numPr>
        <w:numId w:val="13"/>
      </w:numPr>
    </w:pPr>
  </w:style>
  <w:style w:type="paragraph" w:styleId="PlainText">
    <w:name w:val="Plain Text"/>
    <w:basedOn w:val="Normal"/>
    <w:link w:val="PlainTextChar"/>
    <w:rsid w:val="00CF0B1D"/>
    <w:rPr>
      <w:sz w:val="20"/>
    </w:rPr>
  </w:style>
  <w:style w:type="character" w:customStyle="1" w:styleId="PlainTextChar">
    <w:name w:val="Plain Text Char"/>
    <w:basedOn w:val="DefaultParagraphFont"/>
    <w:link w:val="PlainText"/>
    <w:rsid w:val="00CF0B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B1D"/>
    <w:rPr>
      <w:b/>
      <w:smallCaps/>
    </w:rPr>
  </w:style>
  <w:style w:type="paragraph" w:customStyle="1" w:styleId="TableListNumber">
    <w:name w:val="Table List Number"/>
    <w:basedOn w:val="ListNumber"/>
    <w:rsid w:val="00CF0B1D"/>
    <w:pPr>
      <w:numPr>
        <w:numId w:val="0"/>
      </w:numPr>
    </w:pPr>
  </w:style>
  <w:style w:type="paragraph" w:styleId="TOC4">
    <w:name w:val="toc 4"/>
    <w:basedOn w:val="TOCBase"/>
    <w:next w:val="Normal"/>
    <w:semiHidden/>
    <w:rsid w:val="00CF0B1D"/>
    <w:pPr>
      <w:tabs>
        <w:tab w:val="right" w:leader="dot" w:pos="9071"/>
      </w:tabs>
      <w:ind w:left="1701"/>
    </w:pPr>
  </w:style>
  <w:style w:type="paragraph" w:customStyle="1" w:styleId="ListAlpha">
    <w:name w:val="List Alpha"/>
    <w:basedOn w:val="List"/>
    <w:rsid w:val="00CF0B1D"/>
    <w:pPr>
      <w:numPr>
        <w:numId w:val="10"/>
      </w:numPr>
    </w:pPr>
  </w:style>
  <w:style w:type="paragraph" w:customStyle="1" w:styleId="ListAlpha2">
    <w:name w:val="List Alpha 2"/>
    <w:basedOn w:val="List2"/>
    <w:rsid w:val="00CF0B1D"/>
    <w:pPr>
      <w:numPr>
        <w:numId w:val="9"/>
      </w:numPr>
    </w:pPr>
  </w:style>
  <w:style w:type="paragraph" w:styleId="List2">
    <w:name w:val="List 2"/>
    <w:basedOn w:val="BodyText"/>
    <w:rsid w:val="00CF0B1D"/>
    <w:pPr>
      <w:tabs>
        <w:tab w:val="left" w:pos="680"/>
      </w:tabs>
      <w:spacing w:before="60" w:after="60"/>
      <w:ind w:left="680" w:hanging="340"/>
    </w:pPr>
  </w:style>
  <w:style w:type="paragraph" w:styleId="List3">
    <w:name w:val="List 3"/>
    <w:basedOn w:val="BodyText"/>
    <w:rsid w:val="00CF0B1D"/>
    <w:pPr>
      <w:tabs>
        <w:tab w:val="left" w:pos="1021"/>
      </w:tabs>
      <w:spacing w:before="60" w:after="60"/>
      <w:ind w:left="1020" w:hanging="340"/>
    </w:pPr>
  </w:style>
  <w:style w:type="paragraph" w:styleId="List4">
    <w:name w:val="List 4"/>
    <w:basedOn w:val="BodyText"/>
    <w:rsid w:val="00CF0B1D"/>
    <w:pPr>
      <w:tabs>
        <w:tab w:val="left" w:pos="1361"/>
      </w:tabs>
      <w:spacing w:before="60" w:after="60"/>
      <w:ind w:left="1361" w:hanging="340"/>
    </w:pPr>
  </w:style>
  <w:style w:type="paragraph" w:styleId="List5">
    <w:name w:val="List 5"/>
    <w:basedOn w:val="BodyText"/>
    <w:rsid w:val="00CF0B1D"/>
    <w:pPr>
      <w:tabs>
        <w:tab w:val="left" w:pos="1701"/>
      </w:tabs>
      <w:spacing w:before="60" w:after="60"/>
      <w:ind w:left="1701" w:hanging="340"/>
    </w:pPr>
  </w:style>
  <w:style w:type="paragraph" w:styleId="ListBullet4">
    <w:name w:val="List Bullet 4"/>
    <w:basedOn w:val="List4"/>
    <w:rsid w:val="00CF0B1D"/>
    <w:pPr>
      <w:numPr>
        <w:numId w:val="4"/>
      </w:numPr>
    </w:pPr>
  </w:style>
  <w:style w:type="paragraph" w:styleId="ListBullet5">
    <w:name w:val="List Bullet 5"/>
    <w:basedOn w:val="List5"/>
    <w:rsid w:val="00CF0B1D"/>
    <w:pPr>
      <w:numPr>
        <w:numId w:val="5"/>
      </w:numPr>
    </w:pPr>
  </w:style>
  <w:style w:type="paragraph" w:styleId="ListContinue2">
    <w:name w:val="List Continue 2"/>
    <w:basedOn w:val="List2"/>
    <w:rsid w:val="00CF0B1D"/>
    <w:pPr>
      <w:ind w:firstLine="0"/>
    </w:pPr>
  </w:style>
  <w:style w:type="paragraph" w:styleId="ListContinue3">
    <w:name w:val="List Continue 3"/>
    <w:basedOn w:val="List3"/>
    <w:rsid w:val="00CF0B1D"/>
    <w:pPr>
      <w:ind w:left="1021" w:firstLine="0"/>
    </w:pPr>
  </w:style>
  <w:style w:type="paragraph" w:styleId="ListContinue4">
    <w:name w:val="List Continue 4"/>
    <w:basedOn w:val="List4"/>
    <w:rsid w:val="00CF0B1D"/>
    <w:pPr>
      <w:ind w:firstLine="0"/>
    </w:pPr>
  </w:style>
  <w:style w:type="paragraph" w:styleId="ListContinue5">
    <w:name w:val="List Continue 5"/>
    <w:basedOn w:val="List5"/>
    <w:rsid w:val="00CF0B1D"/>
    <w:pPr>
      <w:ind w:firstLine="0"/>
    </w:pPr>
  </w:style>
  <w:style w:type="paragraph" w:styleId="ListNumber3">
    <w:name w:val="List Number 3"/>
    <w:basedOn w:val="List3"/>
    <w:rsid w:val="00CF0B1D"/>
    <w:pPr>
      <w:numPr>
        <w:numId w:val="6"/>
      </w:numPr>
    </w:pPr>
  </w:style>
  <w:style w:type="paragraph" w:styleId="ListNumber4">
    <w:name w:val="List Number 4"/>
    <w:basedOn w:val="List4"/>
    <w:rsid w:val="00CF0B1D"/>
    <w:pPr>
      <w:numPr>
        <w:numId w:val="7"/>
      </w:numPr>
    </w:pPr>
  </w:style>
  <w:style w:type="paragraph" w:styleId="ListNumber5">
    <w:name w:val="List Number 5"/>
    <w:basedOn w:val="List5"/>
    <w:rsid w:val="00CF0B1D"/>
    <w:pPr>
      <w:numPr>
        <w:numId w:val="8"/>
      </w:numPr>
    </w:pPr>
  </w:style>
  <w:style w:type="paragraph" w:styleId="BlockText">
    <w:name w:val="Block Text"/>
    <w:basedOn w:val="Normal"/>
    <w:rsid w:val="00CF0B1D"/>
    <w:pPr>
      <w:spacing w:after="120"/>
      <w:ind w:left="1440" w:right="1440"/>
    </w:pPr>
  </w:style>
  <w:style w:type="character" w:customStyle="1" w:styleId="Subscript">
    <w:name w:val="Subscript"/>
    <w:basedOn w:val="DefaultParagraphFont"/>
    <w:rsid w:val="00CF0B1D"/>
    <w:rPr>
      <w:sz w:val="16"/>
      <w:vertAlign w:val="subscript"/>
    </w:rPr>
  </w:style>
  <w:style w:type="character" w:customStyle="1" w:styleId="Superscript">
    <w:name w:val="Superscript"/>
    <w:basedOn w:val="DefaultParagraphFont"/>
    <w:rsid w:val="00CF0B1D"/>
    <w:rPr>
      <w:sz w:val="16"/>
      <w:vertAlign w:val="superscript"/>
    </w:rPr>
  </w:style>
  <w:style w:type="character" w:customStyle="1" w:styleId="Symbols">
    <w:name w:val="Symbols"/>
    <w:basedOn w:val="DefaultParagraphFont"/>
    <w:rsid w:val="00CF0B1D"/>
    <w:rPr>
      <w:rFonts w:ascii="Symbol" w:hAnsi="Symbol"/>
    </w:rPr>
  </w:style>
  <w:style w:type="character" w:customStyle="1" w:styleId="MenuOptions">
    <w:name w:val="Menu Options"/>
    <w:basedOn w:val="DefaultParagraphFont"/>
    <w:rsid w:val="00CF0B1D"/>
    <w:rPr>
      <w:rFonts w:ascii="Arial Narrow" w:hAnsi="Arial Narrow"/>
      <w:smallCaps/>
    </w:rPr>
  </w:style>
  <w:style w:type="character" w:customStyle="1" w:styleId="Buttons">
    <w:name w:val="Buttons"/>
    <w:basedOn w:val="DefaultParagraphFont"/>
    <w:rsid w:val="00CF0B1D"/>
    <w:rPr>
      <w:b/>
    </w:rPr>
  </w:style>
  <w:style w:type="character" w:customStyle="1" w:styleId="Underlined">
    <w:name w:val="Underlined"/>
    <w:basedOn w:val="DefaultParagraphFont"/>
    <w:rsid w:val="00CF0B1D"/>
    <w:rPr>
      <w:u w:val="single"/>
    </w:rPr>
  </w:style>
  <w:style w:type="paragraph" w:customStyle="1" w:styleId="TableBodyTextRight">
    <w:name w:val="Table Body Text Right"/>
    <w:basedOn w:val="TableBodyText"/>
    <w:rsid w:val="00CF0B1D"/>
    <w:pPr>
      <w:widowControl w:val="0"/>
      <w:autoSpaceDE w:val="0"/>
      <w:autoSpaceDN w:val="0"/>
      <w:adjustRightInd w:val="0"/>
      <w:jc w:val="right"/>
    </w:pPr>
    <w:rPr>
      <w:rFonts w:cs="Arial"/>
      <w:szCs w:val="18"/>
    </w:rPr>
  </w:style>
  <w:style w:type="paragraph" w:customStyle="1" w:styleId="CopyrightText">
    <w:name w:val="Copyright Text"/>
    <w:basedOn w:val="BodyText"/>
    <w:rsid w:val="00CF0B1D"/>
    <w:rPr>
      <w:sz w:val="18"/>
    </w:rPr>
  </w:style>
  <w:style w:type="paragraph" w:customStyle="1" w:styleId="BodySmallRight">
    <w:name w:val="Body Small Right"/>
    <w:basedOn w:val="BodyTextRight"/>
    <w:rsid w:val="00CF0B1D"/>
    <w:rPr>
      <w:sz w:val="18"/>
      <w:szCs w:val="18"/>
    </w:rPr>
  </w:style>
  <w:style w:type="paragraph" w:customStyle="1" w:styleId="MarginEdition">
    <w:name w:val="Margin Edition"/>
    <w:basedOn w:val="MarginNote"/>
    <w:rsid w:val="00CF0B1D"/>
    <w:pPr>
      <w:spacing w:before="0" w:after="0"/>
    </w:pPr>
    <w:rPr>
      <w:rFonts w:ascii="Times New Roman" w:hAnsi="Times New Roman"/>
      <w:color w:val="999999"/>
    </w:rPr>
  </w:style>
  <w:style w:type="paragraph" w:customStyle="1" w:styleId="Spacer">
    <w:name w:val="Spacer"/>
    <w:basedOn w:val="Normal"/>
    <w:rsid w:val="00CF0B1D"/>
    <w:rPr>
      <w:sz w:val="2"/>
      <w:szCs w:val="2"/>
    </w:rPr>
  </w:style>
  <w:style w:type="character" w:customStyle="1" w:styleId="Small">
    <w:name w:val="Small"/>
    <w:basedOn w:val="DefaultParagraphFont"/>
    <w:rsid w:val="00CF0B1D"/>
    <w:rPr>
      <w:sz w:val="16"/>
    </w:rPr>
  </w:style>
  <w:style w:type="paragraph" w:customStyle="1" w:styleId="WideTable">
    <w:name w:val="Wide Table"/>
    <w:basedOn w:val="Normal"/>
    <w:rsid w:val="00CF0B1D"/>
    <w:pPr>
      <w:ind w:left="-1418"/>
    </w:pPr>
    <w:rPr>
      <w:sz w:val="2"/>
      <w:szCs w:val="2"/>
    </w:rPr>
  </w:style>
  <w:style w:type="character" w:styleId="PageNumber">
    <w:name w:val="page number"/>
    <w:basedOn w:val="DefaultParagraphFont"/>
    <w:rsid w:val="00CF0B1D"/>
  </w:style>
  <w:style w:type="paragraph" w:styleId="Quote">
    <w:name w:val="Quote"/>
    <w:basedOn w:val="Heading1"/>
    <w:link w:val="QuoteChar"/>
    <w:qFormat/>
    <w:rsid w:val="00CF0B1D"/>
    <w:rPr>
      <w:b w:val="0"/>
      <w:sz w:val="72"/>
      <w:szCs w:val="72"/>
      <w:lang w:val="en-NZ"/>
    </w:rPr>
  </w:style>
  <w:style w:type="character" w:customStyle="1" w:styleId="QuoteChar">
    <w:name w:val="Quote Char"/>
    <w:basedOn w:val="DefaultParagraphFont"/>
    <w:link w:val="Quote"/>
    <w:rsid w:val="00CF0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B1D"/>
    <w:pPr>
      <w:pageBreakBefore/>
    </w:pPr>
  </w:style>
  <w:style w:type="paragraph" w:customStyle="1" w:styleId="Border">
    <w:name w:val="Border"/>
    <w:basedOn w:val="Normal"/>
    <w:qFormat/>
    <w:rsid w:val="00CF0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B1D"/>
    <w:rPr>
      <w:b/>
      <w:bCs/>
      <w:i/>
      <w:iCs/>
      <w:color w:val="auto"/>
    </w:rPr>
  </w:style>
  <w:style w:type="paragraph" w:styleId="IntenseQuote">
    <w:name w:val="Intense Quote"/>
    <w:basedOn w:val="Normal"/>
    <w:next w:val="Normal"/>
    <w:link w:val="IntenseQuoteChar"/>
    <w:uiPriority w:val="30"/>
    <w:qFormat/>
    <w:rsid w:val="00CF0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B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B1D"/>
    <w:rPr>
      <w:smallCaps/>
      <w:color w:val="auto"/>
      <w:u w:val="single"/>
    </w:rPr>
  </w:style>
  <w:style w:type="character" w:styleId="IntenseReference">
    <w:name w:val="Intense Reference"/>
    <w:basedOn w:val="DefaultParagraphFont"/>
    <w:uiPriority w:val="32"/>
    <w:qFormat/>
    <w:rsid w:val="00CF0B1D"/>
    <w:rPr>
      <w:b/>
      <w:bCs/>
      <w:smallCaps/>
      <w:color w:val="auto"/>
      <w:spacing w:val="5"/>
      <w:u w:val="single"/>
    </w:rPr>
  </w:style>
  <w:style w:type="paragraph" w:customStyle="1" w:styleId="2ColumnHeading">
    <w:name w:val="2Column Heading"/>
    <w:basedOn w:val="BodyText"/>
    <w:qFormat/>
    <w:rsid w:val="00CF0B1D"/>
    <w:pPr>
      <w:spacing w:after="60"/>
      <w:ind w:left="-2268"/>
    </w:pPr>
    <w:rPr>
      <w:b/>
    </w:rPr>
  </w:style>
  <w:style w:type="paragraph" w:customStyle="1" w:styleId="Heading1TOC">
    <w:name w:val="Heading1 TOC"/>
    <w:basedOn w:val="Normal"/>
    <w:qFormat/>
    <w:rsid w:val="00CF0B1D"/>
    <w:pPr>
      <w:spacing w:before="240" w:after="120"/>
    </w:pPr>
    <w:rPr>
      <w:rFonts w:ascii="Times New Roman" w:hAnsi="Times New Roman"/>
      <w:b/>
      <w:sz w:val="32"/>
    </w:rPr>
  </w:style>
  <w:style w:type="paragraph" w:customStyle="1" w:styleId="Heading2TOC">
    <w:name w:val="Heading2 TOC"/>
    <w:basedOn w:val="Normal"/>
    <w:qFormat/>
    <w:rsid w:val="00CF0B1D"/>
    <w:pPr>
      <w:spacing w:before="240" w:after="60"/>
    </w:pPr>
    <w:rPr>
      <w:rFonts w:ascii="Times New Roman" w:hAnsi="Times New Roman"/>
      <w:b/>
      <w:sz w:val="28"/>
    </w:rPr>
  </w:style>
  <w:style w:type="character" w:customStyle="1" w:styleId="Underline">
    <w:name w:val="Underline"/>
    <w:basedOn w:val="DefaultParagraphFont"/>
    <w:qFormat/>
    <w:rsid w:val="00CF0B1D"/>
    <w:rPr>
      <w:u w:val="single"/>
    </w:rPr>
  </w:style>
  <w:style w:type="paragraph" w:styleId="BalloonText">
    <w:name w:val="Balloon Text"/>
    <w:basedOn w:val="Normal"/>
    <w:link w:val="BalloonTextChar"/>
    <w:rsid w:val="00CF0B1D"/>
    <w:rPr>
      <w:rFonts w:ascii="Tahoma" w:hAnsi="Tahoma" w:cs="Tahoma"/>
      <w:sz w:val="16"/>
      <w:szCs w:val="16"/>
    </w:rPr>
  </w:style>
  <w:style w:type="character" w:customStyle="1" w:styleId="BalloonTextChar">
    <w:name w:val="Balloon Text Char"/>
    <w:basedOn w:val="DefaultParagraphFont"/>
    <w:link w:val="BalloonText"/>
    <w:rsid w:val="00CF0B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B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B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2315</Words>
  <Characters>15080</Characters>
  <Application>Microsoft Office Word</Application>
  <DocSecurity>0</DocSecurity>
  <Lines>472</Lines>
  <Paragraphs>298</Paragraphs>
  <ScaleCrop>false</ScaleCrop>
  <Company>Author-it Software Corporation Ltd.</Company>
  <LinksUpToDate>false</LinksUpToDate>
  <CharactersWithSpaces>17323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PSPRAIL501A Operate within the regulatory framework for rail safety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2012-05-26T08:24:00Z</dcterms:created>
  <dcterms:modified xsi:type="dcterms:W3CDTF">2012-05-26T08:24:00Z</dcterms:modified>
</cp:coreProperties>
</file>