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2936" w:rsidP="002A2936">
      <w:pPr>
        <w:pStyle w:val="Title"/>
      </w:pPr>
      <w:r>
        <w:fldChar w:fldCharType="begin"/>
      </w:r>
      <w:r>
        <w:instrText xml:space="preserve"> TITLE   \* MERGEFORMAT </w:instrText>
      </w:r>
      <w:r>
        <w:fldChar w:fldCharType="separate"/>
      </w:r>
      <w:r>
        <w:t>PSPPROC605B Coordinate strategic procurement</w:t>
      </w:r>
      <w:r>
        <w:fldChar w:fldCharType="end"/>
      </w:r>
    </w:p>
    <w:p w:rsidR="002A2936" w:rsidP="002A2936">
      <w:pPr>
        <w:pStyle w:val="Version"/>
        <w:sectPr w:rsidSect="00A61F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A61FF2" w:rsidP="00A61FF2">
      <w:pPr>
        <w:pStyle w:val="SuperHeading"/>
      </w:pPr>
      <w:r w:rsidRPr="00A61FF2">
        <w:t xml:space="preserve">PSPPROC605B Coordinate strategic procurement </w:t>
      </w:r>
    </w:p>
    <w:p w:rsidR="00000000" w:rsidRPr="00A61FF2" w:rsidP="00A61FF2">
      <w:pPr>
        <w:pStyle w:val="SuperHeading"/>
      </w:pPr>
    </w:p>
    <w:p w:rsidR="00000000" w:rsidRPr="00A61FF2" w:rsidP="00A61FF2">
      <w:pPr>
        <w:pStyle w:val="Heading1"/>
      </w:pPr>
      <w:bookmarkStart w:id="1" w:name="O_411141"/>
      <w:bookmarkEnd w:id="1"/>
      <w:r w:rsidRPr="00A61FF2">
        <w:t>Modification History</w:t>
      </w:r>
    </w:p>
    <w:p w:rsidR="00000000" w:rsidRPr="00A61FF2" w:rsidP="00A61FF2">
      <w:pPr>
        <w:pStyle w:val="BodyText"/>
      </w:pPr>
      <w:r w:rsidRPr="00A61FF2">
        <w:t>PSPPROC605B Release 2:</w:t>
      </w:r>
      <w:r w:rsidRPr="00A61FF2">
        <w:tab/>
        <w:t>Layout adjusted. No changes to content.</w:t>
      </w:r>
    </w:p>
    <w:p w:rsidR="00000000" w:rsidRPr="00A61FF2" w:rsidP="00A61FF2">
      <w:pPr>
        <w:pStyle w:val="BodyText"/>
      </w:pPr>
      <w:r w:rsidRPr="00A61FF2">
        <w:t>PSPPROC605B Release 1:</w:t>
      </w:r>
      <w:r w:rsidRPr="00A61FF2">
        <w:tab/>
        <w:t>Primary release.</w:t>
      </w:r>
    </w:p>
    <w:p w:rsidR="00000000" w:rsidRPr="00A61FF2" w:rsidP="00A61FF2">
      <w:pPr>
        <w:pStyle w:val="AllowPageBreak"/>
      </w:pPr>
    </w:p>
    <w:p w:rsidR="00000000" w:rsidRPr="00A61FF2" w:rsidP="00A61FF2">
      <w:pPr>
        <w:pStyle w:val="Heading1"/>
      </w:pPr>
      <w:bookmarkStart w:id="2" w:name="O_411137"/>
      <w:bookmarkEnd w:id="2"/>
      <w:r w:rsidRPr="00A61FF2">
        <w:t>Unit Descriptor</w:t>
      </w:r>
    </w:p>
    <w:p w:rsidR="00000000" w:rsidRPr="00A61FF2" w:rsidP="00A61FF2">
      <w:pPr>
        <w:pStyle w:val="BodyText"/>
      </w:pPr>
      <w:r w:rsidRPr="00A61FF2">
        <w:t xml:space="preserve">This unit covers the ability to </w:t>
      </w:r>
      <w:r w:rsidRPr="00A61FF2">
        <w:t>analyse, influence and develop markets and implement activities for highly complex, innovative and often long-term strategic procurement within established guidelines, policies and procedures.</w:t>
      </w:r>
    </w:p>
    <w:p w:rsidR="00000000" w:rsidRPr="00A61FF2" w:rsidP="00A61FF2">
      <w:pPr>
        <w:pStyle w:val="BodyText"/>
      </w:pPr>
      <w:r w:rsidRPr="00A61FF2">
        <w:t>Strategic procurement is high risk, often involving political e</w:t>
      </w:r>
      <w:r w:rsidRPr="00A61FF2">
        <w:t>lements. The unit includes undertaking market analysis, influencing and developing markets, and implementing strategic procurement activities.</w:t>
      </w:r>
    </w:p>
    <w:p w:rsidR="00000000" w:rsidRPr="00A61FF2" w:rsidP="00A61FF2">
      <w:pPr>
        <w:pStyle w:val="BodyText"/>
      </w:pPr>
      <w:r w:rsidRPr="00A61FF2">
        <w:t xml:space="preserve">In practice, coordinating strategic procurement may occur in the context of other generalist and specialist work </w:t>
      </w:r>
      <w:r w:rsidRPr="00A61FF2">
        <w:t>activities, such as maintaining and enhancing confidence in public service or local government, establishing and maintaining strategic networks, managing compliance with legislation in the public service or local government, managing risk, developing a bus</w:t>
      </w:r>
      <w:r w:rsidRPr="00A61FF2">
        <w:t>iness case, planning for strategic procurement, negotiating strategic procurement and managing strategic contracts.</w:t>
      </w:r>
    </w:p>
    <w:p w:rsidR="00000000" w:rsidRPr="00A61FF2" w:rsidP="00A61FF2">
      <w:pPr>
        <w:pStyle w:val="BodyText"/>
      </w:pPr>
      <w:r w:rsidRPr="00A61FF2">
        <w:t>No licensing, legislative, regulatory or certification requirements apply to this unit at the time of endorsement.</w:t>
      </w:r>
    </w:p>
    <w:p w:rsidR="00000000" w:rsidRPr="00A61FF2" w:rsidP="00A61FF2">
      <w:pPr>
        <w:pStyle w:val="AllowPageBreak"/>
      </w:pPr>
    </w:p>
    <w:p w:rsidR="00000000" w:rsidRPr="00A61FF2" w:rsidP="00A61FF2">
      <w:pPr>
        <w:pStyle w:val="Heading1"/>
      </w:pPr>
      <w:bookmarkStart w:id="3" w:name="O_411150"/>
      <w:bookmarkEnd w:id="3"/>
      <w:r w:rsidRPr="00A61FF2">
        <w:t>Application of the Unit</w:t>
      </w:r>
    </w:p>
    <w:p w:rsidR="00000000" w:rsidRPr="00A61FF2" w:rsidP="00A61FF2">
      <w:pPr>
        <w:pStyle w:val="BodyText"/>
      </w:pPr>
      <w:r w:rsidRPr="00A61FF2">
        <w:t>This unit applies to those in specialist procurement and contracting.</w:t>
      </w:r>
    </w:p>
    <w:p w:rsidR="00000000" w:rsidRPr="00A61FF2" w:rsidP="00A61FF2">
      <w:pPr>
        <w:pStyle w:val="AllowPageBreak"/>
      </w:pPr>
    </w:p>
    <w:p w:rsidR="00000000" w:rsidRPr="00A61FF2" w:rsidP="00A61FF2">
      <w:pPr>
        <w:pStyle w:val="Heading1"/>
      </w:pPr>
      <w:bookmarkStart w:id="4" w:name="O_411142"/>
      <w:bookmarkEnd w:id="4"/>
      <w:r w:rsidRPr="00A61FF2">
        <w:t>Licensing/Regulatory Information</w:t>
      </w:r>
    </w:p>
    <w:p w:rsidR="00000000" w:rsidRPr="00A61FF2" w:rsidP="00A61FF2">
      <w:pPr>
        <w:pStyle w:val="BodyText"/>
      </w:pPr>
      <w:r w:rsidRPr="00A61FF2">
        <w:t>Not applicable.</w:t>
      </w:r>
    </w:p>
    <w:p w:rsidR="00000000" w:rsidRPr="00A61FF2" w:rsidP="00A61FF2">
      <w:pPr>
        <w:pStyle w:val="AllowPageBreak"/>
      </w:pPr>
    </w:p>
    <w:p w:rsidR="00000000" w:rsidRPr="00A61FF2" w:rsidP="00A61FF2">
      <w:pPr>
        <w:pStyle w:val="Heading1"/>
      </w:pPr>
      <w:bookmarkStart w:id="5" w:name="O_411140"/>
      <w:bookmarkEnd w:id="5"/>
      <w:r w:rsidRPr="00A61FF2">
        <w:t>Pre-Requisites</w:t>
      </w:r>
    </w:p>
    <w:p w:rsidR="00000000" w:rsidRPr="00A61FF2" w:rsidP="00A61FF2">
      <w:pPr>
        <w:pStyle w:val="BodyText"/>
      </w:pPr>
      <w:r w:rsidRPr="00A61FF2">
        <w:t>Not applicable.</w:t>
      </w:r>
    </w:p>
    <w:p w:rsidR="00000000" w:rsidRPr="00A61FF2" w:rsidP="00A61FF2">
      <w:pPr>
        <w:pStyle w:val="AllowPageBreak"/>
      </w:pPr>
    </w:p>
    <w:p w:rsidR="00000000" w:rsidRPr="00A61FF2" w:rsidP="00A61FF2">
      <w:pPr>
        <w:pStyle w:val="Heading1"/>
      </w:pPr>
      <w:bookmarkStart w:id="6" w:name="O_411145"/>
      <w:bookmarkEnd w:id="6"/>
      <w:r w:rsidRPr="00A61FF2">
        <w:t>Employability Skills Informatio</w:t>
      </w:r>
      <w:r w:rsidRPr="00A61FF2">
        <w:t>n</w:t>
      </w:r>
    </w:p>
    <w:p w:rsidR="00000000" w:rsidRPr="00A61FF2" w:rsidP="00A61FF2">
      <w:pPr>
        <w:pStyle w:val="BodyText"/>
      </w:pPr>
      <w:r w:rsidRPr="00A61FF2">
        <w:t>This unit contains employability skills.</w:t>
      </w:r>
    </w:p>
    <w:p w:rsidR="00000000" w:rsidRPr="00A61FF2" w:rsidP="00A61FF2">
      <w:pPr>
        <w:pStyle w:val="AllowPageBreak"/>
      </w:pPr>
    </w:p>
    <w:p w:rsidR="00000000" w:rsidRPr="00A61FF2" w:rsidP="00A61FF2">
      <w:pPr>
        <w:pStyle w:val="Heading1"/>
      </w:pPr>
      <w:bookmarkStart w:id="7" w:name="O_411146"/>
      <w:bookmarkEnd w:id="7"/>
      <w:r w:rsidRPr="00A61FF2">
        <w:t>Elements and Performance Criteria Pre-Content</w:t>
      </w:r>
    </w:p>
    <w:tbl>
      <w:tblPr>
        <w:tblW w:w="0" w:type="auto"/>
        <w:tblLayout w:type="fixed"/>
        <w:tblCellMar>
          <w:left w:w="62" w:type="dxa"/>
          <w:right w:w="62" w:type="dxa"/>
        </w:tblCellMar>
        <w:tblLook w:val="0000"/>
      </w:tblPr>
      <w:tblGrid>
        <w:gridCol w:w="2574"/>
        <w:gridCol w:w="5948"/>
      </w:tblGrid>
      <w:tr w:rsidTr="002A2936">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rsidP="00A61FF2">
            <w:pPr>
              <w:pStyle w:val="BodyText"/>
              <w:rPr>
                <w:lang w:val="en-NZ"/>
              </w:rPr>
            </w:pPr>
            <w:r w:rsidRPr="00A61FF2">
              <w:t>Elements describe the essential outcomes of a unit of competency.</w:t>
            </w:r>
          </w:p>
        </w:tc>
        <w:tc>
          <w:tcPr>
            <w:tcW w:w="5948" w:type="dxa"/>
            <w:tcBorders>
              <w:top w:val="nil"/>
              <w:left w:val="nil"/>
              <w:bottom w:val="nil"/>
              <w:right w:val="nil"/>
            </w:tcBorders>
            <w:tcMar>
              <w:top w:w="0" w:type="dxa"/>
              <w:left w:w="62" w:type="dxa"/>
              <w:bottom w:w="0" w:type="dxa"/>
              <w:right w:w="62" w:type="dxa"/>
            </w:tcMar>
          </w:tcPr>
          <w:p w:rsidR="00000000" w:rsidRPr="00A61FF2" w:rsidP="00A61FF2">
            <w:pPr>
              <w:pStyle w:val="BodyText"/>
            </w:pPr>
            <w:r w:rsidRPr="00A61FF2">
              <w:t xml:space="preserve">Performance criteria describe the performance needed to demonstrate achievement of the element. Where </w:t>
            </w:r>
            <w:r w:rsidRPr="00A61FF2">
              <w:rPr>
                <w:rStyle w:val="BoldandItalics"/>
              </w:rPr>
              <w:t>bold italicised</w:t>
            </w:r>
            <w:r w:rsidRPr="00A61FF2">
              <w:t xml:space="preserve"> text is used, further information is detailed in the range statement. Assessment of performance is to be consistent with the evidence guid</w:t>
            </w:r>
            <w:r w:rsidRPr="00A61FF2">
              <w:t>e.</w:t>
            </w:r>
          </w:p>
        </w:tc>
      </w:tr>
    </w:tbl>
    <w:p w:rsidR="00000000" w:rsidRPr="00A61FF2" w:rsidP="00A61FF2">
      <w:pPr>
        <w:pStyle w:val="BodyText"/>
      </w:pPr>
    </w:p>
    <w:p w:rsidR="00000000" w:rsidRPr="00A61FF2" w:rsidP="00A61FF2">
      <w:pPr>
        <w:pStyle w:val="AllowPageBreak"/>
      </w:pPr>
    </w:p>
    <w:p w:rsidR="00000000" w:rsidRPr="00A61FF2" w:rsidP="00A61FF2">
      <w:pPr>
        <w:pStyle w:val="Heading1"/>
      </w:pPr>
      <w:bookmarkStart w:id="8" w:name="O_411147"/>
      <w:bookmarkEnd w:id="8"/>
      <w:r w:rsidRPr="00A61FF2">
        <w:t>Elements and Performance Criteria</w:t>
      </w:r>
    </w:p>
    <w:tbl>
      <w:tblPr>
        <w:tblW w:w="0" w:type="auto"/>
        <w:tblLayout w:type="fixed"/>
        <w:tblCellMar>
          <w:left w:w="62" w:type="dxa"/>
          <w:right w:w="62" w:type="dxa"/>
        </w:tblCellMar>
        <w:tblLook w:val="0000"/>
      </w:tblPr>
      <w:tblGrid>
        <w:gridCol w:w="2578"/>
        <w:gridCol w:w="5948"/>
      </w:tblGrid>
      <w:tr w:rsidTr="002A2936">
        <w:tblPrEx>
          <w:tblW w:w="0" w:type="auto"/>
          <w:tblLayout w:type="fixed"/>
          <w:tblCellMar>
            <w:left w:w="62" w:type="dxa"/>
            <w:right w:w="62" w:type="dxa"/>
          </w:tblCellMar>
          <w:tblLook w:val="0000"/>
        </w:tblPrEx>
        <w:tc>
          <w:tcPr>
            <w:tcW w:w="2578" w:type="dxa"/>
            <w:tcBorders>
              <w:top w:val="nil"/>
              <w:left w:val="nil"/>
              <w:bottom w:val="nil"/>
              <w:right w:val="nil"/>
            </w:tcBorders>
            <w:tcMar>
              <w:top w:w="0" w:type="dxa"/>
              <w:left w:w="62" w:type="dxa"/>
              <w:bottom w:w="0" w:type="dxa"/>
              <w:right w:w="62" w:type="dxa"/>
            </w:tcMar>
          </w:tcPr>
          <w:p w:rsidR="00000000" w:rsidRPr="00A61FF2" w:rsidP="00A61FF2">
            <w:pPr>
              <w:pStyle w:val="BodyText"/>
            </w:pPr>
            <w:r w:rsidRPr="00A61FF2">
              <w:rPr>
                <w:rStyle w:val="SpecialBold"/>
              </w:rPr>
              <w:t>ELEMENT</w:t>
            </w:r>
          </w:p>
        </w:tc>
        <w:tc>
          <w:tcPr>
            <w:tcW w:w="5948" w:type="dxa"/>
            <w:tcBorders>
              <w:top w:val="nil"/>
              <w:left w:val="nil"/>
              <w:bottom w:val="nil"/>
              <w:right w:val="nil"/>
            </w:tcBorders>
            <w:tcMar>
              <w:top w:w="0" w:type="dxa"/>
              <w:left w:w="62" w:type="dxa"/>
              <w:bottom w:w="0" w:type="dxa"/>
              <w:right w:w="62" w:type="dxa"/>
            </w:tcMar>
          </w:tcPr>
          <w:p w:rsidR="00000000" w:rsidP="00A61FF2">
            <w:pPr>
              <w:pStyle w:val="BodyText"/>
              <w:rPr>
                <w:lang w:val="en-NZ"/>
              </w:rPr>
            </w:pPr>
            <w:r w:rsidRPr="00A61FF2">
              <w:rPr>
                <w:rStyle w:val="SpecialBold"/>
              </w:rPr>
              <w:t>PERFORMANCE CRITERIA</w:t>
            </w:r>
          </w:p>
        </w:tc>
      </w:tr>
      <w:tr w:rsidTr="002A2936">
        <w:tblPrEx>
          <w:tblW w:w="0" w:type="auto"/>
          <w:tblLayout w:type="fixed"/>
          <w:tblCellMar>
            <w:left w:w="62" w:type="dxa"/>
            <w:right w:w="62" w:type="dxa"/>
          </w:tblCellMar>
          <w:tblLook w:val="0000"/>
        </w:tblPrEx>
        <w:tc>
          <w:tcPr>
            <w:tcW w:w="2578" w:type="dxa"/>
            <w:tcBorders>
              <w:top w:val="nil"/>
              <w:left w:val="nil"/>
              <w:bottom w:val="nil"/>
              <w:right w:val="nil"/>
            </w:tcBorders>
            <w:tcMar>
              <w:top w:w="0" w:type="dxa"/>
              <w:left w:w="62" w:type="dxa"/>
              <w:bottom w:w="0" w:type="dxa"/>
              <w:right w:w="62" w:type="dxa"/>
            </w:tcMar>
          </w:tcPr>
          <w:p w:rsidR="00000000" w:rsidP="00A61FF2">
            <w:pPr>
              <w:pStyle w:val="List"/>
              <w:rPr>
                <w:lang w:val="en-NZ"/>
              </w:rPr>
            </w:pPr>
            <w:r w:rsidRPr="00A61FF2">
              <w:rPr>
                <w:rStyle w:val="SpecialBold"/>
              </w:rPr>
              <w:t>1.</w:t>
            </w:r>
            <w:r w:rsidRPr="00A61FF2">
              <w:rPr>
                <w:rStyle w:val="SpecialBold"/>
              </w:rPr>
              <w:tab/>
              <w:t>Undertake market analysis</w:t>
            </w:r>
          </w:p>
        </w:tc>
        <w:tc>
          <w:tcPr>
            <w:tcW w:w="5948" w:type="dxa"/>
            <w:tcBorders>
              <w:top w:val="nil"/>
              <w:left w:val="nil"/>
              <w:bottom w:val="nil"/>
              <w:right w:val="nil"/>
            </w:tcBorders>
            <w:tcMar>
              <w:top w:w="0" w:type="dxa"/>
              <w:left w:w="62" w:type="dxa"/>
              <w:bottom w:w="0" w:type="dxa"/>
              <w:right w:w="62" w:type="dxa"/>
            </w:tcMar>
          </w:tcPr>
          <w:p w:rsidR="00000000" w:rsidRPr="00A61FF2" w:rsidP="00A61FF2">
            <w:pPr>
              <w:pStyle w:val="List"/>
            </w:pPr>
            <w:r w:rsidRPr="00A61FF2">
              <w:t>1.1.</w:t>
            </w:r>
            <w:r w:rsidRPr="00A61FF2">
              <w:tab/>
              <w:t xml:space="preserve">Organisation's strategic </w:t>
            </w:r>
            <w:r w:rsidRPr="00A61FF2">
              <w:rPr>
                <w:rStyle w:val="BoldandItalics"/>
              </w:rPr>
              <w:t>procurement</w:t>
            </w:r>
            <w:r w:rsidRPr="00A61FF2">
              <w:t xml:space="preserve"> requirements and </w:t>
            </w:r>
            <w:r w:rsidRPr="00A61FF2">
              <w:rPr>
                <w:rStyle w:val="BoldandItalics"/>
              </w:rPr>
              <w:t>commercial and policy factors</w:t>
            </w:r>
            <w:r w:rsidRPr="00A61FF2">
              <w:t xml:space="preserve"> impacting procurement are identified.</w:t>
            </w:r>
          </w:p>
          <w:p w:rsidR="00000000" w:rsidRPr="00A61FF2" w:rsidP="00A61FF2">
            <w:pPr>
              <w:pStyle w:val="List"/>
            </w:pPr>
            <w:r w:rsidRPr="00A61FF2">
              <w:t>1.2.</w:t>
            </w:r>
            <w:r w:rsidRPr="00A61FF2">
              <w:tab/>
            </w:r>
            <w:r w:rsidRPr="00A61FF2">
              <w:t xml:space="preserve">Extent to which a competitive </w:t>
            </w:r>
            <w:r w:rsidRPr="00A61FF2">
              <w:rPr>
                <w:rStyle w:val="BoldandItalics"/>
              </w:rPr>
              <w:t>market</w:t>
            </w:r>
            <w:r w:rsidRPr="00A61FF2">
              <w:t xml:space="preserve"> exists to meet the organisation's needs is researched.</w:t>
            </w:r>
          </w:p>
          <w:p w:rsidR="00000000" w:rsidRPr="00A61FF2" w:rsidP="00A61FF2">
            <w:pPr>
              <w:pStyle w:val="List"/>
            </w:pPr>
            <w:r w:rsidRPr="00A61FF2">
              <w:t>1.3.</w:t>
            </w:r>
            <w:r w:rsidRPr="00A61FF2">
              <w:tab/>
              <w:t xml:space="preserve">Number of </w:t>
            </w:r>
            <w:r w:rsidRPr="00A61FF2">
              <w:rPr>
                <w:rStyle w:val="BoldandItalics"/>
              </w:rPr>
              <w:t>suppliers</w:t>
            </w:r>
            <w:r w:rsidRPr="00A61FF2">
              <w:t>, their market share and the degree and type of competition between suppliers are identified.</w:t>
            </w:r>
          </w:p>
          <w:p w:rsidR="00000000" w:rsidRPr="00A61FF2" w:rsidP="00A61FF2">
            <w:pPr>
              <w:pStyle w:val="List"/>
            </w:pPr>
            <w:r w:rsidRPr="00A61FF2">
              <w:t>1.4.</w:t>
            </w:r>
            <w:r w:rsidRPr="00A61FF2">
              <w:tab/>
              <w:t>Nature, quality and maturity of the suppl</w:t>
            </w:r>
            <w:r w:rsidRPr="00A61FF2">
              <w:t>y chain are analysed.</w:t>
            </w:r>
          </w:p>
          <w:p w:rsidR="00000000" w:rsidRPr="00A61FF2" w:rsidP="00A61FF2">
            <w:pPr>
              <w:pStyle w:val="List"/>
            </w:pPr>
            <w:r w:rsidRPr="00A61FF2">
              <w:t>1.5.</w:t>
            </w:r>
            <w:r w:rsidRPr="00A61FF2">
              <w:tab/>
              <w:t>Environmental, sustainability and corporate social responsibility factors affecting the supply market are identified and analysed.</w:t>
            </w:r>
          </w:p>
          <w:p w:rsidR="00000000" w:rsidP="00A61FF2">
            <w:pPr>
              <w:pStyle w:val="List"/>
              <w:rPr>
                <w:lang w:val="en-NZ"/>
              </w:rPr>
            </w:pPr>
            <w:r w:rsidRPr="00A61FF2">
              <w:t>1.6.</w:t>
            </w:r>
            <w:r w:rsidRPr="00A61FF2">
              <w:tab/>
              <w:t>Expert assistance is engaged as necessary to assist with market analysis.</w:t>
            </w:r>
          </w:p>
        </w:tc>
      </w:tr>
      <w:tr w:rsidTr="002A2936">
        <w:tblPrEx>
          <w:tblW w:w="0" w:type="auto"/>
          <w:tblLayout w:type="fixed"/>
          <w:tblCellMar>
            <w:left w:w="62" w:type="dxa"/>
            <w:right w:w="62" w:type="dxa"/>
          </w:tblCellMar>
          <w:tblLook w:val="0000"/>
        </w:tblPrEx>
        <w:tc>
          <w:tcPr>
            <w:tcW w:w="2578" w:type="dxa"/>
            <w:tcBorders>
              <w:top w:val="nil"/>
              <w:left w:val="nil"/>
              <w:bottom w:val="nil"/>
              <w:right w:val="nil"/>
            </w:tcBorders>
            <w:tcMar>
              <w:top w:w="0" w:type="dxa"/>
              <w:left w:w="62" w:type="dxa"/>
              <w:bottom w:w="0" w:type="dxa"/>
              <w:right w:w="62" w:type="dxa"/>
            </w:tcMar>
          </w:tcPr>
          <w:p w:rsidR="00000000" w:rsidP="00A61FF2">
            <w:pPr>
              <w:pStyle w:val="List"/>
              <w:rPr>
                <w:lang w:val="en-NZ"/>
              </w:rPr>
            </w:pPr>
            <w:r w:rsidRPr="00A61FF2">
              <w:rPr>
                <w:rStyle w:val="SpecialBold"/>
              </w:rPr>
              <w:t>2.</w:t>
            </w:r>
            <w:r w:rsidRPr="00A61FF2">
              <w:rPr>
                <w:rStyle w:val="SpecialBold"/>
              </w:rPr>
              <w:tab/>
              <w:t>Influence and d</w:t>
            </w:r>
            <w:r w:rsidRPr="00A61FF2">
              <w:rPr>
                <w:rStyle w:val="SpecialBold"/>
              </w:rPr>
              <w:t>evelop markets</w:t>
            </w:r>
          </w:p>
        </w:tc>
        <w:tc>
          <w:tcPr>
            <w:tcW w:w="5948" w:type="dxa"/>
            <w:tcBorders>
              <w:top w:val="nil"/>
              <w:left w:val="nil"/>
              <w:bottom w:val="nil"/>
              <w:right w:val="nil"/>
            </w:tcBorders>
            <w:tcMar>
              <w:top w:w="0" w:type="dxa"/>
              <w:left w:w="62" w:type="dxa"/>
              <w:bottom w:w="0" w:type="dxa"/>
              <w:right w:w="62" w:type="dxa"/>
            </w:tcMar>
          </w:tcPr>
          <w:p w:rsidR="00000000" w:rsidRPr="00A61FF2" w:rsidP="00A61FF2">
            <w:pPr>
              <w:pStyle w:val="List"/>
            </w:pPr>
            <w:r w:rsidRPr="00A61FF2">
              <w:t>2.1.</w:t>
            </w:r>
            <w:r w:rsidRPr="00A61FF2">
              <w:tab/>
              <w:t>Supply markets and strategic industries are identified and analysed to identify emerging and predicted trends.</w:t>
            </w:r>
          </w:p>
          <w:p w:rsidR="00000000" w:rsidRPr="00A61FF2" w:rsidP="00A61FF2">
            <w:pPr>
              <w:pStyle w:val="List"/>
            </w:pPr>
            <w:r w:rsidRPr="00A61FF2">
              <w:t>2.2.</w:t>
            </w:r>
            <w:r w:rsidRPr="00A61FF2">
              <w:tab/>
              <w:t xml:space="preserve">Analysis of supply markets and strategic industries is undertaken, including </w:t>
            </w:r>
            <w:r w:rsidRPr="00A61FF2">
              <w:rPr>
                <w:rStyle w:val="BoldandItalics"/>
              </w:rPr>
              <w:t>capabilities</w:t>
            </w:r>
            <w:r w:rsidRPr="00A61FF2">
              <w:t>, limitations, financial standi</w:t>
            </w:r>
            <w:r w:rsidRPr="00A61FF2">
              <w:t xml:space="preserve">ng and past performance of existing and potential suppliers. </w:t>
            </w:r>
          </w:p>
          <w:p w:rsidR="00000000" w:rsidRPr="00A61FF2" w:rsidP="00A61FF2">
            <w:pPr>
              <w:pStyle w:val="List"/>
            </w:pPr>
            <w:r w:rsidRPr="00A61FF2">
              <w:t>2.3.</w:t>
            </w:r>
            <w:r w:rsidRPr="00A61FF2">
              <w:tab/>
              <w:t>Range of strategies, within probity boundaries, is used to influence markets.</w:t>
            </w:r>
          </w:p>
          <w:p w:rsidR="00000000" w:rsidRPr="00A61FF2" w:rsidP="00A61FF2">
            <w:pPr>
              <w:pStyle w:val="List"/>
            </w:pPr>
            <w:r w:rsidRPr="00A61FF2">
              <w:t>2.4.</w:t>
            </w:r>
            <w:r w:rsidRPr="00A61FF2">
              <w:tab/>
            </w:r>
            <w:r w:rsidRPr="00A61FF2">
              <w:rPr>
                <w:rStyle w:val="BoldandItalics"/>
              </w:rPr>
              <w:t>Market development strategies</w:t>
            </w:r>
            <w:r w:rsidRPr="00A61FF2">
              <w:t xml:space="preserve"> are used to develop and influence market capability within probity boundarie</w:t>
            </w:r>
            <w:r w:rsidRPr="00A61FF2">
              <w:t>s.</w:t>
            </w:r>
          </w:p>
          <w:p w:rsidR="00000000" w:rsidP="00A61FF2">
            <w:pPr>
              <w:pStyle w:val="List"/>
              <w:rPr>
                <w:lang w:val="en-NZ"/>
              </w:rPr>
            </w:pPr>
            <w:r w:rsidRPr="00A61FF2">
              <w:t>2.5.</w:t>
            </w:r>
            <w:r w:rsidRPr="00A61FF2">
              <w:tab/>
              <w:t xml:space="preserve">Implications of procurement threats and opportunities imposed by supply markets are identified and communicated to </w:t>
            </w:r>
            <w:r w:rsidRPr="00A61FF2">
              <w:rPr>
                <w:rStyle w:val="BoldandItalics"/>
              </w:rPr>
              <w:t>stakeholders</w:t>
            </w:r>
            <w:r w:rsidRPr="00A61FF2">
              <w:t xml:space="preserve"> according to organisational guidelines and public sector standards.</w:t>
            </w:r>
          </w:p>
        </w:tc>
      </w:tr>
      <w:tr w:rsidTr="002A2936">
        <w:tblPrEx>
          <w:tblW w:w="0" w:type="auto"/>
          <w:tblLayout w:type="fixed"/>
          <w:tblCellMar>
            <w:left w:w="62" w:type="dxa"/>
            <w:right w:w="62" w:type="dxa"/>
          </w:tblCellMar>
          <w:tblLook w:val="0000"/>
        </w:tblPrEx>
        <w:tc>
          <w:tcPr>
            <w:tcW w:w="2578" w:type="dxa"/>
            <w:tcBorders>
              <w:top w:val="nil"/>
              <w:left w:val="nil"/>
              <w:bottom w:val="nil"/>
              <w:right w:val="nil"/>
            </w:tcBorders>
            <w:tcMar>
              <w:top w:w="0" w:type="dxa"/>
              <w:left w:w="62" w:type="dxa"/>
              <w:bottom w:w="0" w:type="dxa"/>
              <w:right w:w="62" w:type="dxa"/>
            </w:tcMar>
          </w:tcPr>
          <w:p w:rsidR="00000000" w:rsidP="00A61FF2">
            <w:pPr>
              <w:pStyle w:val="List"/>
              <w:rPr>
                <w:lang w:val="en-NZ"/>
              </w:rPr>
            </w:pPr>
            <w:r w:rsidRPr="00A61FF2">
              <w:rPr>
                <w:rStyle w:val="SpecialBold"/>
              </w:rPr>
              <w:t>3.</w:t>
            </w:r>
            <w:r w:rsidRPr="00A61FF2">
              <w:rPr>
                <w:rStyle w:val="SpecialBold"/>
              </w:rPr>
              <w:tab/>
              <w:t>Implement strategic procurement activities</w:t>
            </w:r>
          </w:p>
        </w:tc>
        <w:tc>
          <w:tcPr>
            <w:tcW w:w="5948" w:type="dxa"/>
            <w:tcBorders>
              <w:top w:val="nil"/>
              <w:left w:val="nil"/>
              <w:bottom w:val="nil"/>
              <w:right w:val="nil"/>
            </w:tcBorders>
            <w:tcMar>
              <w:top w:w="0" w:type="dxa"/>
              <w:left w:w="62" w:type="dxa"/>
              <w:bottom w:w="0" w:type="dxa"/>
              <w:right w:w="62" w:type="dxa"/>
            </w:tcMar>
          </w:tcPr>
          <w:p w:rsidR="00000000" w:rsidRPr="00A61FF2" w:rsidP="00A61FF2">
            <w:pPr>
              <w:pStyle w:val="List"/>
            </w:pPr>
            <w:r w:rsidRPr="00A61FF2">
              <w:t>3.1.</w:t>
            </w:r>
            <w:r w:rsidRPr="00A61FF2">
              <w:tab/>
            </w:r>
            <w:r w:rsidRPr="00A61FF2">
              <w:t>Procurement methodologies are determined according to organisation's strategic procurement plan.</w:t>
            </w:r>
          </w:p>
          <w:p w:rsidR="00000000" w:rsidRPr="00A61FF2" w:rsidP="00A61FF2">
            <w:pPr>
              <w:pStyle w:val="List"/>
            </w:pPr>
            <w:r w:rsidRPr="00A61FF2">
              <w:t>3.2.</w:t>
            </w:r>
            <w:r w:rsidRPr="00A61FF2">
              <w:tab/>
              <w:t xml:space="preserve">Requirements are designed to deliver business outcomes and provide value for money, including </w:t>
            </w:r>
            <w:r w:rsidRPr="00A61FF2">
              <w:rPr>
                <w:rStyle w:val="BoldandItalics"/>
              </w:rPr>
              <w:t>whole</w:t>
            </w:r>
            <w:r w:rsidRPr="00A61FF2">
              <w:t>-</w:t>
            </w:r>
            <w:r w:rsidRPr="00A61FF2">
              <w:rPr>
                <w:rStyle w:val="BoldandItalics"/>
              </w:rPr>
              <w:t>of</w:t>
            </w:r>
            <w:r w:rsidRPr="00A61FF2">
              <w:t>-</w:t>
            </w:r>
            <w:r w:rsidRPr="00A61FF2">
              <w:rPr>
                <w:rStyle w:val="BoldandItalics"/>
              </w:rPr>
              <w:t>life considerations</w:t>
            </w:r>
            <w:r w:rsidRPr="00A61FF2">
              <w:t>.</w:t>
            </w:r>
          </w:p>
          <w:p w:rsidR="00000000" w:rsidRPr="00A61FF2" w:rsidP="00A61FF2">
            <w:pPr>
              <w:pStyle w:val="List"/>
            </w:pPr>
            <w:r w:rsidRPr="00A61FF2">
              <w:t>3.3.</w:t>
            </w:r>
            <w:r w:rsidRPr="00A61FF2">
              <w:tab/>
              <w:t xml:space="preserve">Methodologies are guided </w:t>
            </w:r>
            <w:r w:rsidRPr="00A61FF2">
              <w:t>by constraints, complexity and importance of procurement requirement and the marketplace.</w:t>
            </w:r>
          </w:p>
          <w:p w:rsidR="00000000" w:rsidRPr="00A61FF2" w:rsidP="00A61FF2">
            <w:pPr>
              <w:pStyle w:val="List"/>
            </w:pPr>
            <w:r w:rsidRPr="00A61FF2">
              <w:t>3.4.</w:t>
            </w:r>
            <w:r w:rsidRPr="00A61FF2">
              <w:tab/>
              <w:t xml:space="preserve">Procurement activities are determined and </w:t>
            </w:r>
            <w:r w:rsidRPr="00A61FF2">
              <w:rPr>
                <w:rStyle w:val="BoldandItalics"/>
              </w:rPr>
              <w:t>teams</w:t>
            </w:r>
            <w:r w:rsidRPr="00A61FF2">
              <w:t xml:space="preserve"> are formed and coordinated to manage strategic </w:t>
            </w:r>
            <w:r w:rsidRPr="00A61FF2">
              <w:t xml:space="preserve">procurement activities. </w:t>
            </w:r>
          </w:p>
          <w:p w:rsidR="00000000" w:rsidRPr="00A61FF2" w:rsidP="00A61FF2">
            <w:pPr>
              <w:pStyle w:val="List"/>
            </w:pPr>
            <w:r w:rsidRPr="00A61FF2">
              <w:t>3.5.</w:t>
            </w:r>
            <w:r w:rsidRPr="00A61FF2">
              <w:tab/>
            </w:r>
            <w:r w:rsidRPr="00A61FF2">
              <w:rPr>
                <w:rStyle w:val="BoldandItalics"/>
              </w:rPr>
              <w:t>Performance measures</w:t>
            </w:r>
            <w:r w:rsidRPr="00A61FF2">
              <w:t xml:space="preserve"> are determined </w:t>
            </w:r>
            <w:r w:rsidRPr="00A61FF2">
              <w:t xml:space="preserve">to suit the </w:t>
            </w:r>
            <w:r w:rsidRPr="00A61FF2">
              <w:rPr>
                <w:rStyle w:val="BoldandItalics"/>
              </w:rPr>
              <w:t>range of procurement activities</w:t>
            </w:r>
            <w:r w:rsidRPr="00A61FF2">
              <w:t xml:space="preserve">. </w:t>
            </w:r>
          </w:p>
          <w:p w:rsidR="00000000" w:rsidRPr="00A61FF2" w:rsidP="00A61FF2">
            <w:pPr>
              <w:pStyle w:val="List"/>
            </w:pPr>
            <w:r w:rsidRPr="00A61FF2">
              <w:t>3.6.</w:t>
            </w:r>
            <w:r w:rsidRPr="00A61FF2">
              <w:tab/>
              <w:t xml:space="preserve">Performance is analysed against measures, and a cycle of continuous improvement is implemented to improve procurement performance. </w:t>
            </w:r>
          </w:p>
        </w:tc>
      </w:tr>
    </w:tbl>
    <w:p w:rsidR="00000000" w:rsidRPr="00A61FF2" w:rsidP="00A61FF2">
      <w:pPr>
        <w:pStyle w:val="BodyText"/>
      </w:pPr>
    </w:p>
    <w:p w:rsidR="00000000" w:rsidRPr="00A61FF2" w:rsidP="00A61FF2">
      <w:pPr>
        <w:pStyle w:val="AllowPageBreak"/>
      </w:pPr>
    </w:p>
    <w:p w:rsidR="00000000" w:rsidRPr="00A61FF2" w:rsidP="00A61FF2">
      <w:pPr>
        <w:pStyle w:val="Heading1"/>
      </w:pPr>
      <w:bookmarkStart w:id="9" w:name="O_411138"/>
      <w:bookmarkEnd w:id="9"/>
      <w:r w:rsidRPr="00A61FF2">
        <w:t>Required Skills and Knowledge</w:t>
      </w:r>
    </w:p>
    <w:tbl>
      <w:tblPr>
        <w:tblW w:w="0" w:type="auto"/>
        <w:tblLayout w:type="fixed"/>
        <w:tblCellMar>
          <w:left w:w="62" w:type="dxa"/>
          <w:right w:w="62" w:type="dxa"/>
        </w:tblCellMar>
        <w:tblLook w:val="0000"/>
      </w:tblPr>
      <w:tblGrid>
        <w:gridCol w:w="8522"/>
      </w:tblGrid>
      <w:tr w:rsidTr="002A293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61FF2">
            <w:pPr>
              <w:pStyle w:val="BodyText"/>
              <w:rPr>
                <w:lang w:val="en-NZ"/>
              </w:rPr>
            </w:pPr>
            <w:r w:rsidRPr="00A61FF2">
              <w:t>This section describes t</w:t>
            </w:r>
            <w:r w:rsidRPr="00A61FF2">
              <w:t>he skills and knowledge required for this unit.</w:t>
            </w:r>
          </w:p>
        </w:tc>
      </w:tr>
      <w:tr w:rsidTr="002A293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61FF2">
            <w:pPr>
              <w:pStyle w:val="BodyText"/>
              <w:rPr>
                <w:lang w:val="en-NZ"/>
              </w:rPr>
            </w:pPr>
            <w:r w:rsidRPr="00A61FF2">
              <w:rPr>
                <w:rStyle w:val="SpecialBold"/>
              </w:rPr>
              <w:t>Required skills</w:t>
            </w:r>
          </w:p>
        </w:tc>
      </w:tr>
      <w:tr w:rsidTr="002A293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61FF2" w:rsidP="00A61FF2">
            <w:pPr>
              <w:pStyle w:val="ListBullet"/>
            </w:pPr>
            <w:r w:rsidRPr="00A61FF2">
              <w:t>communication skills to:</w:t>
            </w:r>
          </w:p>
          <w:p w:rsidR="00000000" w:rsidRPr="00A61FF2" w:rsidP="00A61FF2">
            <w:pPr>
              <w:pStyle w:val="ListBullet2"/>
            </w:pPr>
            <w:r w:rsidRPr="00A61FF2">
              <w:t>consult and negotiate with stakeholders</w:t>
            </w:r>
          </w:p>
          <w:p w:rsidR="00000000" w:rsidRPr="00A61FF2" w:rsidP="00A61FF2">
            <w:pPr>
              <w:pStyle w:val="ListBullet2"/>
            </w:pPr>
            <w:r w:rsidRPr="00A61FF2">
              <w:t>network, within probity boundaries, with stakeholders</w:t>
            </w:r>
          </w:p>
          <w:p w:rsidR="00000000" w:rsidRPr="00A61FF2" w:rsidP="00A61FF2">
            <w:pPr>
              <w:pStyle w:val="ListBullet2"/>
            </w:pPr>
            <w:r w:rsidRPr="00A61FF2">
              <w:t>build and manage effective working relationships</w:t>
            </w:r>
          </w:p>
          <w:p w:rsidR="00000000" w:rsidRPr="00A61FF2" w:rsidP="00A61FF2">
            <w:pPr>
              <w:pStyle w:val="ListBullet2"/>
            </w:pPr>
            <w:r w:rsidRPr="00A61FF2">
              <w:t>write business cases, plans, reports, submissions and other complex documents</w:t>
            </w:r>
          </w:p>
          <w:p w:rsidR="00000000" w:rsidRPr="00A61FF2" w:rsidP="00A61FF2">
            <w:pPr>
              <w:pStyle w:val="ListBullet2"/>
            </w:pPr>
            <w:r w:rsidRPr="00A61FF2">
              <w:t>read complex documents, such as contracts, legislation and guidelines</w:t>
            </w:r>
          </w:p>
          <w:p w:rsidR="00000000" w:rsidRPr="00A61FF2" w:rsidP="00A61FF2">
            <w:pPr>
              <w:pStyle w:val="ListBullet2"/>
            </w:pPr>
            <w:r w:rsidRPr="00A61FF2">
              <w:t>provide feedback</w:t>
            </w:r>
          </w:p>
          <w:p w:rsidR="00000000" w:rsidRPr="00A61FF2" w:rsidP="00A61FF2">
            <w:pPr>
              <w:pStyle w:val="ListBullet"/>
            </w:pPr>
            <w:r w:rsidRPr="00A61FF2">
              <w:t>teamwork skills to:</w:t>
            </w:r>
          </w:p>
          <w:p w:rsidR="00000000" w:rsidRPr="00A61FF2" w:rsidP="00A61FF2">
            <w:pPr>
              <w:pStyle w:val="ListBullet2"/>
            </w:pPr>
            <w:r w:rsidRPr="00A61FF2">
              <w:t>manage teams of experts in functions such as finance, legal, technical and engineering</w:t>
            </w:r>
          </w:p>
          <w:p w:rsidR="00000000" w:rsidRPr="00A61FF2" w:rsidP="00A61FF2">
            <w:pPr>
              <w:pStyle w:val="ListBullet2"/>
            </w:pPr>
            <w:r w:rsidRPr="00A61FF2">
              <w:t>manage strategic relationships</w:t>
            </w:r>
          </w:p>
          <w:p w:rsidR="00000000" w:rsidRPr="00A61FF2" w:rsidP="00A61FF2">
            <w:pPr>
              <w:pStyle w:val="ListBullet2"/>
            </w:pPr>
            <w:r w:rsidRPr="00A61FF2">
              <w:t>model effective management and leadership approaches</w:t>
            </w:r>
          </w:p>
          <w:p w:rsidR="00000000" w:rsidRPr="00A61FF2" w:rsidP="00A61FF2">
            <w:pPr>
              <w:pStyle w:val="ListBullet2"/>
            </w:pPr>
            <w:r w:rsidRPr="00A61FF2">
              <w:t>respond to diversity</w:t>
            </w:r>
          </w:p>
          <w:p w:rsidR="00000000" w:rsidRPr="00A61FF2" w:rsidP="00A61FF2">
            <w:pPr>
              <w:pStyle w:val="ListBullet2"/>
            </w:pPr>
            <w:r w:rsidRPr="00A61FF2">
              <w:t>refer issues to the correct person</w:t>
            </w:r>
          </w:p>
          <w:p w:rsidR="00000000" w:rsidRPr="00A61FF2" w:rsidP="00A61FF2">
            <w:pPr>
              <w:pStyle w:val="ListBullet"/>
            </w:pPr>
            <w:r w:rsidRPr="00A61FF2">
              <w:t xml:space="preserve">problem-solving skills to: </w:t>
            </w:r>
          </w:p>
          <w:p w:rsidR="00000000" w:rsidRPr="00A61FF2" w:rsidP="00A61FF2">
            <w:pPr>
              <w:pStyle w:val="ListBullet2"/>
            </w:pPr>
            <w:r w:rsidRPr="00A61FF2">
              <w:t>apply decision-making processes or methodologies</w:t>
            </w:r>
          </w:p>
          <w:p w:rsidR="00000000" w:rsidRPr="00A61FF2" w:rsidP="00A61FF2">
            <w:pPr>
              <w:pStyle w:val="ListBullet2"/>
            </w:pPr>
            <w:r w:rsidRPr="00A61FF2">
              <w:t>identify and resolve strategic procurement issues</w:t>
            </w:r>
          </w:p>
          <w:p w:rsidR="00000000" w:rsidRPr="00A61FF2" w:rsidP="00A61FF2">
            <w:pPr>
              <w:pStyle w:val="ListBullet"/>
            </w:pPr>
            <w:r w:rsidRPr="00A61FF2">
              <w:t>initiative and enterprise skills to:</w:t>
            </w:r>
          </w:p>
          <w:p w:rsidR="00000000" w:rsidRPr="00A61FF2" w:rsidP="00A61FF2">
            <w:pPr>
              <w:pStyle w:val="ListBullet2"/>
            </w:pPr>
            <w:r w:rsidRPr="00A61FF2">
              <w:t>identify and assess opportunities for development of strategic markets/industries</w:t>
            </w:r>
          </w:p>
          <w:p w:rsidR="00000000" w:rsidRPr="00A61FF2" w:rsidP="00A61FF2">
            <w:pPr>
              <w:pStyle w:val="ListBullet2"/>
            </w:pPr>
            <w:r w:rsidRPr="00A61FF2">
              <w:t>apply OHS, environmental, sustainab</w:t>
            </w:r>
            <w:r w:rsidRPr="00A61FF2">
              <w:t>ility and corporate social responsibility practices in the context of strategic procurement</w:t>
            </w:r>
          </w:p>
          <w:p w:rsidR="00000000" w:rsidRPr="00A61FF2" w:rsidP="00A61FF2">
            <w:pPr>
              <w:pStyle w:val="ListBullet"/>
            </w:pPr>
            <w:r w:rsidRPr="00A61FF2">
              <w:t>planning and organising skills to:</w:t>
            </w:r>
          </w:p>
          <w:p w:rsidR="00000000" w:rsidRPr="00A61FF2" w:rsidP="00A61FF2">
            <w:pPr>
              <w:pStyle w:val="ListBullet2"/>
            </w:pPr>
            <w:r w:rsidRPr="00A61FF2">
              <w:t>undertake research and business analysis</w:t>
            </w:r>
          </w:p>
          <w:p w:rsidR="00000000" w:rsidRPr="00A61FF2" w:rsidP="00A61FF2">
            <w:pPr>
              <w:pStyle w:val="ListBullet2"/>
            </w:pPr>
            <w:r w:rsidRPr="00A61FF2">
              <w:t>manage financial and other resources</w:t>
            </w:r>
          </w:p>
          <w:p w:rsidR="00000000" w:rsidRPr="00A61FF2" w:rsidP="00A61FF2">
            <w:pPr>
              <w:pStyle w:val="ListBullet2"/>
            </w:pPr>
            <w:r w:rsidRPr="00A61FF2">
              <w:t xml:space="preserve">manage procurement projects </w:t>
            </w:r>
          </w:p>
          <w:p w:rsidR="00000000" w:rsidRPr="00A61FF2" w:rsidP="00A61FF2">
            <w:pPr>
              <w:pStyle w:val="ListBullet"/>
            </w:pPr>
            <w:r w:rsidRPr="00A61FF2">
              <w:t>learning skills to keep up-to-date with:</w:t>
            </w:r>
          </w:p>
          <w:p w:rsidR="00000000" w:rsidRPr="00A61FF2" w:rsidP="00A61FF2">
            <w:pPr>
              <w:pStyle w:val="ListBullet2"/>
            </w:pPr>
            <w:r w:rsidRPr="00A61FF2">
              <w:t>best practice examples in strategic procurement</w:t>
            </w:r>
          </w:p>
          <w:p w:rsidR="00000000" w:rsidRPr="00A61FF2" w:rsidP="00A61FF2">
            <w:pPr>
              <w:pStyle w:val="ListBullet2"/>
            </w:pPr>
            <w:r w:rsidRPr="00A61FF2">
              <w:t>relevant procurement legislation, policies and procedures</w:t>
            </w:r>
          </w:p>
          <w:p w:rsidR="00000000" w:rsidRPr="00A61FF2" w:rsidP="00A61FF2">
            <w:pPr>
              <w:pStyle w:val="ListBullet"/>
            </w:pPr>
            <w:r w:rsidRPr="00A61FF2">
              <w:t>technology skills to:</w:t>
            </w:r>
          </w:p>
          <w:p w:rsidR="00000000" w:rsidRPr="00A61FF2" w:rsidP="00A61FF2">
            <w:pPr>
              <w:pStyle w:val="ListBullet2"/>
            </w:pPr>
            <w:r w:rsidRPr="00A61FF2">
              <w:t>operate organisational IT systems</w:t>
            </w:r>
          </w:p>
          <w:p w:rsidR="00000000" w:rsidP="00A61FF2">
            <w:pPr>
              <w:pStyle w:val="ListBullet2"/>
              <w:rPr>
                <w:lang w:val="en-NZ"/>
              </w:rPr>
            </w:pPr>
            <w:r w:rsidRPr="00A61FF2">
              <w:t>use electronic procurement templates</w:t>
            </w:r>
          </w:p>
        </w:tc>
      </w:tr>
      <w:tr w:rsidTr="002A293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61FF2">
            <w:pPr>
              <w:pStyle w:val="BodyText"/>
              <w:rPr>
                <w:lang w:val="en-NZ"/>
              </w:rPr>
            </w:pPr>
            <w:r w:rsidRPr="00A61FF2">
              <w:rPr>
                <w:rStyle w:val="SpecialBold"/>
              </w:rPr>
              <w:t>Required knowledge</w:t>
            </w:r>
          </w:p>
        </w:tc>
      </w:tr>
      <w:tr w:rsidTr="002A293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61FF2" w:rsidP="00A61FF2">
            <w:pPr>
              <w:pStyle w:val="ListBullet"/>
            </w:pPr>
            <w:r w:rsidRPr="00A61FF2">
              <w:t>commonwealth, state or territory, and local government legislation, policies, practices and guidelines:</w:t>
            </w:r>
          </w:p>
          <w:p w:rsidR="00000000" w:rsidRPr="00A61FF2" w:rsidP="00A61FF2">
            <w:pPr>
              <w:pStyle w:val="ListBullet2"/>
            </w:pPr>
            <w:r w:rsidRPr="00A61FF2">
              <w:t xml:space="preserve">relating to strategic procurement </w:t>
            </w:r>
          </w:p>
          <w:p w:rsidR="00000000" w:rsidRPr="00A61FF2" w:rsidP="00A61FF2">
            <w:pPr>
              <w:pStyle w:val="ListBullet2"/>
            </w:pPr>
            <w:r w:rsidRPr="00A61FF2">
              <w:t>such as OHS and equity and diversity</w:t>
            </w:r>
          </w:p>
          <w:p w:rsidR="00000000" w:rsidRPr="00A61FF2" w:rsidP="00A61FF2">
            <w:pPr>
              <w:pStyle w:val="ListBullet"/>
            </w:pPr>
            <w:r w:rsidRPr="00A61FF2">
              <w:t>organisational procurement policies, practices and approv</w:t>
            </w:r>
            <w:r w:rsidRPr="00A61FF2">
              <w:t>al processes</w:t>
            </w:r>
          </w:p>
          <w:p w:rsidR="00000000" w:rsidRPr="00A61FF2" w:rsidP="00A61FF2">
            <w:pPr>
              <w:pStyle w:val="ListBullet"/>
            </w:pPr>
            <w:r w:rsidRPr="00A61FF2">
              <w:t>aspects of contract law, trade practices law, and commercial law relating to contract management in the context of strategic procurement</w:t>
            </w:r>
          </w:p>
          <w:p w:rsidR="00000000" w:rsidRPr="00A61FF2" w:rsidP="00A61FF2">
            <w:pPr>
              <w:pStyle w:val="ListBullet"/>
            </w:pPr>
            <w:r w:rsidRPr="00A61FF2">
              <w:t xml:space="preserve">probity principles and issues </w:t>
            </w:r>
          </w:p>
          <w:p w:rsidR="00000000" w:rsidRPr="00A61FF2" w:rsidP="00A61FF2">
            <w:pPr>
              <w:pStyle w:val="ListBullet"/>
            </w:pPr>
            <w:r w:rsidRPr="00A61FF2">
              <w:t>codes of conduct, codes of practice and standards of individual behaviour relating to procurement</w:t>
            </w:r>
          </w:p>
          <w:p w:rsidR="00000000" w:rsidRPr="00A61FF2" w:rsidP="00A61FF2">
            <w:pPr>
              <w:pStyle w:val="ListBullet"/>
            </w:pPr>
            <w:r w:rsidRPr="00A61FF2">
              <w:t xml:space="preserve">government procurement environment </w:t>
            </w:r>
          </w:p>
          <w:p w:rsidR="00000000" w:rsidRPr="00A61FF2" w:rsidP="00A61FF2">
            <w:pPr>
              <w:pStyle w:val="ListBullet"/>
            </w:pPr>
            <w:r w:rsidRPr="00A61FF2">
              <w:t>competition policy theory, including competitive neutrality</w:t>
            </w:r>
          </w:p>
          <w:p w:rsidR="00000000" w:rsidRPr="00A61FF2" w:rsidP="00A61FF2">
            <w:pPr>
              <w:pStyle w:val="ListBullet"/>
            </w:pPr>
            <w:r w:rsidRPr="00A61FF2">
              <w:t>supply chain management</w:t>
            </w:r>
          </w:p>
          <w:p w:rsidR="00000000" w:rsidRPr="00A61FF2" w:rsidP="00A61FF2">
            <w:pPr>
              <w:pStyle w:val="ListBullet"/>
            </w:pPr>
            <w:r w:rsidRPr="00A61FF2">
              <w:t>legal requirements of government procu</w:t>
            </w:r>
            <w:r w:rsidRPr="00A61FF2">
              <w:t>rement</w:t>
            </w:r>
          </w:p>
          <w:p w:rsidR="00000000" w:rsidRPr="00A61FF2" w:rsidP="00A61FF2">
            <w:pPr>
              <w:pStyle w:val="ListBullet"/>
            </w:pPr>
            <w:r w:rsidRPr="00A61FF2">
              <w:t>financial rules and regulations</w:t>
            </w:r>
          </w:p>
          <w:p w:rsidR="00000000" w:rsidRPr="00A61FF2" w:rsidP="00A61FF2">
            <w:pPr>
              <w:pStyle w:val="ListBullet"/>
            </w:pPr>
            <w:r w:rsidRPr="00A61FF2">
              <w:t>implications of particular market arrangements</w:t>
            </w:r>
          </w:p>
          <w:p w:rsidR="00000000" w:rsidRPr="00A61FF2" w:rsidP="00A61FF2">
            <w:pPr>
              <w:pStyle w:val="ListBullet"/>
            </w:pPr>
            <w:r w:rsidRPr="00A61FF2">
              <w:t>whole-of-life considerations</w:t>
            </w:r>
          </w:p>
          <w:p w:rsidR="00000000" w:rsidRPr="00A61FF2" w:rsidP="00A61FF2">
            <w:pPr>
              <w:pStyle w:val="ListBullet"/>
            </w:pPr>
            <w:r w:rsidRPr="00A61FF2">
              <w:t>supplier issues and supply chain management in the context of strategic procurement</w:t>
            </w:r>
          </w:p>
          <w:p w:rsidR="00000000" w:rsidRPr="00A61FF2" w:rsidP="00A61FF2">
            <w:pPr>
              <w:pStyle w:val="ListBullet"/>
            </w:pPr>
            <w:r w:rsidRPr="00A61FF2">
              <w:t xml:space="preserve">procurement management processes </w:t>
            </w:r>
          </w:p>
          <w:p w:rsidR="00000000" w:rsidRPr="00A61FF2" w:rsidP="00A61FF2">
            <w:pPr>
              <w:pStyle w:val="ListBullet"/>
            </w:pPr>
            <w:r w:rsidRPr="00A61FF2">
              <w:t>cultural issues relatin</w:t>
            </w:r>
            <w:r w:rsidRPr="00A61FF2">
              <w:t>g to strategic procurement and industry development</w:t>
            </w:r>
          </w:p>
          <w:p w:rsidR="00000000" w:rsidRPr="00A61FF2" w:rsidP="00A61FF2">
            <w:pPr>
              <w:pStyle w:val="ListBullet"/>
            </w:pPr>
            <w:r w:rsidRPr="00A61FF2">
              <w:t>relationship management at all personnel levels</w:t>
            </w:r>
          </w:p>
          <w:p w:rsidR="00000000" w:rsidRPr="00A61FF2" w:rsidP="00A61FF2">
            <w:pPr>
              <w:pStyle w:val="ListBullet"/>
            </w:pPr>
            <w:r w:rsidRPr="00A61FF2">
              <w:t>environmental, sustainability and corporate social responsibility principles relevant to strategic procurement</w:t>
            </w:r>
          </w:p>
        </w:tc>
      </w:tr>
    </w:tbl>
    <w:p w:rsidR="00000000" w:rsidRPr="00A61FF2" w:rsidP="00A61FF2">
      <w:pPr>
        <w:pStyle w:val="BodyText"/>
      </w:pPr>
    </w:p>
    <w:p w:rsidR="00000000" w:rsidRPr="00A61FF2" w:rsidP="00A61FF2">
      <w:pPr>
        <w:pStyle w:val="AllowPageBreak"/>
      </w:pPr>
    </w:p>
    <w:p w:rsidR="00000000" w:rsidRPr="00A61FF2" w:rsidP="00A61FF2">
      <w:pPr>
        <w:pStyle w:val="Heading1"/>
      </w:pPr>
      <w:bookmarkStart w:id="10" w:name="O_411144"/>
      <w:bookmarkEnd w:id="10"/>
      <w:r w:rsidRPr="00A61FF2">
        <w:t>Evidence Guide</w:t>
      </w:r>
    </w:p>
    <w:tbl>
      <w:tblPr>
        <w:tblW w:w="9288" w:type="dxa"/>
        <w:tblLayout w:type="fixed"/>
        <w:tblCellMar>
          <w:left w:w="62" w:type="dxa"/>
          <w:right w:w="62" w:type="dxa"/>
        </w:tblCellMar>
        <w:tblLook w:val="0000"/>
      </w:tblPr>
      <w:tblGrid>
        <w:gridCol w:w="2822"/>
        <w:gridCol w:w="6466"/>
      </w:tblGrid>
      <w:tr w:rsidTr="002A2936">
        <w:tblPrEx>
          <w:tblW w:w="9288" w:type="dxa"/>
          <w:tblLayout w:type="fixed"/>
          <w:tblCellMar>
            <w:left w:w="62" w:type="dxa"/>
            <w:right w:w="62" w:type="dxa"/>
          </w:tblCellMar>
          <w:tblLook w:val="0000"/>
        </w:tblPrEx>
        <w:tc>
          <w:tcPr>
            <w:tcW w:w="9288" w:type="dxa"/>
            <w:gridSpan w:val="2"/>
            <w:tcBorders>
              <w:top w:val="nil"/>
              <w:left w:val="nil"/>
              <w:bottom w:val="nil"/>
              <w:right w:val="nil"/>
            </w:tcBorders>
            <w:tcMar>
              <w:top w:w="0" w:type="dxa"/>
              <w:left w:w="62" w:type="dxa"/>
              <w:bottom w:w="0" w:type="dxa"/>
              <w:right w:w="62" w:type="dxa"/>
            </w:tcMar>
          </w:tcPr>
          <w:p w:rsidR="00000000" w:rsidP="00A61FF2">
            <w:pPr>
              <w:pStyle w:val="BodyText"/>
              <w:rPr>
                <w:lang w:val="en-NZ"/>
              </w:rPr>
            </w:pPr>
            <w:r w:rsidRPr="00A61FF2">
              <w:t>The Evidence Guide provides advice on assessment and must be read in conjunction with the performance criteria, required skills and knowledge, range statement and the Assessment Guidelines for the Training Package.</w:t>
            </w:r>
          </w:p>
        </w:tc>
      </w:tr>
      <w:tr w:rsidTr="002A2936">
        <w:tblPrEx>
          <w:tblW w:w="9288" w:type="dxa"/>
          <w:tblLayout w:type="fixed"/>
          <w:tblCellMar>
            <w:left w:w="62" w:type="dxa"/>
            <w:right w:w="62" w:type="dxa"/>
          </w:tblCellMar>
          <w:tblLook w:val="0000"/>
        </w:tblPrEx>
        <w:tc>
          <w:tcPr>
            <w:tcW w:w="2822" w:type="dxa"/>
            <w:tcBorders>
              <w:top w:val="nil"/>
              <w:left w:val="nil"/>
              <w:bottom w:val="nil"/>
              <w:right w:val="nil"/>
            </w:tcBorders>
            <w:tcMar>
              <w:top w:w="0" w:type="dxa"/>
              <w:left w:w="62" w:type="dxa"/>
              <w:bottom w:w="0" w:type="dxa"/>
              <w:right w:w="62" w:type="dxa"/>
            </w:tcMar>
          </w:tcPr>
          <w:p w:rsidR="00000000" w:rsidP="00A61FF2">
            <w:pPr>
              <w:pStyle w:val="BodyText"/>
              <w:rPr>
                <w:lang w:val="en-NZ"/>
              </w:rPr>
            </w:pPr>
            <w:r w:rsidRPr="00A61FF2">
              <w:rPr>
                <w:rStyle w:val="SpecialBold"/>
              </w:rPr>
              <w:t>Overview of assessment</w:t>
            </w:r>
          </w:p>
        </w:tc>
        <w:tc>
          <w:tcPr>
            <w:tcW w:w="6466" w:type="dxa"/>
            <w:tcBorders>
              <w:top w:val="nil"/>
              <w:left w:val="nil"/>
              <w:bottom w:val="nil"/>
              <w:right w:val="nil"/>
            </w:tcBorders>
            <w:tcMar>
              <w:top w:w="0" w:type="dxa"/>
              <w:left w:w="62" w:type="dxa"/>
              <w:bottom w:w="0" w:type="dxa"/>
              <w:right w:w="62" w:type="dxa"/>
            </w:tcMar>
          </w:tcPr>
          <w:p w:rsidR="00000000" w:rsidP="00A61FF2">
            <w:pPr>
              <w:pStyle w:val="BodyText"/>
              <w:rPr>
                <w:lang w:val="en-NZ"/>
              </w:rPr>
            </w:pPr>
            <w:r w:rsidRPr="00A61FF2">
              <w:t xml:space="preserve">Competency must </w:t>
            </w:r>
            <w:r w:rsidRPr="00A61FF2">
              <w:t>be demonstrated in the ability to coordinate strategic procurement consistently in accordance with legislative and organisational requirements.</w:t>
            </w:r>
          </w:p>
        </w:tc>
      </w:tr>
      <w:tr w:rsidTr="002A2936">
        <w:tblPrEx>
          <w:tblW w:w="9288" w:type="dxa"/>
          <w:tblLayout w:type="fixed"/>
          <w:tblCellMar>
            <w:left w:w="62" w:type="dxa"/>
            <w:right w:w="62" w:type="dxa"/>
          </w:tblCellMar>
          <w:tblLook w:val="0000"/>
        </w:tblPrEx>
        <w:tc>
          <w:tcPr>
            <w:tcW w:w="2822" w:type="dxa"/>
            <w:tcBorders>
              <w:top w:val="nil"/>
              <w:left w:val="nil"/>
              <w:bottom w:val="nil"/>
              <w:right w:val="nil"/>
            </w:tcBorders>
            <w:tcMar>
              <w:top w:w="0" w:type="dxa"/>
              <w:left w:w="62" w:type="dxa"/>
              <w:bottom w:w="0" w:type="dxa"/>
              <w:right w:w="62" w:type="dxa"/>
            </w:tcMar>
          </w:tcPr>
          <w:p w:rsidR="00000000" w:rsidP="00A61FF2">
            <w:pPr>
              <w:pStyle w:val="BodyText"/>
              <w:rPr>
                <w:lang w:val="en-NZ"/>
              </w:rPr>
            </w:pPr>
            <w:r w:rsidRPr="00A61FF2">
              <w:rPr>
                <w:rStyle w:val="SpecialBold"/>
              </w:rPr>
              <w:t>Critical aspects for assessment and evidence required to demonstrate competency in this unit</w:t>
            </w:r>
          </w:p>
        </w:tc>
        <w:tc>
          <w:tcPr>
            <w:tcW w:w="6466" w:type="dxa"/>
            <w:tcBorders>
              <w:top w:val="nil"/>
              <w:left w:val="nil"/>
              <w:bottom w:val="nil"/>
              <w:right w:val="nil"/>
            </w:tcBorders>
            <w:tcMar>
              <w:top w:w="0" w:type="dxa"/>
              <w:left w:w="62" w:type="dxa"/>
              <w:bottom w:w="0" w:type="dxa"/>
              <w:right w:w="62" w:type="dxa"/>
            </w:tcMar>
          </w:tcPr>
          <w:p w:rsidR="00000000" w:rsidRPr="00A61FF2" w:rsidP="00A61FF2">
            <w:pPr>
              <w:pStyle w:val="BodyText"/>
            </w:pPr>
            <w:r w:rsidRPr="00A61FF2">
              <w:t>Assessment must co</w:t>
            </w:r>
            <w:r w:rsidRPr="00A61FF2">
              <w:t>nfirm the ability to:</w:t>
            </w:r>
          </w:p>
          <w:p w:rsidR="00000000" w:rsidRPr="00A61FF2" w:rsidP="00A61FF2">
            <w:pPr>
              <w:pStyle w:val="ListBullet"/>
            </w:pPr>
            <w:r w:rsidRPr="00A61FF2">
              <w:t>use recognised methodologies to conduct market research and analysis</w:t>
            </w:r>
          </w:p>
          <w:p w:rsidR="00000000" w:rsidRPr="00A61FF2" w:rsidP="00A61FF2">
            <w:pPr>
              <w:pStyle w:val="ListBullet"/>
            </w:pPr>
            <w:r w:rsidRPr="00A61FF2">
              <w:t>undertake activities to influence supply markets, within probity and other guidelines</w:t>
            </w:r>
          </w:p>
          <w:p w:rsidR="00000000" w:rsidRPr="00A61FF2" w:rsidP="00A61FF2">
            <w:pPr>
              <w:pStyle w:val="ListBullet"/>
            </w:pPr>
            <w:r w:rsidRPr="00A61FF2">
              <w:t>undertake industry development activities consistent with government policy</w:t>
            </w:r>
          </w:p>
          <w:p w:rsidR="00000000" w:rsidRPr="00A61FF2" w:rsidP="00A61FF2">
            <w:pPr>
              <w:pStyle w:val="ListBullet"/>
            </w:pPr>
            <w:r w:rsidRPr="00A61FF2">
              <w:t>consider and select procurement methodologies that reflect the complexity and risks of the strategic procurement being undertaken</w:t>
            </w:r>
          </w:p>
          <w:p w:rsidR="00000000" w:rsidRPr="00A61FF2" w:rsidP="00A61FF2">
            <w:pPr>
              <w:pStyle w:val="ListBullet"/>
            </w:pPr>
            <w:r w:rsidRPr="00A61FF2">
              <w:t>develop performance measures for application during the procurement process</w:t>
            </w:r>
          </w:p>
          <w:p w:rsidR="00000000" w:rsidRPr="00A61FF2" w:rsidP="00A61FF2">
            <w:pPr>
              <w:pStyle w:val="ListBullet"/>
            </w:pPr>
            <w:r w:rsidRPr="00A61FF2">
              <w:t>review procurement performance using performance m</w:t>
            </w:r>
            <w:r w:rsidRPr="00A61FF2">
              <w:t>easures</w:t>
            </w:r>
          </w:p>
          <w:p w:rsidR="00000000" w:rsidRPr="00A61FF2" w:rsidP="00A61FF2">
            <w:pPr>
              <w:pStyle w:val="ListBullet"/>
            </w:pPr>
            <w:r w:rsidRPr="00A61FF2">
              <w:t>implement continuous improvement to procurement processes.</w:t>
            </w:r>
          </w:p>
          <w:p w:rsidR="00000000" w:rsidRPr="00A61FF2" w:rsidP="00A61FF2">
            <w:pPr>
              <w:pStyle w:val="BodyText"/>
            </w:pPr>
            <w:r w:rsidRPr="00A61FF2">
              <w:rPr>
                <w:rStyle w:val="SpecialBold"/>
              </w:rPr>
              <w:t>Consistency in performance</w:t>
            </w:r>
          </w:p>
          <w:p w:rsidR="00000000" w:rsidP="00A61FF2">
            <w:pPr>
              <w:pStyle w:val="BodyText"/>
              <w:rPr>
                <w:lang w:val="en-NZ"/>
              </w:rPr>
            </w:pPr>
            <w:r w:rsidRPr="00A61FF2">
              <w:t>Competency should be demonstrated by providing evidence of undertaking a range of relevant work tasks in an actual or simulated procurement environment on at least two separate occasions.</w:t>
            </w:r>
          </w:p>
        </w:tc>
      </w:tr>
      <w:tr w:rsidTr="002A2936">
        <w:tblPrEx>
          <w:tblW w:w="9288" w:type="dxa"/>
          <w:tblLayout w:type="fixed"/>
          <w:tblCellMar>
            <w:left w:w="62" w:type="dxa"/>
            <w:right w:w="62" w:type="dxa"/>
          </w:tblCellMar>
          <w:tblLook w:val="0000"/>
        </w:tblPrEx>
        <w:tc>
          <w:tcPr>
            <w:tcW w:w="2822" w:type="dxa"/>
            <w:tcBorders>
              <w:top w:val="nil"/>
              <w:left w:val="nil"/>
              <w:bottom w:val="nil"/>
              <w:right w:val="nil"/>
            </w:tcBorders>
            <w:tcMar>
              <w:top w:w="0" w:type="dxa"/>
              <w:left w:w="62" w:type="dxa"/>
              <w:bottom w:w="0" w:type="dxa"/>
              <w:right w:w="62" w:type="dxa"/>
            </w:tcMar>
          </w:tcPr>
          <w:p w:rsidR="00000000" w:rsidP="00A61FF2">
            <w:pPr>
              <w:pStyle w:val="BodyText"/>
              <w:rPr>
                <w:lang w:val="en-NZ"/>
              </w:rPr>
            </w:pPr>
            <w:r w:rsidRPr="00A61FF2">
              <w:rPr>
                <w:rStyle w:val="SpecialBold"/>
              </w:rPr>
              <w:t>Context of and specific resources for assessment</w:t>
            </w:r>
          </w:p>
        </w:tc>
        <w:tc>
          <w:tcPr>
            <w:tcW w:w="6466" w:type="dxa"/>
            <w:tcBorders>
              <w:top w:val="nil"/>
              <w:left w:val="nil"/>
              <w:bottom w:val="nil"/>
              <w:right w:val="nil"/>
            </w:tcBorders>
            <w:tcMar>
              <w:top w:w="0" w:type="dxa"/>
              <w:left w:w="62" w:type="dxa"/>
              <w:bottom w:w="0" w:type="dxa"/>
              <w:right w:w="62" w:type="dxa"/>
            </w:tcMar>
          </w:tcPr>
          <w:p w:rsidR="00000000" w:rsidRPr="00A61FF2" w:rsidP="00A61FF2">
            <w:pPr>
              <w:pStyle w:val="BodyText"/>
            </w:pPr>
            <w:r w:rsidRPr="00A61FF2">
              <w:t>The unit of compet</w:t>
            </w:r>
            <w:r w:rsidRPr="00A61FF2">
              <w:t>ency is to be assessed in the workplace or a simulated workplace environment.</w:t>
            </w:r>
          </w:p>
          <w:p w:rsidR="00000000" w:rsidRPr="00A61FF2" w:rsidP="00A61FF2">
            <w:pPr>
              <w:pStyle w:val="BodyText"/>
            </w:pPr>
            <w:r w:rsidRPr="00A61FF2">
              <w:t>Access may be required to:</w:t>
            </w:r>
          </w:p>
          <w:p w:rsidR="00000000" w:rsidRPr="00A61FF2" w:rsidP="00A61FF2">
            <w:pPr>
              <w:pStyle w:val="ListBullet"/>
            </w:pPr>
            <w:r w:rsidRPr="00A61FF2">
              <w:t>legislation, policy, procedures and protocols relating to coordinating strategic procurement</w:t>
            </w:r>
          </w:p>
          <w:p w:rsidR="00000000" w:rsidRPr="00A61FF2" w:rsidP="00A61FF2">
            <w:pPr>
              <w:pStyle w:val="ListBullet"/>
            </w:pPr>
            <w:r w:rsidRPr="00A61FF2">
              <w:t>codes of conduct and codes of practice</w:t>
            </w:r>
          </w:p>
          <w:p w:rsidR="00000000" w:rsidRPr="00A61FF2" w:rsidP="00A61FF2">
            <w:pPr>
              <w:pStyle w:val="ListBullet"/>
            </w:pPr>
            <w:r w:rsidRPr="00A61FF2">
              <w:t>long-term governme</w:t>
            </w:r>
            <w:r w:rsidRPr="00A61FF2">
              <w:t>nt policy papers, such as White Papers</w:t>
            </w:r>
          </w:p>
          <w:p w:rsidR="00000000" w:rsidRPr="00A61FF2" w:rsidP="00A61FF2">
            <w:pPr>
              <w:pStyle w:val="ListBullet"/>
            </w:pPr>
            <w:r w:rsidRPr="00A61FF2">
              <w:t>strategic procurement plans and direction statements</w:t>
            </w:r>
          </w:p>
          <w:p w:rsidR="00000000" w:rsidP="00A61FF2">
            <w:pPr>
              <w:pStyle w:val="ListBullet"/>
              <w:rPr>
                <w:lang w:val="en-NZ"/>
              </w:rPr>
            </w:pPr>
            <w:r w:rsidRPr="00A61FF2">
              <w:t>workplace scenarios and case studies relating to a range of strategic procurement and disposal activities.</w:t>
            </w:r>
          </w:p>
        </w:tc>
      </w:tr>
      <w:tr w:rsidTr="002A2936">
        <w:tblPrEx>
          <w:tblW w:w="9288" w:type="dxa"/>
          <w:tblLayout w:type="fixed"/>
          <w:tblCellMar>
            <w:left w:w="62" w:type="dxa"/>
            <w:right w:w="62" w:type="dxa"/>
          </w:tblCellMar>
          <w:tblLook w:val="0000"/>
        </w:tblPrEx>
        <w:tc>
          <w:tcPr>
            <w:tcW w:w="2822" w:type="dxa"/>
            <w:tcBorders>
              <w:top w:val="nil"/>
              <w:left w:val="nil"/>
              <w:bottom w:val="nil"/>
              <w:right w:val="nil"/>
            </w:tcBorders>
            <w:tcMar>
              <w:top w:w="0" w:type="dxa"/>
              <w:left w:w="62" w:type="dxa"/>
              <w:bottom w:w="0" w:type="dxa"/>
              <w:right w:w="62" w:type="dxa"/>
            </w:tcMar>
          </w:tcPr>
          <w:p w:rsidR="00000000" w:rsidP="00A61FF2">
            <w:pPr>
              <w:pStyle w:val="BodyText"/>
              <w:rPr>
                <w:lang w:val="en-NZ"/>
              </w:rPr>
            </w:pPr>
            <w:r w:rsidRPr="00A61FF2">
              <w:rPr>
                <w:rStyle w:val="SpecialBold"/>
              </w:rPr>
              <w:t>Method of assessment</w:t>
            </w:r>
          </w:p>
        </w:tc>
        <w:tc>
          <w:tcPr>
            <w:tcW w:w="6466" w:type="dxa"/>
            <w:tcBorders>
              <w:top w:val="nil"/>
              <w:left w:val="nil"/>
              <w:bottom w:val="nil"/>
              <w:right w:val="nil"/>
            </w:tcBorders>
            <w:tcMar>
              <w:top w:w="0" w:type="dxa"/>
              <w:left w:w="62" w:type="dxa"/>
              <w:bottom w:w="0" w:type="dxa"/>
              <w:right w:w="62" w:type="dxa"/>
            </w:tcMar>
          </w:tcPr>
          <w:p w:rsidR="00000000" w:rsidRPr="00A61FF2" w:rsidP="00A61FF2">
            <w:pPr>
              <w:pStyle w:val="BodyText"/>
            </w:pPr>
            <w:r w:rsidRPr="00A61FF2">
              <w:t>The following assessment methods are suggested:</w:t>
            </w:r>
          </w:p>
          <w:p w:rsidR="00000000" w:rsidRPr="00A61FF2" w:rsidP="00A61FF2">
            <w:pPr>
              <w:pStyle w:val="ListBullet"/>
            </w:pPr>
            <w:r w:rsidRPr="00A61FF2">
              <w:t>questions to assess understanding of relevant legislation and procedures</w:t>
            </w:r>
          </w:p>
          <w:p w:rsidR="00000000" w:rsidRPr="00A61FF2" w:rsidP="00A61FF2">
            <w:pPr>
              <w:pStyle w:val="ListBullet"/>
            </w:pPr>
            <w:r w:rsidRPr="00A61FF2">
              <w:t>review of strategies and approaches adopted for coordinating strategic procurement</w:t>
            </w:r>
          </w:p>
          <w:p w:rsidR="00000000" w:rsidRPr="00A61FF2" w:rsidP="00A61FF2">
            <w:pPr>
              <w:pStyle w:val="ListBullet"/>
            </w:pPr>
            <w:r w:rsidRPr="00A61FF2">
              <w:t>review of strategic procurement plans, supplier ana</w:t>
            </w:r>
            <w:r w:rsidRPr="00A61FF2">
              <w:t>lysis, market analysis, market development plans or activities, risk assessments, procurement methodologies or procurement approaches, formal sign-offs and approvals, and other documentation prepared or reviewed by the candidate in a range of contexts</w:t>
            </w:r>
          </w:p>
          <w:p w:rsidR="00000000" w:rsidRPr="00A61FF2" w:rsidP="00A61FF2">
            <w:pPr>
              <w:pStyle w:val="ListBullet"/>
            </w:pPr>
            <w:r w:rsidRPr="00A61FF2">
              <w:t>revi</w:t>
            </w:r>
            <w:r w:rsidRPr="00A61FF2">
              <w:t>ew of stakeholder engagement approaches adopted by the candidate.</w:t>
            </w:r>
          </w:p>
          <w:p w:rsidR="00000000" w:rsidP="00A61FF2">
            <w:pPr>
              <w:pStyle w:val="BodyText"/>
              <w:rPr>
                <w:lang w:val="en-NZ"/>
              </w:rPr>
            </w:pPr>
            <w:r w:rsidRPr="00A61FF2">
              <w:t>In all cases, practical assessment should be supported by questions to assess underpinning knowledge and those aspects of competency which are difficult to assess directly. Candidates for th</w:t>
            </w:r>
            <w:r w:rsidRPr="00A61FF2">
              <w:t>is qualification must demonstrate a high level of understanding and practical workplace application of underpinning knowledge. Questioning techniques should suit the language and literacy levels of the candidate.</w:t>
            </w:r>
          </w:p>
        </w:tc>
      </w:tr>
      <w:tr w:rsidTr="002A2936">
        <w:tblPrEx>
          <w:tblW w:w="9288" w:type="dxa"/>
          <w:tblLayout w:type="fixed"/>
          <w:tblCellMar>
            <w:left w:w="62" w:type="dxa"/>
            <w:right w:w="62" w:type="dxa"/>
          </w:tblCellMar>
          <w:tblLook w:val="0000"/>
        </w:tblPrEx>
        <w:tc>
          <w:tcPr>
            <w:tcW w:w="2822" w:type="dxa"/>
            <w:tcBorders>
              <w:top w:val="nil"/>
              <w:left w:val="nil"/>
              <w:bottom w:val="nil"/>
              <w:right w:val="nil"/>
            </w:tcBorders>
            <w:tcMar>
              <w:top w:w="0" w:type="dxa"/>
              <w:left w:w="62" w:type="dxa"/>
              <w:bottom w:w="0" w:type="dxa"/>
              <w:right w:w="62" w:type="dxa"/>
            </w:tcMar>
          </w:tcPr>
          <w:p w:rsidR="00000000" w:rsidP="00A61FF2">
            <w:pPr>
              <w:pStyle w:val="BodyText"/>
              <w:rPr>
                <w:lang w:val="en-NZ"/>
              </w:rPr>
            </w:pPr>
            <w:r w:rsidRPr="00A61FF2">
              <w:rPr>
                <w:rStyle w:val="SpecialBold"/>
              </w:rPr>
              <w:t>Guidance information for assessment</w:t>
            </w:r>
          </w:p>
        </w:tc>
        <w:tc>
          <w:tcPr>
            <w:tcW w:w="6466" w:type="dxa"/>
            <w:tcBorders>
              <w:top w:val="nil"/>
              <w:left w:val="nil"/>
              <w:bottom w:val="nil"/>
              <w:right w:val="nil"/>
            </w:tcBorders>
            <w:tcMar>
              <w:top w:w="0" w:type="dxa"/>
              <w:left w:w="62" w:type="dxa"/>
              <w:bottom w:w="0" w:type="dxa"/>
              <w:right w:w="62" w:type="dxa"/>
            </w:tcMar>
          </w:tcPr>
          <w:p w:rsidR="00000000" w:rsidRPr="00A61FF2" w:rsidP="00A61FF2">
            <w:pPr>
              <w:pStyle w:val="BodyText"/>
            </w:pPr>
            <w:r w:rsidRPr="00A61FF2">
              <w:t>Eviden</w:t>
            </w:r>
            <w:r w:rsidRPr="00A61FF2">
              <w:t>ce must be gathered over time in a range of contexts to ensure the person can achieve the unit outcome and apply the competency in different situations or environments.</w:t>
            </w:r>
          </w:p>
          <w:p w:rsidR="00000000" w:rsidRPr="00A61FF2" w:rsidP="00A61FF2">
            <w:pPr>
              <w:pStyle w:val="BodyText"/>
            </w:pPr>
            <w:r w:rsidRPr="00A61FF2">
              <w:t>Holistic assessment with other units relevant to the industry sector, workplace and job</w:t>
            </w:r>
            <w:r w:rsidRPr="00A61FF2">
              <w:t xml:space="preserve"> role is recommended, for example:</w:t>
            </w:r>
          </w:p>
          <w:p w:rsidR="00000000" w:rsidRPr="00A61FF2" w:rsidP="00A61FF2">
            <w:pPr>
              <w:pStyle w:val="ListBullet"/>
            </w:pPr>
            <w:r w:rsidRPr="00A61FF2">
              <w:t>PSPETHC601B Maintain and enhance confidence in public service</w:t>
            </w:r>
          </w:p>
          <w:p w:rsidR="00000000" w:rsidRPr="00A61FF2" w:rsidP="00A61FF2">
            <w:pPr>
              <w:pStyle w:val="ListBullet"/>
            </w:pPr>
            <w:r w:rsidRPr="00A61FF2">
              <w:t>PSPLEGN601B Manage compliance with legislation in the public sector</w:t>
            </w:r>
          </w:p>
          <w:p w:rsidR="00000000" w:rsidRPr="00A61FF2" w:rsidP="00A61FF2">
            <w:pPr>
              <w:pStyle w:val="ListBullet"/>
            </w:pPr>
            <w:r w:rsidRPr="00A61FF2">
              <w:t>PSPMNGT607B Develop a business case</w:t>
            </w:r>
          </w:p>
          <w:p w:rsidR="00000000" w:rsidRPr="00A61FF2" w:rsidP="00A61FF2">
            <w:pPr>
              <w:pStyle w:val="ListBullet"/>
            </w:pPr>
            <w:r w:rsidRPr="00A61FF2">
              <w:t>PSPMNGT608B Manage risk</w:t>
            </w:r>
          </w:p>
          <w:p w:rsidR="00000000" w:rsidRPr="00A61FF2" w:rsidP="00A61FF2">
            <w:pPr>
              <w:pStyle w:val="ListBullet"/>
            </w:pPr>
            <w:r w:rsidRPr="00A61FF2">
              <w:t xml:space="preserve">PSPPM601B Direct complex project activities </w:t>
            </w:r>
          </w:p>
          <w:p w:rsidR="00000000" w:rsidRPr="00A61FF2" w:rsidP="00A61FF2">
            <w:pPr>
              <w:pStyle w:val="ListBullet"/>
            </w:pPr>
            <w:r w:rsidRPr="00A61FF2">
              <w:t>PSPPROC604B Plan for strategic procurement</w:t>
            </w:r>
          </w:p>
          <w:p w:rsidR="00000000" w:rsidRPr="00A61FF2" w:rsidP="00A61FF2">
            <w:pPr>
              <w:pStyle w:val="ListBullet"/>
            </w:pPr>
            <w:r w:rsidRPr="00A61FF2">
              <w:t>PSPPROC606B Negotiate strategic procurement</w:t>
            </w:r>
          </w:p>
          <w:p w:rsidR="00000000" w:rsidRPr="00A61FF2" w:rsidP="00A61FF2">
            <w:pPr>
              <w:pStyle w:val="ListBullet"/>
            </w:pPr>
            <w:r w:rsidRPr="00A61FF2">
              <w:t>PSPPROC607A Manage strategic contracts.</w:t>
            </w:r>
          </w:p>
        </w:tc>
      </w:tr>
    </w:tbl>
    <w:p w:rsidR="00000000" w:rsidRPr="00A61FF2" w:rsidP="00A61FF2">
      <w:pPr>
        <w:pStyle w:val="BodyText"/>
      </w:pPr>
    </w:p>
    <w:p w:rsidR="00000000" w:rsidRPr="00A61FF2" w:rsidP="00A61FF2">
      <w:pPr>
        <w:pStyle w:val="AllowPageBreak"/>
      </w:pPr>
    </w:p>
    <w:p w:rsidR="00000000" w:rsidRPr="00A61FF2" w:rsidP="00A61FF2">
      <w:pPr>
        <w:pStyle w:val="Heading1"/>
      </w:pPr>
      <w:bookmarkStart w:id="11" w:name="O_411139"/>
      <w:bookmarkEnd w:id="11"/>
      <w:r w:rsidRPr="00A61FF2">
        <w:t>Range Statement</w:t>
      </w:r>
    </w:p>
    <w:tbl>
      <w:tblPr>
        <w:tblW w:w="0" w:type="auto"/>
        <w:tblLayout w:type="fixed"/>
        <w:tblCellMar>
          <w:left w:w="62" w:type="dxa"/>
          <w:right w:w="62" w:type="dxa"/>
        </w:tblCellMar>
        <w:tblLook w:val="0000"/>
      </w:tblPr>
      <w:tblGrid>
        <w:gridCol w:w="2680"/>
        <w:gridCol w:w="20"/>
        <w:gridCol w:w="5822"/>
      </w:tblGrid>
      <w:tr w:rsidTr="002A2936">
        <w:tblPrEx>
          <w:tblW w:w="0" w:type="auto"/>
          <w:tblLayout w:type="fixed"/>
          <w:tblCellMar>
            <w:left w:w="62" w:type="dxa"/>
            <w:right w:w="62" w:type="dxa"/>
          </w:tblCellMar>
          <w:tblLook w:val="0000"/>
        </w:tblPrEx>
        <w:tc>
          <w:tcPr>
            <w:tcW w:w="8522" w:type="dxa"/>
            <w:gridSpan w:val="3"/>
            <w:tcBorders>
              <w:top w:val="nil"/>
              <w:left w:val="nil"/>
              <w:bottom w:val="nil"/>
              <w:right w:val="nil"/>
            </w:tcBorders>
            <w:tcMar>
              <w:top w:w="0" w:type="dxa"/>
              <w:left w:w="62" w:type="dxa"/>
              <w:bottom w:w="0" w:type="dxa"/>
              <w:right w:w="62" w:type="dxa"/>
            </w:tcMar>
          </w:tcPr>
          <w:p w:rsidR="00000000" w:rsidP="00A61FF2">
            <w:pPr>
              <w:pStyle w:val="BodyText"/>
              <w:rPr>
                <w:lang w:val="en-NZ"/>
              </w:rPr>
            </w:pPr>
            <w:r w:rsidRPr="00A61FF2">
              <w:t>The range statement relates to the unit of compet</w:t>
            </w:r>
            <w:r w:rsidRPr="00A61FF2">
              <w:t>ency as a whole. It allows for different work environments and situations that may affect performance. Bold italicised wording, if used in the performance criteria, is detailed below. Essential operating conditions that may be present with training and ass</w:t>
            </w:r>
            <w:r w:rsidRPr="00A61FF2">
              <w:t>essment (depending on the work situation, needs of the candidate, accessibility of the item, and local industry and regional contexts) may also be included.</w:t>
            </w:r>
          </w:p>
        </w:tc>
      </w:tr>
      <w:tr w:rsidTr="002A2936">
        <w:tblPrEx>
          <w:tblW w:w="0" w:type="auto"/>
          <w:tblLayout w:type="fixed"/>
          <w:tblCellMar>
            <w:left w:w="62" w:type="dxa"/>
            <w:right w:w="62" w:type="dxa"/>
          </w:tblCellMar>
          <w:tblLook w:val="0000"/>
        </w:tblPrEx>
        <w:tc>
          <w:tcPr>
            <w:tcW w:w="2680" w:type="dxa"/>
            <w:tcBorders>
              <w:top w:val="nil"/>
              <w:left w:val="nil"/>
              <w:bottom w:val="nil"/>
              <w:right w:val="nil"/>
            </w:tcBorders>
            <w:tcMar>
              <w:top w:w="0" w:type="dxa"/>
              <w:left w:w="62" w:type="dxa"/>
              <w:bottom w:w="0" w:type="dxa"/>
              <w:right w:w="62" w:type="dxa"/>
            </w:tcMar>
          </w:tcPr>
          <w:p w:rsidR="00000000" w:rsidP="00A61FF2">
            <w:pPr>
              <w:pStyle w:val="BodyText"/>
              <w:rPr>
                <w:lang w:val="en-NZ"/>
              </w:rPr>
            </w:pPr>
            <w:r w:rsidRPr="00A61FF2">
              <w:rPr>
                <w:rStyle w:val="BoldandItalics"/>
              </w:rPr>
              <w:t>Procurement</w:t>
            </w:r>
            <w:r w:rsidRPr="00A61FF2">
              <w:t xml:space="preserve"> may include:</w:t>
            </w:r>
          </w:p>
        </w:tc>
        <w:tc>
          <w:tcPr>
            <w:tcW w:w="5842" w:type="dxa"/>
            <w:gridSpan w:val="2"/>
            <w:tcBorders>
              <w:top w:val="nil"/>
              <w:left w:val="nil"/>
              <w:bottom w:val="nil"/>
              <w:right w:val="nil"/>
            </w:tcBorders>
            <w:tcMar>
              <w:top w:w="0" w:type="dxa"/>
              <w:left w:w="62" w:type="dxa"/>
              <w:bottom w:w="0" w:type="dxa"/>
              <w:right w:w="62" w:type="dxa"/>
            </w:tcMar>
          </w:tcPr>
          <w:p w:rsidR="00000000" w:rsidRPr="00A61FF2" w:rsidP="00A61FF2">
            <w:pPr>
              <w:pStyle w:val="ListBullet"/>
            </w:pPr>
            <w:r w:rsidRPr="00A61FF2">
              <w:t>public private partnerships (PPP)</w:t>
            </w:r>
          </w:p>
          <w:p w:rsidR="00000000" w:rsidRPr="00A61FF2" w:rsidP="00A61FF2">
            <w:pPr>
              <w:pStyle w:val="ListBullet"/>
            </w:pPr>
            <w:r w:rsidRPr="00A61FF2">
              <w:t>leasing or buying</w:t>
            </w:r>
          </w:p>
          <w:p w:rsidR="00000000" w:rsidRPr="00A61FF2" w:rsidP="00A61FF2">
            <w:pPr>
              <w:pStyle w:val="ListBullet"/>
            </w:pPr>
            <w:r w:rsidRPr="00A61FF2">
              <w:t>short-term or long-term arrangements</w:t>
            </w:r>
          </w:p>
          <w:p w:rsidR="00000000" w:rsidRPr="00A61FF2" w:rsidP="00A61FF2">
            <w:pPr>
              <w:pStyle w:val="ListBullet"/>
            </w:pPr>
            <w:r w:rsidRPr="00A61FF2">
              <w:t>sole or multiple suppliers</w:t>
            </w:r>
          </w:p>
          <w:p w:rsidR="00000000" w:rsidRPr="00A61FF2" w:rsidP="00A61FF2">
            <w:pPr>
              <w:pStyle w:val="ListBullet"/>
            </w:pPr>
            <w:r w:rsidRPr="00A61FF2">
              <w:t>maintenance and support arrangements</w:t>
            </w:r>
          </w:p>
          <w:p w:rsidR="00000000" w:rsidRPr="00A61FF2" w:rsidP="00A61FF2">
            <w:pPr>
              <w:pStyle w:val="ListBullet"/>
            </w:pPr>
            <w:r w:rsidRPr="00A61FF2">
              <w:t>incentive contracting</w:t>
            </w:r>
          </w:p>
          <w:p w:rsidR="00000000" w:rsidRPr="00A61FF2" w:rsidP="00A61FF2">
            <w:pPr>
              <w:pStyle w:val="ListBullet"/>
            </w:pPr>
            <w:r w:rsidRPr="00A61FF2">
              <w:t>firm or variable pricing regimes</w:t>
            </w:r>
          </w:p>
          <w:p w:rsidR="00000000" w:rsidRPr="00A61FF2" w:rsidP="00A61FF2">
            <w:pPr>
              <w:pStyle w:val="ListBullet"/>
            </w:pPr>
            <w:r w:rsidRPr="00A61FF2">
              <w:t>franchising</w:t>
            </w:r>
          </w:p>
          <w:p w:rsidR="00000000" w:rsidRPr="00A61FF2" w:rsidP="00A61FF2">
            <w:pPr>
              <w:pStyle w:val="ListBullet"/>
            </w:pPr>
            <w:r w:rsidRPr="00A61FF2">
              <w:t>research and development</w:t>
            </w:r>
          </w:p>
          <w:p w:rsidR="00000000" w:rsidRPr="00A61FF2" w:rsidP="00A61FF2">
            <w:pPr>
              <w:pStyle w:val="ListBullet"/>
            </w:pPr>
            <w:r w:rsidRPr="00A61FF2">
              <w:t>pre-qualification of suppliers</w:t>
            </w:r>
          </w:p>
          <w:p w:rsidR="00000000" w:rsidRPr="00A61FF2" w:rsidP="00A61FF2">
            <w:pPr>
              <w:pStyle w:val="ListBullet"/>
            </w:pPr>
            <w:r w:rsidRPr="00A61FF2">
              <w:t>standing orders and deeds of sta</w:t>
            </w:r>
            <w:r w:rsidRPr="00A61FF2">
              <w:t>nding orders</w:t>
            </w:r>
          </w:p>
          <w:p w:rsidR="00000000" w:rsidRPr="00A61FF2" w:rsidP="00A61FF2">
            <w:pPr>
              <w:pStyle w:val="ListBullet"/>
            </w:pPr>
            <w:r w:rsidRPr="00A61FF2">
              <w:t>standard form agreements</w:t>
            </w:r>
          </w:p>
          <w:p w:rsidR="00000000" w:rsidRPr="00A61FF2" w:rsidP="00A61FF2">
            <w:pPr>
              <w:pStyle w:val="ListBullet"/>
            </w:pPr>
            <w:r w:rsidRPr="00A61FF2">
              <w:t>common use contracts</w:t>
            </w:r>
          </w:p>
          <w:p w:rsidR="00000000" w:rsidRPr="00A61FF2" w:rsidP="00A61FF2">
            <w:pPr>
              <w:pStyle w:val="ListBullet"/>
            </w:pPr>
            <w:r w:rsidRPr="00A61FF2">
              <w:t>facilities management</w:t>
            </w:r>
          </w:p>
          <w:p w:rsidR="00000000" w:rsidRPr="00A61FF2" w:rsidP="00A61FF2">
            <w:pPr>
              <w:pStyle w:val="ListBullet"/>
            </w:pPr>
            <w:r w:rsidRPr="00A61FF2">
              <w:t>prime contractor and subcontractor</w:t>
            </w:r>
          </w:p>
          <w:p w:rsidR="00000000" w:rsidRPr="00A61FF2" w:rsidP="00A61FF2">
            <w:pPr>
              <w:pStyle w:val="ListBullet"/>
            </w:pPr>
            <w:r w:rsidRPr="00A61FF2">
              <w:t>gain sharing/open book</w:t>
            </w:r>
          </w:p>
          <w:p w:rsidR="00000000" w:rsidRPr="00A61FF2" w:rsidP="00A61FF2">
            <w:pPr>
              <w:pStyle w:val="ListBullet"/>
            </w:pPr>
            <w:r w:rsidRPr="00A61FF2">
              <w:t>coordinated procurement</w:t>
            </w:r>
          </w:p>
          <w:p w:rsidR="00000000" w:rsidRPr="00A61FF2" w:rsidP="00A61FF2">
            <w:pPr>
              <w:pStyle w:val="ListBullet"/>
            </w:pPr>
            <w:r w:rsidRPr="00A61FF2">
              <w:t>whole of government procurement</w:t>
            </w:r>
          </w:p>
          <w:p w:rsidR="00000000" w:rsidP="00A61FF2">
            <w:pPr>
              <w:pStyle w:val="ListBullet"/>
              <w:rPr>
                <w:lang w:val="en-NZ"/>
              </w:rPr>
            </w:pPr>
            <w:r w:rsidRPr="00A61FF2">
              <w:t>cooperative procurement.</w:t>
            </w:r>
          </w:p>
        </w:tc>
      </w:tr>
      <w:tr w:rsidTr="002A2936">
        <w:tblPrEx>
          <w:tblW w:w="0" w:type="auto"/>
          <w:tblLayout w:type="fixed"/>
          <w:tblCellMar>
            <w:left w:w="62" w:type="dxa"/>
            <w:right w:w="62" w:type="dxa"/>
          </w:tblCellMar>
          <w:tblLook w:val="0000"/>
        </w:tblPrEx>
        <w:tc>
          <w:tcPr>
            <w:tcW w:w="2680" w:type="dxa"/>
            <w:tcBorders>
              <w:top w:val="nil"/>
              <w:left w:val="nil"/>
              <w:bottom w:val="nil"/>
              <w:right w:val="nil"/>
            </w:tcBorders>
            <w:tcMar>
              <w:top w:w="0" w:type="dxa"/>
              <w:left w:w="62" w:type="dxa"/>
              <w:bottom w:w="0" w:type="dxa"/>
              <w:right w:w="62" w:type="dxa"/>
            </w:tcMar>
          </w:tcPr>
          <w:p w:rsidR="00000000" w:rsidP="00A61FF2">
            <w:pPr>
              <w:pStyle w:val="BodyText"/>
              <w:rPr>
                <w:lang w:val="en-NZ"/>
              </w:rPr>
            </w:pPr>
            <w:r w:rsidRPr="00A61FF2">
              <w:rPr>
                <w:rStyle w:val="BoldandItalics"/>
              </w:rPr>
              <w:t>Commercial and policy factors</w:t>
            </w:r>
            <w:r w:rsidRPr="00A61FF2">
              <w:t xml:space="preserve"> may include:</w:t>
            </w:r>
          </w:p>
        </w:tc>
        <w:tc>
          <w:tcPr>
            <w:tcW w:w="5842" w:type="dxa"/>
            <w:gridSpan w:val="2"/>
            <w:tcBorders>
              <w:top w:val="nil"/>
              <w:left w:val="nil"/>
              <w:bottom w:val="nil"/>
              <w:right w:val="nil"/>
            </w:tcBorders>
            <w:tcMar>
              <w:top w:w="0" w:type="dxa"/>
              <w:left w:w="62" w:type="dxa"/>
              <w:bottom w:w="0" w:type="dxa"/>
              <w:right w:w="62" w:type="dxa"/>
            </w:tcMar>
          </w:tcPr>
          <w:p w:rsidR="00000000" w:rsidRPr="00A61FF2" w:rsidP="00A61FF2">
            <w:pPr>
              <w:pStyle w:val="ListBullet"/>
            </w:pPr>
            <w:r w:rsidRPr="00A61FF2">
              <w:t>value or market share of business involved</w:t>
            </w:r>
          </w:p>
          <w:p w:rsidR="00000000" w:rsidRPr="00A61FF2" w:rsidP="00A61FF2">
            <w:pPr>
              <w:pStyle w:val="ListBullet"/>
            </w:pPr>
            <w:r w:rsidRPr="00A61FF2">
              <w:t>complexity of marketplace</w:t>
            </w:r>
          </w:p>
          <w:p w:rsidR="00000000" w:rsidRPr="00A61FF2" w:rsidP="00A61FF2">
            <w:pPr>
              <w:pStyle w:val="ListBullet"/>
            </w:pPr>
            <w:r w:rsidRPr="00A61FF2">
              <w:t>degree of dependency of organisation programs on the procurement</w:t>
            </w:r>
          </w:p>
          <w:p w:rsidR="00000000" w:rsidRPr="00A61FF2" w:rsidP="00A61FF2">
            <w:pPr>
              <w:pStyle w:val="ListBullet"/>
            </w:pPr>
            <w:r w:rsidRPr="00A61FF2">
              <w:t>extent of competition</w:t>
            </w:r>
          </w:p>
          <w:p w:rsidR="00000000" w:rsidRPr="00A61FF2" w:rsidP="00A61FF2">
            <w:pPr>
              <w:pStyle w:val="ListBullet"/>
            </w:pPr>
            <w:r w:rsidRPr="00A61FF2">
              <w:t>capture and assessment of identified risks</w:t>
            </w:r>
          </w:p>
          <w:p w:rsidR="00000000" w:rsidRPr="00A61FF2" w:rsidP="00A61FF2">
            <w:pPr>
              <w:pStyle w:val="ListBullet"/>
            </w:pPr>
            <w:r w:rsidRPr="00A61FF2">
              <w:t>protection of both parties</w:t>
            </w:r>
          </w:p>
          <w:p w:rsidR="00000000" w:rsidRPr="00A61FF2" w:rsidP="00A61FF2">
            <w:pPr>
              <w:pStyle w:val="ListBullet"/>
            </w:pPr>
            <w:r w:rsidRPr="00A61FF2">
              <w:t>value for money</w:t>
            </w:r>
          </w:p>
          <w:p w:rsidR="00000000" w:rsidRPr="00A61FF2" w:rsidP="00A61FF2">
            <w:pPr>
              <w:pStyle w:val="ListBullet"/>
            </w:pPr>
            <w:r w:rsidRPr="00A61FF2">
              <w:t>basis of due performance</w:t>
            </w:r>
          </w:p>
          <w:p w:rsidR="00000000" w:rsidRPr="00A61FF2" w:rsidP="00A61FF2">
            <w:pPr>
              <w:pStyle w:val="ListBullet"/>
            </w:pPr>
            <w:r w:rsidRPr="00A61FF2">
              <w:t>broader governmental policies that may affect the market or industry sector</w:t>
            </w:r>
          </w:p>
          <w:p w:rsidR="00000000" w:rsidRPr="00A61FF2" w:rsidP="00A61FF2">
            <w:pPr>
              <w:pStyle w:val="ListBullet"/>
            </w:pPr>
            <w:r w:rsidRPr="00A61FF2">
              <w:t>competitive neutrality</w:t>
            </w:r>
          </w:p>
          <w:p w:rsidR="00000000" w:rsidP="00A61FF2">
            <w:pPr>
              <w:pStyle w:val="ListBullet"/>
              <w:rPr>
                <w:lang w:val="en-NZ"/>
              </w:rPr>
            </w:pPr>
            <w:r w:rsidRPr="00A61FF2">
              <w:t>environmental, sustainability and corporate social responsibility principles.</w:t>
            </w:r>
          </w:p>
        </w:tc>
      </w:tr>
      <w:tr w:rsidTr="002A2936">
        <w:tblPrEx>
          <w:tblW w:w="0" w:type="auto"/>
          <w:tblLayout w:type="fixed"/>
          <w:tblCellMar>
            <w:left w:w="62" w:type="dxa"/>
            <w:right w:w="62" w:type="dxa"/>
          </w:tblCellMar>
          <w:tblLook w:val="0000"/>
        </w:tblPrEx>
        <w:tc>
          <w:tcPr>
            <w:tcW w:w="2680" w:type="dxa"/>
            <w:tcBorders>
              <w:top w:val="nil"/>
              <w:left w:val="nil"/>
              <w:bottom w:val="nil"/>
              <w:right w:val="nil"/>
            </w:tcBorders>
            <w:tcMar>
              <w:top w:w="0" w:type="dxa"/>
              <w:left w:w="62" w:type="dxa"/>
              <w:bottom w:w="0" w:type="dxa"/>
              <w:right w:w="62" w:type="dxa"/>
            </w:tcMar>
          </w:tcPr>
          <w:p w:rsidR="00000000" w:rsidP="00A61FF2">
            <w:pPr>
              <w:pStyle w:val="BodyText"/>
              <w:rPr>
                <w:lang w:val="en-NZ"/>
              </w:rPr>
            </w:pPr>
            <w:r w:rsidRPr="00A61FF2">
              <w:rPr>
                <w:rStyle w:val="BoldandItalics"/>
              </w:rPr>
              <w:t>Markets</w:t>
            </w:r>
            <w:r w:rsidRPr="00A61FF2">
              <w:t xml:space="preserve"> may include:</w:t>
            </w:r>
          </w:p>
        </w:tc>
        <w:tc>
          <w:tcPr>
            <w:tcW w:w="5842" w:type="dxa"/>
            <w:gridSpan w:val="2"/>
            <w:tcBorders>
              <w:top w:val="nil"/>
              <w:left w:val="nil"/>
              <w:bottom w:val="nil"/>
              <w:right w:val="nil"/>
            </w:tcBorders>
            <w:tcMar>
              <w:top w:w="0" w:type="dxa"/>
              <w:left w:w="62" w:type="dxa"/>
              <w:bottom w:w="0" w:type="dxa"/>
              <w:right w:w="62" w:type="dxa"/>
            </w:tcMar>
          </w:tcPr>
          <w:p w:rsidR="00000000" w:rsidRPr="00A61FF2" w:rsidP="00A61FF2">
            <w:pPr>
              <w:pStyle w:val="ListBullet"/>
            </w:pPr>
            <w:r w:rsidRPr="00A61FF2">
              <w:t>local</w:t>
            </w:r>
          </w:p>
          <w:p w:rsidR="00000000" w:rsidRPr="00A61FF2" w:rsidP="00A61FF2">
            <w:pPr>
              <w:pStyle w:val="ListBullet"/>
            </w:pPr>
            <w:r w:rsidRPr="00A61FF2">
              <w:t>national</w:t>
            </w:r>
          </w:p>
          <w:p w:rsidR="00000000" w:rsidRPr="00A61FF2" w:rsidP="00A61FF2">
            <w:pPr>
              <w:pStyle w:val="ListBullet"/>
            </w:pPr>
            <w:r w:rsidRPr="00A61FF2">
              <w:t>international</w:t>
            </w:r>
          </w:p>
          <w:p w:rsidR="00000000" w:rsidP="00A61FF2">
            <w:pPr>
              <w:pStyle w:val="ListBullet"/>
              <w:rPr>
                <w:lang w:val="en-NZ"/>
              </w:rPr>
            </w:pPr>
            <w:r w:rsidRPr="00A61FF2">
              <w:t>r</w:t>
            </w:r>
            <w:r w:rsidRPr="00A61FF2">
              <w:t>egional.</w:t>
            </w:r>
          </w:p>
        </w:tc>
      </w:tr>
      <w:tr w:rsidTr="002A2936">
        <w:tblPrEx>
          <w:tblW w:w="0" w:type="auto"/>
          <w:tblLayout w:type="fixed"/>
          <w:tblCellMar>
            <w:left w:w="62" w:type="dxa"/>
            <w:right w:w="62" w:type="dxa"/>
          </w:tblCellMar>
          <w:tblLook w:val="0000"/>
        </w:tblPrEx>
        <w:tc>
          <w:tcPr>
            <w:tcW w:w="2680" w:type="dxa"/>
            <w:tcBorders>
              <w:top w:val="nil"/>
              <w:left w:val="nil"/>
              <w:bottom w:val="nil"/>
              <w:right w:val="nil"/>
            </w:tcBorders>
            <w:tcMar>
              <w:top w:w="0" w:type="dxa"/>
              <w:left w:w="62" w:type="dxa"/>
              <w:bottom w:w="0" w:type="dxa"/>
              <w:right w:w="62" w:type="dxa"/>
            </w:tcMar>
          </w:tcPr>
          <w:p w:rsidR="00000000" w:rsidP="00A61FF2">
            <w:pPr>
              <w:pStyle w:val="BodyText"/>
              <w:rPr>
                <w:lang w:val="en-NZ"/>
              </w:rPr>
            </w:pPr>
            <w:r w:rsidRPr="00A61FF2">
              <w:rPr>
                <w:rStyle w:val="BoldandItalics"/>
              </w:rPr>
              <w:t>Suppliers</w:t>
            </w:r>
            <w:r w:rsidRPr="00A61FF2">
              <w:t xml:space="preserve"> may include:</w:t>
            </w:r>
          </w:p>
        </w:tc>
        <w:tc>
          <w:tcPr>
            <w:tcW w:w="5842" w:type="dxa"/>
            <w:gridSpan w:val="2"/>
            <w:tcBorders>
              <w:top w:val="nil"/>
              <w:left w:val="nil"/>
              <w:bottom w:val="nil"/>
              <w:right w:val="nil"/>
            </w:tcBorders>
            <w:tcMar>
              <w:top w:w="0" w:type="dxa"/>
              <w:left w:w="62" w:type="dxa"/>
              <w:bottom w:w="0" w:type="dxa"/>
              <w:right w:w="62" w:type="dxa"/>
            </w:tcMar>
          </w:tcPr>
          <w:p w:rsidR="00000000" w:rsidRPr="00A61FF2" w:rsidP="00A61FF2">
            <w:pPr>
              <w:pStyle w:val="ListBullet"/>
            </w:pPr>
            <w:r w:rsidRPr="00A61FF2">
              <w:t>commercial companies</w:t>
            </w:r>
          </w:p>
          <w:p w:rsidR="00000000" w:rsidRPr="00A61FF2" w:rsidP="00A61FF2">
            <w:pPr>
              <w:pStyle w:val="ListBullet"/>
            </w:pPr>
            <w:r w:rsidRPr="00A61FF2">
              <w:t>other public sector organisations</w:t>
            </w:r>
          </w:p>
          <w:p w:rsidR="00000000" w:rsidRPr="00A61FF2" w:rsidP="00A61FF2">
            <w:pPr>
              <w:pStyle w:val="ListBullet"/>
            </w:pPr>
            <w:r w:rsidRPr="00A61FF2">
              <w:t>other governments, including commonwealth, state or territory, local and international</w:t>
            </w:r>
          </w:p>
          <w:p w:rsidR="00000000" w:rsidRPr="00A61FF2" w:rsidP="00A61FF2">
            <w:pPr>
              <w:pStyle w:val="ListBullet"/>
            </w:pPr>
            <w:r w:rsidRPr="00A61FF2">
              <w:t>non-profit organisations</w:t>
            </w:r>
          </w:p>
          <w:p w:rsidR="00000000" w:rsidP="00A61FF2">
            <w:pPr>
              <w:pStyle w:val="ListBullet"/>
              <w:rPr>
                <w:lang w:val="en-NZ"/>
              </w:rPr>
            </w:pPr>
            <w:r w:rsidRPr="00A61FF2">
              <w:t>in-house.</w:t>
            </w:r>
          </w:p>
        </w:tc>
      </w:tr>
      <w:tr w:rsidTr="002A2936">
        <w:tblPrEx>
          <w:tblW w:w="0" w:type="auto"/>
          <w:tblLayout w:type="fixed"/>
          <w:tblCellMar>
            <w:left w:w="62" w:type="dxa"/>
            <w:right w:w="62" w:type="dxa"/>
          </w:tblCellMar>
          <w:tblLook w:val="0000"/>
        </w:tblPrEx>
        <w:tc>
          <w:tcPr>
            <w:tcW w:w="2680" w:type="dxa"/>
            <w:tcBorders>
              <w:top w:val="nil"/>
              <w:left w:val="nil"/>
              <w:bottom w:val="nil"/>
              <w:right w:val="nil"/>
            </w:tcBorders>
            <w:tcMar>
              <w:top w:w="0" w:type="dxa"/>
              <w:left w:w="62" w:type="dxa"/>
              <w:bottom w:w="0" w:type="dxa"/>
              <w:right w:w="62" w:type="dxa"/>
            </w:tcMar>
          </w:tcPr>
          <w:p w:rsidR="00000000" w:rsidP="00A61FF2">
            <w:pPr>
              <w:pStyle w:val="BodyText"/>
              <w:rPr>
                <w:lang w:val="en-NZ"/>
              </w:rPr>
            </w:pPr>
            <w:r w:rsidRPr="00A61FF2">
              <w:t xml:space="preserve">Criteria for assessment of supplier </w:t>
            </w:r>
            <w:r w:rsidRPr="00A61FF2">
              <w:rPr>
                <w:rStyle w:val="BoldandItalics"/>
              </w:rPr>
              <w:t>capability</w:t>
            </w:r>
            <w:r w:rsidRPr="00A61FF2">
              <w:t xml:space="preserve"> may include:</w:t>
            </w:r>
          </w:p>
        </w:tc>
        <w:tc>
          <w:tcPr>
            <w:tcW w:w="5842" w:type="dxa"/>
            <w:gridSpan w:val="2"/>
            <w:tcBorders>
              <w:top w:val="nil"/>
              <w:left w:val="nil"/>
              <w:bottom w:val="nil"/>
              <w:right w:val="nil"/>
            </w:tcBorders>
            <w:tcMar>
              <w:top w:w="0" w:type="dxa"/>
              <w:left w:w="62" w:type="dxa"/>
              <w:bottom w:w="0" w:type="dxa"/>
              <w:right w:w="62" w:type="dxa"/>
            </w:tcMar>
          </w:tcPr>
          <w:p w:rsidR="00000000" w:rsidRPr="00A61FF2" w:rsidP="00A61FF2">
            <w:pPr>
              <w:pStyle w:val="ListBullet"/>
            </w:pPr>
            <w:r w:rsidRPr="00A61FF2">
              <w:t>financial viability/capacity, including insurances</w:t>
            </w:r>
          </w:p>
          <w:p w:rsidR="00000000" w:rsidRPr="00A61FF2" w:rsidP="00A61FF2">
            <w:pPr>
              <w:pStyle w:val="ListBullet"/>
            </w:pPr>
            <w:r w:rsidRPr="00A61FF2">
              <w:t>past performance and infrastructure</w:t>
            </w:r>
          </w:p>
          <w:p w:rsidR="00000000" w:rsidRPr="00A61FF2" w:rsidP="00A61FF2">
            <w:pPr>
              <w:pStyle w:val="ListBullet"/>
            </w:pPr>
            <w:r w:rsidRPr="00A61FF2">
              <w:t>skills and experience of key personnel</w:t>
            </w:r>
          </w:p>
          <w:p w:rsidR="00000000" w:rsidRPr="00A61FF2" w:rsidP="00A61FF2">
            <w:pPr>
              <w:pStyle w:val="ListBullet"/>
            </w:pPr>
            <w:r w:rsidRPr="00A61FF2">
              <w:t>quality accreditations</w:t>
            </w:r>
          </w:p>
          <w:p w:rsidR="00000000" w:rsidRPr="00A61FF2" w:rsidP="00A61FF2">
            <w:pPr>
              <w:pStyle w:val="ListBullet"/>
            </w:pPr>
            <w:r w:rsidRPr="00A61FF2">
              <w:t>earned value performance management</w:t>
            </w:r>
          </w:p>
          <w:p w:rsidR="00000000" w:rsidRPr="00A61FF2" w:rsidP="00A61FF2">
            <w:pPr>
              <w:pStyle w:val="ListBullet"/>
            </w:pPr>
            <w:r w:rsidRPr="00A61FF2">
              <w:t>adequacy of proposed methodology and approach</w:t>
            </w:r>
          </w:p>
          <w:p w:rsidR="00000000" w:rsidRPr="00A61FF2" w:rsidP="00A61FF2">
            <w:pPr>
              <w:pStyle w:val="ListBullet"/>
            </w:pPr>
            <w:r w:rsidRPr="00A61FF2">
              <w:t>technical merit of the proposed goods or service</w:t>
            </w:r>
          </w:p>
          <w:p w:rsidR="00000000" w:rsidRPr="00A61FF2" w:rsidP="00A61FF2">
            <w:pPr>
              <w:pStyle w:val="ListBullet"/>
            </w:pPr>
            <w:r w:rsidRPr="00A61FF2">
              <w:t>industrial relations record</w:t>
            </w:r>
          </w:p>
          <w:p w:rsidR="00000000" w:rsidRPr="00A61FF2" w:rsidP="00A61FF2">
            <w:pPr>
              <w:pStyle w:val="ListBullet"/>
            </w:pPr>
            <w:r w:rsidRPr="00A61FF2">
              <w:t>willingness to work towards common goals</w:t>
            </w:r>
          </w:p>
          <w:p w:rsidR="00000000" w:rsidRPr="00A61FF2" w:rsidP="00A61FF2">
            <w:pPr>
              <w:pStyle w:val="ListBullet"/>
            </w:pPr>
            <w:r w:rsidRPr="00A61FF2">
              <w:t>observance and promotion of OHS requirements</w:t>
            </w:r>
          </w:p>
          <w:p w:rsidR="00000000" w:rsidRPr="00A61FF2" w:rsidP="00A61FF2">
            <w:pPr>
              <w:pStyle w:val="ListBullet"/>
            </w:pPr>
            <w:r w:rsidRPr="00A61FF2">
              <w:t>technical and contractual compliance</w:t>
            </w:r>
          </w:p>
          <w:p w:rsidR="00000000" w:rsidRPr="00A61FF2" w:rsidP="00A61FF2">
            <w:pPr>
              <w:pStyle w:val="ListBullet"/>
            </w:pPr>
            <w:r w:rsidRPr="00A61FF2">
              <w:t xml:space="preserve">compliance with commonwealth, state and territory policies regarding discrimination, workplace relations, environmental, sustainability and corporate social responsibility </w:t>
            </w:r>
          </w:p>
          <w:p w:rsidR="00000000" w:rsidP="00A61FF2">
            <w:pPr>
              <w:pStyle w:val="ListBullet"/>
              <w:rPr>
                <w:lang w:val="en-NZ"/>
              </w:rPr>
            </w:pPr>
            <w:r w:rsidRPr="00A61FF2">
              <w:t>compliance with codes of conduct, codes of practice and expected standards of behav</w:t>
            </w:r>
            <w:r w:rsidRPr="00A61FF2">
              <w:t>iour.</w:t>
            </w:r>
          </w:p>
        </w:tc>
      </w:tr>
      <w:tr w:rsidTr="002A2936">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rsidP="00A61FF2">
            <w:pPr>
              <w:pStyle w:val="BodyText"/>
              <w:rPr>
                <w:lang w:val="en-NZ"/>
              </w:rPr>
            </w:pPr>
            <w:r w:rsidRPr="00A61FF2">
              <w:rPr>
                <w:rStyle w:val="BoldandItalics"/>
              </w:rPr>
              <w:t>Market development strategies</w:t>
            </w:r>
            <w:r w:rsidRPr="00A61FF2">
              <w:t xml:space="preserve"> may include:</w:t>
            </w:r>
          </w:p>
        </w:tc>
        <w:tc>
          <w:tcPr>
            <w:tcW w:w="5822" w:type="dxa"/>
            <w:tcBorders>
              <w:top w:val="nil"/>
              <w:left w:val="nil"/>
              <w:bottom w:val="nil"/>
              <w:right w:val="nil"/>
            </w:tcBorders>
            <w:tcMar>
              <w:top w:w="0" w:type="dxa"/>
              <w:left w:w="62" w:type="dxa"/>
              <w:bottom w:w="0" w:type="dxa"/>
              <w:right w:w="62" w:type="dxa"/>
            </w:tcMar>
          </w:tcPr>
          <w:p w:rsidR="00000000" w:rsidRPr="00A61FF2" w:rsidP="00A61FF2">
            <w:pPr>
              <w:pStyle w:val="ListBullet"/>
            </w:pPr>
            <w:r w:rsidRPr="00A61FF2">
              <w:t>market management, including development of key supply markets where these markets are not meeting the organisation's needs</w:t>
            </w:r>
          </w:p>
          <w:p w:rsidR="00000000" w:rsidRPr="00A61FF2" w:rsidP="00A61FF2">
            <w:pPr>
              <w:pStyle w:val="ListBullet"/>
            </w:pPr>
            <w:r w:rsidRPr="00A61FF2">
              <w:t>supplier development, including identification of new local suppliers, developmen</w:t>
            </w:r>
            <w:r w:rsidRPr="00A61FF2">
              <w:t>t of the capabilities of existing suppliers and development of new products</w:t>
            </w:r>
          </w:p>
          <w:p w:rsidR="00000000" w:rsidRPr="00A61FF2" w:rsidP="00A61FF2">
            <w:pPr>
              <w:pStyle w:val="ListBullet"/>
            </w:pPr>
            <w:r w:rsidRPr="00A61FF2">
              <w:t>reverse marketing</w:t>
            </w:r>
          </w:p>
          <w:p w:rsidR="00000000" w:rsidRPr="00A61FF2" w:rsidP="00A61FF2">
            <w:pPr>
              <w:pStyle w:val="ListBullet"/>
            </w:pPr>
            <w:r w:rsidRPr="00A61FF2">
              <w:t>tactics to increase skill levels of suppliers, particularly in dealing with government</w:t>
            </w:r>
          </w:p>
          <w:p w:rsidR="00000000" w:rsidRPr="00A61FF2" w:rsidP="00A61FF2">
            <w:pPr>
              <w:pStyle w:val="ListBullet"/>
            </w:pPr>
            <w:r w:rsidRPr="00A61FF2">
              <w:t>creating the supplier environment</w:t>
            </w:r>
          </w:p>
          <w:p w:rsidR="00000000" w:rsidRPr="00A61FF2" w:rsidP="00A61FF2">
            <w:pPr>
              <w:pStyle w:val="ListBullet"/>
            </w:pPr>
            <w:r w:rsidRPr="00A61FF2">
              <w:t>communicating changes</w:t>
            </w:r>
          </w:p>
          <w:p w:rsidR="00000000" w:rsidP="00A61FF2">
            <w:pPr>
              <w:pStyle w:val="ListBullet"/>
              <w:rPr>
                <w:lang w:val="en-NZ"/>
              </w:rPr>
            </w:pPr>
            <w:r w:rsidRPr="00A61FF2">
              <w:t>procurement strateg</w:t>
            </w:r>
            <w:r w:rsidRPr="00A61FF2">
              <w:t>ies, including splitting contracts, short-term development contracts, inviting companies to work together where each has skills.</w:t>
            </w:r>
          </w:p>
        </w:tc>
      </w:tr>
      <w:tr w:rsidTr="002A2936">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rsidP="00A61FF2">
            <w:pPr>
              <w:pStyle w:val="BodyText"/>
              <w:rPr>
                <w:lang w:val="en-NZ"/>
              </w:rPr>
            </w:pPr>
            <w:r w:rsidRPr="00A61FF2">
              <w:rPr>
                <w:rStyle w:val="BoldandItalics"/>
              </w:rPr>
              <w:t>Stakeholders</w:t>
            </w:r>
            <w:r w:rsidRPr="00A61FF2">
              <w:t xml:space="preserve"> may include:</w:t>
            </w:r>
          </w:p>
        </w:tc>
        <w:tc>
          <w:tcPr>
            <w:tcW w:w="5822" w:type="dxa"/>
            <w:tcBorders>
              <w:top w:val="nil"/>
              <w:left w:val="nil"/>
              <w:bottom w:val="nil"/>
              <w:right w:val="nil"/>
            </w:tcBorders>
            <w:tcMar>
              <w:top w:w="0" w:type="dxa"/>
              <w:left w:w="62" w:type="dxa"/>
              <w:bottom w:w="0" w:type="dxa"/>
              <w:right w:w="62" w:type="dxa"/>
            </w:tcMar>
          </w:tcPr>
          <w:p w:rsidR="00000000" w:rsidRPr="00A61FF2" w:rsidP="00A61FF2">
            <w:pPr>
              <w:pStyle w:val="ListBullet"/>
            </w:pPr>
            <w:r w:rsidRPr="00A61FF2">
              <w:t>end users, customers or clients, and sponsors</w:t>
            </w:r>
          </w:p>
          <w:p w:rsidR="00000000" w:rsidRPr="00A61FF2" w:rsidP="00A61FF2">
            <w:pPr>
              <w:pStyle w:val="ListBullet"/>
            </w:pPr>
            <w:r w:rsidRPr="00A61FF2">
              <w:t>current or potential providers or suppliers</w:t>
            </w:r>
          </w:p>
          <w:p w:rsidR="00000000" w:rsidRPr="00A61FF2" w:rsidP="00A61FF2">
            <w:pPr>
              <w:pStyle w:val="ListBullet"/>
            </w:pPr>
            <w:r w:rsidRPr="00A61FF2">
              <w:t>technical or functional experts or advisers</w:t>
            </w:r>
          </w:p>
          <w:p w:rsidR="00000000" w:rsidRPr="00A61FF2" w:rsidP="00A61FF2">
            <w:pPr>
              <w:pStyle w:val="ListBullet"/>
            </w:pPr>
            <w:r w:rsidRPr="00A61FF2">
              <w:t>commonwealth, state or territory, and local government</w:t>
            </w:r>
          </w:p>
          <w:p w:rsidR="00000000" w:rsidRPr="00A61FF2" w:rsidP="00A61FF2">
            <w:pPr>
              <w:pStyle w:val="ListBullet"/>
            </w:pPr>
            <w:r w:rsidRPr="00A61FF2">
              <w:t>the organisation</w:t>
            </w:r>
          </w:p>
          <w:p w:rsidR="00000000" w:rsidRPr="00A61FF2" w:rsidP="00A61FF2">
            <w:pPr>
              <w:pStyle w:val="ListBullet"/>
            </w:pPr>
            <w:r w:rsidRPr="00A61FF2">
              <w:t>other public sector organisations</w:t>
            </w:r>
          </w:p>
          <w:p w:rsidR="00000000" w:rsidRPr="00A61FF2" w:rsidP="00A61FF2">
            <w:pPr>
              <w:pStyle w:val="ListBullet"/>
            </w:pPr>
            <w:r w:rsidRPr="00A61FF2">
              <w:t>employees, unions and staff associations</w:t>
            </w:r>
          </w:p>
          <w:p w:rsidR="00000000" w:rsidRPr="00A61FF2" w:rsidP="00A61FF2">
            <w:pPr>
              <w:pStyle w:val="ListBullet"/>
            </w:pPr>
            <w:r w:rsidRPr="00A61FF2">
              <w:t>industry bodies</w:t>
            </w:r>
          </w:p>
          <w:p w:rsidR="00000000" w:rsidRPr="00A61FF2" w:rsidP="00A61FF2">
            <w:pPr>
              <w:pStyle w:val="ListBullet"/>
            </w:pPr>
            <w:r w:rsidRPr="00A61FF2">
              <w:t>local communities</w:t>
            </w:r>
          </w:p>
          <w:p w:rsidR="00000000" w:rsidP="00A61FF2">
            <w:pPr>
              <w:pStyle w:val="ListBullet"/>
              <w:rPr>
                <w:lang w:val="en-NZ"/>
              </w:rPr>
            </w:pPr>
            <w:r w:rsidRPr="00A61FF2">
              <w:t>lobby groups and special user g</w:t>
            </w:r>
            <w:r w:rsidRPr="00A61FF2">
              <w:t>roups.</w:t>
            </w:r>
          </w:p>
        </w:tc>
      </w:tr>
      <w:tr w:rsidTr="002A2936">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rsidP="00A61FF2">
            <w:pPr>
              <w:pStyle w:val="BodyText"/>
              <w:rPr>
                <w:lang w:val="en-NZ"/>
              </w:rPr>
            </w:pPr>
            <w:r w:rsidRPr="00A61FF2">
              <w:rPr>
                <w:rStyle w:val="BoldandItalics"/>
              </w:rPr>
              <w:t>Whole</w:t>
            </w:r>
            <w:r w:rsidRPr="00A61FF2">
              <w:t>-</w:t>
            </w:r>
            <w:r w:rsidRPr="00A61FF2">
              <w:rPr>
                <w:rStyle w:val="BoldandItalics"/>
              </w:rPr>
              <w:t>of</w:t>
            </w:r>
            <w:r w:rsidRPr="00A61FF2">
              <w:t>-</w:t>
            </w:r>
            <w:r w:rsidRPr="00A61FF2">
              <w:rPr>
                <w:rStyle w:val="BoldandItalics"/>
              </w:rPr>
              <w:t>life considerations</w:t>
            </w:r>
            <w:r w:rsidRPr="00A61FF2">
              <w:t xml:space="preserve"> may include:</w:t>
            </w:r>
          </w:p>
        </w:tc>
        <w:tc>
          <w:tcPr>
            <w:tcW w:w="5822" w:type="dxa"/>
            <w:tcBorders>
              <w:top w:val="nil"/>
              <w:left w:val="nil"/>
              <w:bottom w:val="nil"/>
              <w:right w:val="nil"/>
            </w:tcBorders>
            <w:tcMar>
              <w:top w:w="0" w:type="dxa"/>
              <w:left w:w="62" w:type="dxa"/>
              <w:bottom w:w="0" w:type="dxa"/>
              <w:right w:w="62" w:type="dxa"/>
            </w:tcMar>
          </w:tcPr>
          <w:p w:rsidR="00000000" w:rsidRPr="00A61FF2" w:rsidP="00A61FF2">
            <w:pPr>
              <w:pStyle w:val="ListBullet"/>
            </w:pPr>
            <w:r w:rsidRPr="00A61FF2">
              <w:t>benchmarks of expected financial performance</w:t>
            </w:r>
          </w:p>
          <w:p w:rsidR="00000000" w:rsidRPr="00A61FF2" w:rsidP="00A61FF2">
            <w:pPr>
              <w:pStyle w:val="ListBullet"/>
            </w:pPr>
            <w:r w:rsidRPr="00A61FF2">
              <w:t>calculations of discounted cash flows</w:t>
            </w:r>
          </w:p>
          <w:p w:rsidR="00000000" w:rsidRPr="00A61FF2" w:rsidP="00A61FF2">
            <w:pPr>
              <w:pStyle w:val="ListBullet"/>
            </w:pPr>
            <w:r w:rsidRPr="00A61FF2">
              <w:t>net present value</w:t>
            </w:r>
          </w:p>
          <w:p w:rsidR="00000000" w:rsidRPr="00A61FF2" w:rsidP="00A61FF2">
            <w:pPr>
              <w:pStyle w:val="ListBullet"/>
            </w:pPr>
            <w:r w:rsidRPr="00A61FF2">
              <w:t>return on investment</w:t>
            </w:r>
          </w:p>
          <w:p w:rsidR="00000000" w:rsidRPr="00A61FF2" w:rsidP="00A61FF2">
            <w:pPr>
              <w:pStyle w:val="ListBullet"/>
            </w:pPr>
            <w:r w:rsidRPr="00A61FF2">
              <w:t>transition costs in establishing initial contract</w:t>
            </w:r>
          </w:p>
          <w:p w:rsidR="00000000" w:rsidRPr="00A61FF2" w:rsidP="00A61FF2">
            <w:pPr>
              <w:pStyle w:val="ListBullet"/>
            </w:pPr>
            <w:r w:rsidRPr="00A61FF2">
              <w:t>transition costs in renewing or extending contract</w:t>
            </w:r>
          </w:p>
          <w:p w:rsidR="00000000" w:rsidP="00A61FF2">
            <w:pPr>
              <w:pStyle w:val="ListBullet"/>
              <w:rPr>
                <w:lang w:val="en-NZ"/>
              </w:rPr>
            </w:pPr>
            <w:r w:rsidRPr="00A61FF2">
              <w:t>net return or cost on disposal of assets.</w:t>
            </w:r>
          </w:p>
        </w:tc>
      </w:tr>
      <w:tr w:rsidTr="002A2936">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rsidP="00A61FF2">
            <w:pPr>
              <w:pStyle w:val="BodyText"/>
              <w:rPr>
                <w:lang w:val="en-NZ"/>
              </w:rPr>
            </w:pPr>
            <w:r w:rsidRPr="00A61FF2">
              <w:rPr>
                <w:rStyle w:val="BoldandItalics"/>
              </w:rPr>
              <w:t>Teams</w:t>
            </w:r>
            <w:r w:rsidRPr="00A61FF2">
              <w:t xml:space="preserve"> may include:</w:t>
            </w:r>
          </w:p>
        </w:tc>
        <w:tc>
          <w:tcPr>
            <w:tcW w:w="5822" w:type="dxa"/>
            <w:tcBorders>
              <w:top w:val="nil"/>
              <w:left w:val="nil"/>
              <w:bottom w:val="nil"/>
              <w:right w:val="nil"/>
            </w:tcBorders>
            <w:tcMar>
              <w:top w:w="0" w:type="dxa"/>
              <w:left w:w="62" w:type="dxa"/>
              <w:bottom w:w="0" w:type="dxa"/>
              <w:right w:w="62" w:type="dxa"/>
            </w:tcMar>
          </w:tcPr>
          <w:p w:rsidR="00000000" w:rsidRPr="00A61FF2" w:rsidP="00A61FF2">
            <w:pPr>
              <w:pStyle w:val="ListBullet"/>
            </w:pPr>
            <w:r w:rsidRPr="00A61FF2">
              <w:t>financial</w:t>
            </w:r>
          </w:p>
          <w:p w:rsidR="00000000" w:rsidRPr="00A61FF2" w:rsidP="00A61FF2">
            <w:pPr>
              <w:pStyle w:val="ListBullet"/>
            </w:pPr>
            <w:r w:rsidRPr="00A61FF2">
              <w:t>legal</w:t>
            </w:r>
          </w:p>
          <w:p w:rsidR="00000000" w:rsidRPr="00A61FF2" w:rsidP="00A61FF2">
            <w:pPr>
              <w:pStyle w:val="ListBullet"/>
            </w:pPr>
            <w:r w:rsidRPr="00A61FF2">
              <w:t>technical</w:t>
            </w:r>
          </w:p>
          <w:p w:rsidR="00000000" w:rsidRPr="00A61FF2" w:rsidP="00A61FF2">
            <w:pPr>
              <w:pStyle w:val="ListBullet"/>
            </w:pPr>
            <w:r w:rsidRPr="00A61FF2">
              <w:t>functional</w:t>
            </w:r>
          </w:p>
          <w:p w:rsidR="00000000" w:rsidRPr="00A61FF2" w:rsidP="00A61FF2">
            <w:pPr>
              <w:pStyle w:val="ListBullet"/>
            </w:pPr>
            <w:r w:rsidRPr="00A61FF2">
              <w:t>engineering</w:t>
            </w:r>
          </w:p>
          <w:p w:rsidR="00000000" w:rsidRPr="00A61FF2" w:rsidP="00A61FF2">
            <w:pPr>
              <w:pStyle w:val="ListBullet"/>
            </w:pPr>
            <w:r w:rsidRPr="00A61FF2">
              <w:t>scientific and research</w:t>
            </w:r>
          </w:p>
          <w:p w:rsidR="00000000" w:rsidRPr="00A61FF2" w:rsidP="00A61FF2">
            <w:pPr>
              <w:pStyle w:val="ListBullet"/>
            </w:pPr>
            <w:r w:rsidRPr="00A61FF2">
              <w:t>human resource</w:t>
            </w:r>
          </w:p>
          <w:p w:rsidR="00000000" w:rsidRPr="00A61FF2" w:rsidP="00A61FF2">
            <w:pPr>
              <w:pStyle w:val="ListBullet"/>
            </w:pPr>
            <w:r w:rsidRPr="00A61FF2">
              <w:t xml:space="preserve">commercial or business </w:t>
            </w:r>
          </w:p>
          <w:p w:rsidR="00000000" w:rsidP="00A61FF2">
            <w:pPr>
              <w:pStyle w:val="ListBullet"/>
              <w:rPr>
                <w:lang w:val="en-NZ"/>
              </w:rPr>
            </w:pPr>
            <w:r w:rsidRPr="00A61FF2">
              <w:t>consultants.</w:t>
            </w:r>
          </w:p>
        </w:tc>
      </w:tr>
      <w:tr w:rsidTr="002A2936">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rsidP="00A61FF2">
            <w:pPr>
              <w:pStyle w:val="BodyText"/>
              <w:rPr>
                <w:lang w:val="en-NZ"/>
              </w:rPr>
            </w:pPr>
            <w:r w:rsidRPr="00A61FF2">
              <w:rPr>
                <w:rStyle w:val="BoldandItalics"/>
              </w:rPr>
              <w:t>Performance measures</w:t>
            </w:r>
            <w:r w:rsidRPr="00A61FF2">
              <w:t xml:space="preserve"> may include:</w:t>
            </w:r>
          </w:p>
        </w:tc>
        <w:tc>
          <w:tcPr>
            <w:tcW w:w="5822" w:type="dxa"/>
            <w:tcBorders>
              <w:top w:val="nil"/>
              <w:left w:val="nil"/>
              <w:bottom w:val="nil"/>
              <w:right w:val="nil"/>
            </w:tcBorders>
            <w:tcMar>
              <w:top w:w="0" w:type="dxa"/>
              <w:left w:w="62" w:type="dxa"/>
              <w:bottom w:w="0" w:type="dxa"/>
              <w:right w:w="62" w:type="dxa"/>
            </w:tcMar>
          </w:tcPr>
          <w:p w:rsidR="00000000" w:rsidRPr="00A61FF2" w:rsidP="00A61FF2">
            <w:pPr>
              <w:pStyle w:val="ListBullet"/>
            </w:pPr>
            <w:r w:rsidRPr="00A61FF2">
              <w:t>purchase price reduction</w:t>
            </w:r>
          </w:p>
          <w:p w:rsidR="00000000" w:rsidRPr="00A61FF2" w:rsidP="00A61FF2">
            <w:pPr>
              <w:pStyle w:val="ListBullet"/>
            </w:pPr>
            <w:r w:rsidRPr="00A61FF2">
              <w:t>cost reduction</w:t>
            </w:r>
          </w:p>
          <w:p w:rsidR="00000000" w:rsidRPr="00A61FF2" w:rsidP="00A61FF2">
            <w:pPr>
              <w:pStyle w:val="ListBullet"/>
            </w:pPr>
            <w:r w:rsidRPr="00A61FF2">
              <w:t>value of additional negotiated benefits</w:t>
            </w:r>
          </w:p>
          <w:p w:rsidR="00000000" w:rsidRPr="00A61FF2" w:rsidP="00A61FF2">
            <w:pPr>
              <w:pStyle w:val="ListBullet"/>
            </w:pPr>
            <w:r w:rsidRPr="00A61FF2">
              <w:t>improvement in payment terms</w:t>
            </w:r>
          </w:p>
          <w:p w:rsidR="00000000" w:rsidRPr="00A61FF2" w:rsidP="00A61FF2">
            <w:pPr>
              <w:pStyle w:val="ListBullet"/>
            </w:pPr>
            <w:r w:rsidRPr="00A61FF2">
              <w:t>improved warranties</w:t>
            </w:r>
          </w:p>
          <w:p w:rsidR="00000000" w:rsidRPr="00A61FF2" w:rsidP="00A61FF2">
            <w:pPr>
              <w:pStyle w:val="ListBullet"/>
            </w:pPr>
            <w:r w:rsidRPr="00A61FF2">
              <w:t>cost-saving measures</w:t>
            </w:r>
          </w:p>
          <w:p w:rsidR="00000000" w:rsidRPr="00A61FF2" w:rsidP="00A61FF2">
            <w:pPr>
              <w:pStyle w:val="ListBullet"/>
            </w:pPr>
            <w:r w:rsidRPr="00A61FF2">
              <w:t>new sources of supply</w:t>
            </w:r>
          </w:p>
          <w:p w:rsidR="00000000" w:rsidRPr="00A61FF2" w:rsidP="00A61FF2">
            <w:pPr>
              <w:pStyle w:val="ListBullet"/>
            </w:pPr>
            <w:r w:rsidRPr="00A61FF2">
              <w:t>substitute goods and services</w:t>
            </w:r>
          </w:p>
          <w:p w:rsidR="00000000" w:rsidRPr="00A61FF2" w:rsidP="00A61FF2">
            <w:pPr>
              <w:pStyle w:val="ListBullet"/>
            </w:pPr>
            <w:r w:rsidRPr="00A61FF2">
              <w:t>improved supplier p</w:t>
            </w:r>
            <w:r w:rsidRPr="00A61FF2">
              <w:t>erformance</w:t>
            </w:r>
          </w:p>
          <w:p w:rsidR="00000000" w:rsidRPr="00A61FF2" w:rsidP="00A61FF2">
            <w:pPr>
              <w:pStyle w:val="ListBullet"/>
            </w:pPr>
            <w:r w:rsidRPr="00A61FF2">
              <w:t xml:space="preserve">reduction of demand </w:t>
            </w:r>
          </w:p>
          <w:p w:rsidR="00000000" w:rsidRPr="00A61FF2" w:rsidP="00A61FF2">
            <w:pPr>
              <w:pStyle w:val="ListBullet"/>
            </w:pPr>
            <w:r w:rsidRPr="00A61FF2">
              <w:t>improved access to market information for early identification of supply problems</w:t>
            </w:r>
          </w:p>
          <w:p w:rsidR="00000000" w:rsidRPr="00A61FF2" w:rsidP="00A61FF2">
            <w:pPr>
              <w:pStyle w:val="ListBullet"/>
            </w:pPr>
            <w:r w:rsidRPr="00A61FF2">
              <w:t>improved supply chain efficiencies</w:t>
            </w:r>
          </w:p>
          <w:p w:rsidR="00000000" w:rsidRPr="00A61FF2" w:rsidP="00A61FF2">
            <w:pPr>
              <w:pStyle w:val="ListBullet"/>
            </w:pPr>
            <w:r w:rsidRPr="00A61FF2">
              <w:t>reduction if risk exposure</w:t>
            </w:r>
          </w:p>
          <w:p w:rsidR="00000000" w:rsidRPr="00A61FF2" w:rsidP="00A61FF2">
            <w:pPr>
              <w:pStyle w:val="ListBullet"/>
            </w:pPr>
            <w:r w:rsidRPr="00A61FF2">
              <w:t>improved supplier attitude</w:t>
            </w:r>
          </w:p>
          <w:p w:rsidR="00000000" w:rsidRPr="00A61FF2" w:rsidP="00A61FF2">
            <w:pPr>
              <w:pStyle w:val="ListBullet"/>
            </w:pPr>
            <w:r w:rsidRPr="00A61FF2">
              <w:t>eliminating supply monopolies</w:t>
            </w:r>
          </w:p>
          <w:p w:rsidR="00000000" w:rsidP="00A61FF2">
            <w:pPr>
              <w:pStyle w:val="ListBullet"/>
              <w:rPr>
                <w:lang w:val="en-NZ"/>
              </w:rPr>
            </w:pPr>
            <w:r w:rsidRPr="00A61FF2">
              <w:t>improved participation of local suppliers.</w:t>
            </w:r>
          </w:p>
        </w:tc>
      </w:tr>
      <w:tr w:rsidTr="002A2936">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rsidP="00A61FF2">
            <w:pPr>
              <w:pStyle w:val="BodyText"/>
              <w:rPr>
                <w:lang w:val="en-NZ"/>
              </w:rPr>
            </w:pPr>
            <w:r w:rsidRPr="00A61FF2">
              <w:rPr>
                <w:rStyle w:val="BoldandItalics"/>
              </w:rPr>
              <w:t>Range of procurement activities</w:t>
            </w:r>
            <w:r w:rsidRPr="00A61FF2">
              <w:t xml:space="preserve"> may include:</w:t>
            </w:r>
          </w:p>
        </w:tc>
        <w:tc>
          <w:tcPr>
            <w:tcW w:w="5822" w:type="dxa"/>
            <w:tcBorders>
              <w:top w:val="nil"/>
              <w:left w:val="nil"/>
              <w:bottom w:val="nil"/>
              <w:right w:val="nil"/>
            </w:tcBorders>
            <w:tcMar>
              <w:top w:w="0" w:type="dxa"/>
              <w:left w:w="62" w:type="dxa"/>
              <w:bottom w:w="0" w:type="dxa"/>
              <w:right w:w="62" w:type="dxa"/>
            </w:tcMar>
          </w:tcPr>
          <w:p w:rsidR="00000000" w:rsidRPr="00A61FF2" w:rsidP="00A61FF2">
            <w:pPr>
              <w:pStyle w:val="ListBullet"/>
            </w:pPr>
            <w:r w:rsidRPr="00A61FF2">
              <w:t>easy to secure supply and high relative expenditure</w:t>
            </w:r>
          </w:p>
          <w:p w:rsidR="00000000" w:rsidRPr="00A61FF2" w:rsidP="00A61FF2">
            <w:pPr>
              <w:pStyle w:val="ListBullet"/>
            </w:pPr>
            <w:r w:rsidRPr="00A61FF2">
              <w:t>easy to secure supply and low relative expenditure</w:t>
            </w:r>
          </w:p>
          <w:p w:rsidR="00000000" w:rsidRPr="00A61FF2" w:rsidP="00A61FF2">
            <w:pPr>
              <w:pStyle w:val="ListBullet"/>
            </w:pPr>
            <w:r w:rsidRPr="00A61FF2">
              <w:t>difficult to secure supply and low relative expenditure</w:t>
            </w:r>
          </w:p>
          <w:p w:rsidR="00000000" w:rsidRPr="00A61FF2" w:rsidP="00A61FF2">
            <w:pPr>
              <w:pStyle w:val="ListBullet"/>
            </w:pPr>
            <w:r w:rsidRPr="00A61FF2">
              <w:t>difficu</w:t>
            </w:r>
            <w:r w:rsidRPr="00A61FF2">
              <w:t>lt to secure supply and high relative expenditure.</w:t>
            </w:r>
          </w:p>
        </w:tc>
      </w:tr>
    </w:tbl>
    <w:p w:rsidR="002A2936" w:rsidP="00A61FF2">
      <w:pPr>
        <w:pStyle w:val="BodyText"/>
      </w:pPr>
    </w:p>
    <w:p w:rsidR="002A2936" w:rsidP="00A61FF2">
      <w:pPr>
        <w:pStyle w:val="BodyText"/>
      </w:pPr>
    </w:p>
    <w:p w:rsidR="00000000" w:rsidRPr="00A61FF2" w:rsidP="00A61FF2">
      <w:pPr>
        <w:pStyle w:val="Heading1"/>
      </w:pPr>
      <w:bookmarkStart w:id="12" w:name="O_411136"/>
      <w:bookmarkEnd w:id="12"/>
      <w:r w:rsidRPr="00A61FF2">
        <w:t>Unit Sector(s)</w:t>
      </w:r>
    </w:p>
    <w:p w:rsidR="00000000" w:rsidRPr="00A61FF2" w:rsidP="00A61FF2">
      <w:pPr>
        <w:pStyle w:val="BodyText"/>
      </w:pPr>
      <w:r w:rsidRPr="00A61FF2">
        <w:t>Not applicable.</w:t>
      </w:r>
    </w:p>
    <w:p w:rsidR="00000000" w:rsidRPr="00A61FF2" w:rsidP="00A61FF2">
      <w:pPr>
        <w:pStyle w:val="AllowPageBreak"/>
      </w:pPr>
    </w:p>
    <w:p w:rsidR="00000000" w:rsidRPr="00A61FF2" w:rsidP="00A61FF2">
      <w:pPr>
        <w:pStyle w:val="Heading1"/>
      </w:pPr>
      <w:bookmarkStart w:id="13" w:name="O_411149"/>
      <w:bookmarkEnd w:id="13"/>
      <w:r w:rsidRPr="00A61FF2">
        <w:t>Competency field</w:t>
      </w:r>
    </w:p>
    <w:p w:rsidR="00000000" w:rsidRPr="00A61FF2" w:rsidP="00A61FF2">
      <w:pPr>
        <w:pStyle w:val="BodyText"/>
      </w:pPr>
      <w:r w:rsidRPr="00A61FF2">
        <w:t>Procurement and Contract Management.</w:t>
      </w:r>
    </w:p>
    <w:p w:rsidR="00000000" w:rsidRPr="00A61FF2" w:rsidP="00A61FF2"/>
    <w:sectPr w:rsidSect="00A61F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F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2936" w:rsidP="002A29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F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936" w:rsidP="00A61F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A2936" w:rsidP="00A61F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A2936" w:rsidP="00A61F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F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2936" w:rsidP="002A293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F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936" w:rsidP="00A61FF2">
    <w:pPr>
      <w:pStyle w:val="Header"/>
      <w:framePr w:wrap="around"/>
    </w:pPr>
    <w:r>
      <w:fldChar w:fldCharType="begin"/>
    </w:r>
    <w:r>
      <w:instrText xml:space="preserve"> TITLE   \* MERGEFORMAT </w:instrText>
    </w:r>
    <w:r>
      <w:fldChar w:fldCharType="separate"/>
    </w:r>
    <w:r>
      <w:t>PSPPROC605B Coordinate strategic procurement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A2936" w:rsidP="00A61F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F0BA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6A92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24C5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F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1FF2"/>
    <w:pPr>
      <w:spacing w:before="360" w:after="60"/>
      <w:outlineLvl w:val="0"/>
    </w:pPr>
    <w:rPr>
      <w:sz w:val="32"/>
    </w:rPr>
  </w:style>
  <w:style w:type="paragraph" w:styleId="Heading2">
    <w:name w:val="heading 2"/>
    <w:basedOn w:val="HeadingBase"/>
    <w:next w:val="BodyText"/>
    <w:link w:val="Heading2Char"/>
    <w:qFormat/>
    <w:rsid w:val="00A61FF2"/>
    <w:pPr>
      <w:keepLines/>
      <w:spacing w:before="240" w:after="120"/>
      <w:outlineLvl w:val="1"/>
    </w:pPr>
    <w:rPr>
      <w:sz w:val="28"/>
      <w:szCs w:val="40"/>
    </w:rPr>
  </w:style>
  <w:style w:type="paragraph" w:styleId="Heading3">
    <w:name w:val="heading 3"/>
    <w:basedOn w:val="HeadingBase"/>
    <w:next w:val="BodyText"/>
    <w:link w:val="Heading3Char"/>
    <w:qFormat/>
    <w:rsid w:val="00A61FF2"/>
    <w:pPr>
      <w:spacing w:before="180" w:after="120"/>
      <w:outlineLvl w:val="2"/>
    </w:pPr>
    <w:rPr>
      <w:spacing w:val="-10"/>
      <w:kern w:val="32"/>
    </w:rPr>
  </w:style>
  <w:style w:type="paragraph" w:styleId="Heading4">
    <w:name w:val="heading 4"/>
    <w:basedOn w:val="HeadingBase"/>
    <w:next w:val="BodyText"/>
    <w:link w:val="Heading4Char"/>
    <w:qFormat/>
    <w:rsid w:val="00A61FF2"/>
    <w:pPr>
      <w:spacing w:before="160" w:after="120"/>
      <w:outlineLvl w:val="3"/>
    </w:pPr>
    <w:rPr>
      <w:sz w:val="22"/>
    </w:rPr>
  </w:style>
  <w:style w:type="paragraph" w:styleId="Heading5">
    <w:name w:val="heading 5"/>
    <w:basedOn w:val="HeadingBase"/>
    <w:next w:val="Normal"/>
    <w:link w:val="Heading5Char"/>
    <w:qFormat/>
    <w:rsid w:val="00A61FF2"/>
    <w:pPr>
      <w:spacing w:before="80"/>
      <w:outlineLvl w:val="4"/>
    </w:pPr>
    <w:rPr>
      <w:color w:val="918585"/>
      <w:sz w:val="20"/>
    </w:rPr>
  </w:style>
  <w:style w:type="paragraph" w:styleId="Heading6">
    <w:name w:val="heading 6"/>
    <w:basedOn w:val="HeadingBase"/>
    <w:next w:val="Normal"/>
    <w:link w:val="Heading6Char"/>
    <w:qFormat/>
    <w:rsid w:val="00A61FF2"/>
    <w:pPr>
      <w:spacing w:before="60"/>
      <w:outlineLvl w:val="5"/>
    </w:pPr>
    <w:rPr>
      <w:color w:val="918585"/>
      <w:sz w:val="20"/>
    </w:rPr>
  </w:style>
  <w:style w:type="paragraph" w:styleId="Heading7">
    <w:name w:val="heading 7"/>
    <w:basedOn w:val="Normal"/>
    <w:next w:val="Normal"/>
    <w:link w:val="Heading7Char"/>
    <w:qFormat/>
    <w:rsid w:val="00A61FF2"/>
    <w:pPr>
      <w:ind w:left="720"/>
      <w:outlineLvl w:val="6"/>
    </w:pPr>
    <w:rPr>
      <w:i/>
    </w:rPr>
  </w:style>
  <w:style w:type="paragraph" w:styleId="Heading8">
    <w:name w:val="heading 8"/>
    <w:basedOn w:val="Normal"/>
    <w:next w:val="Normal"/>
    <w:link w:val="Heading8Char"/>
    <w:qFormat/>
    <w:rsid w:val="00A61FF2"/>
    <w:pPr>
      <w:ind w:left="720"/>
      <w:outlineLvl w:val="7"/>
    </w:pPr>
    <w:rPr>
      <w:i/>
    </w:rPr>
  </w:style>
  <w:style w:type="paragraph" w:styleId="Heading9">
    <w:name w:val="heading 9"/>
    <w:basedOn w:val="Normal"/>
    <w:next w:val="Normal"/>
    <w:link w:val="Heading9Char"/>
    <w:qFormat/>
    <w:rsid w:val="00A61FF2"/>
    <w:pPr>
      <w:ind w:left="720"/>
      <w:outlineLvl w:val="8"/>
    </w:pPr>
    <w:rPr>
      <w:i/>
    </w:rPr>
  </w:style>
  <w:style w:type="character" w:default="1" w:styleId="DefaultParagraphFont">
    <w:name w:val="Default Paragraph Font"/>
    <w:uiPriority w:val="1"/>
    <w:unhideWhenUsed/>
    <w:rsid w:val="00A61F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1FF2"/>
  </w:style>
  <w:style w:type="character" w:customStyle="1" w:styleId="Heading1Char">
    <w:name w:val="Heading 1 Char"/>
    <w:basedOn w:val="DefaultParagraphFont"/>
    <w:link w:val="Heading1"/>
    <w:rsid w:val="00A61FF2"/>
    <w:rPr>
      <w:rFonts w:ascii="Times New Roman" w:eastAsia="Times New Roman" w:hAnsi="Times New Roman" w:cs="Times New Roman"/>
      <w:b/>
      <w:sz w:val="32"/>
      <w:szCs w:val="20"/>
      <w:lang w:eastAsia="en-US"/>
    </w:rPr>
  </w:style>
  <w:style w:type="paragraph" w:styleId="BodyText">
    <w:name w:val="Body Text"/>
    <w:basedOn w:val="Normal"/>
    <w:link w:val="BodyTextChar"/>
    <w:rsid w:val="00A61F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1FF2"/>
    <w:rPr>
      <w:rFonts w:ascii="Times New Roman" w:eastAsia="Times New Roman" w:hAnsi="Times New Roman" w:cs="Times New Roman"/>
      <w:sz w:val="24"/>
      <w:lang w:val="en-US" w:eastAsia="en-US"/>
    </w:rPr>
  </w:style>
  <w:style w:type="paragraph" w:styleId="Footer">
    <w:name w:val="footer"/>
    <w:basedOn w:val="Normal"/>
    <w:link w:val="FooterChar"/>
    <w:rsid w:val="00A61F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1FF2"/>
    <w:rPr>
      <w:rFonts w:ascii="Times New Roman" w:eastAsia="Times New Roman" w:hAnsi="Times New Roman" w:cs="Times New Roman"/>
      <w:sz w:val="16"/>
      <w:lang w:val="en-US" w:eastAsia="en-US"/>
    </w:rPr>
  </w:style>
  <w:style w:type="paragraph" w:styleId="List">
    <w:name w:val="List"/>
    <w:basedOn w:val="BodyText"/>
    <w:next w:val="BodyText"/>
    <w:rsid w:val="00A61FF2"/>
    <w:pPr>
      <w:tabs>
        <w:tab w:val="left" w:pos="340"/>
      </w:tabs>
      <w:spacing w:before="60" w:after="60"/>
      <w:ind w:left="340" w:hanging="340"/>
    </w:pPr>
  </w:style>
  <w:style w:type="paragraph" w:styleId="ListBullet">
    <w:name w:val="List Bullet"/>
    <w:basedOn w:val="List"/>
    <w:rsid w:val="00A61FF2"/>
    <w:pPr>
      <w:numPr>
        <w:numId w:val="13"/>
      </w:numPr>
      <w:tabs>
        <w:tab w:val="clear" w:pos="340"/>
      </w:tabs>
      <w:spacing w:before="40" w:after="40"/>
    </w:pPr>
  </w:style>
  <w:style w:type="character" w:customStyle="1" w:styleId="SpecialBold">
    <w:name w:val="Special Bold"/>
    <w:basedOn w:val="DefaultParagraphFont"/>
    <w:rsid w:val="00A61FF2"/>
    <w:rPr>
      <w:b/>
      <w:spacing w:val="0"/>
    </w:rPr>
  </w:style>
  <w:style w:type="paragraph" w:styleId="ListBullet2">
    <w:name w:val="List Bullet 2"/>
    <w:basedOn w:val="List2"/>
    <w:rsid w:val="00A61FF2"/>
    <w:pPr>
      <w:numPr>
        <w:numId w:val="14"/>
      </w:numPr>
      <w:tabs>
        <w:tab w:val="clear" w:pos="680"/>
      </w:tabs>
    </w:pPr>
  </w:style>
  <w:style w:type="paragraph" w:styleId="Header">
    <w:name w:val="header"/>
    <w:basedOn w:val="Normal"/>
    <w:link w:val="HeaderChar"/>
    <w:rsid w:val="00A61F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1FF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61FF2"/>
    <w:pPr>
      <w:spacing w:before="240" w:after="120"/>
      <w:outlineLvl w:val="0"/>
    </w:pPr>
    <w:rPr>
      <w:rFonts w:ascii="Times New Roman" w:hAnsi="Times New Roman"/>
      <w:b/>
      <w:sz w:val="28"/>
    </w:rPr>
  </w:style>
  <w:style w:type="paragraph" w:customStyle="1" w:styleId="AllowPageBreak">
    <w:name w:val="AllowPageBreak"/>
    <w:rsid w:val="00A61F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61FF2"/>
    <w:rPr>
      <w:b/>
      <w:i/>
      <w:u w:val="none"/>
    </w:rPr>
  </w:style>
  <w:style w:type="character" w:customStyle="1" w:styleId="Heading2Char">
    <w:name w:val="Heading 2 Char"/>
    <w:basedOn w:val="DefaultParagraphFont"/>
    <w:link w:val="Heading2"/>
    <w:rsid w:val="00A61F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1F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1F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1F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1F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1F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1F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1FF2"/>
    <w:rPr>
      <w:rFonts w:ascii="Courier New" w:eastAsia="Times New Roman" w:hAnsi="Courier New" w:cs="Times New Roman"/>
      <w:i/>
      <w:szCs w:val="20"/>
      <w:lang w:val="en-US" w:eastAsia="en-US"/>
    </w:rPr>
  </w:style>
  <w:style w:type="paragraph" w:customStyle="1" w:styleId="HeadingBase">
    <w:name w:val="Heading Base"/>
    <w:rsid w:val="00A61F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1FF2"/>
    <w:pPr>
      <w:tabs>
        <w:tab w:val="right" w:leader="dot" w:pos="9072"/>
      </w:tabs>
      <w:ind w:left="567"/>
    </w:pPr>
    <w:rPr>
      <w:szCs w:val="22"/>
    </w:rPr>
  </w:style>
  <w:style w:type="paragraph" w:customStyle="1" w:styleId="TOCBase">
    <w:name w:val="TOC Base"/>
    <w:rsid w:val="00A61F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1FF2"/>
    <w:pPr>
      <w:tabs>
        <w:tab w:val="right" w:leader="dot" w:pos="9072"/>
      </w:tabs>
      <w:spacing w:before="40" w:after="40"/>
      <w:ind w:left="284"/>
    </w:pPr>
    <w:rPr>
      <w:rFonts w:ascii="Times New Roman" w:hAnsi="Times New Roman"/>
    </w:rPr>
  </w:style>
  <w:style w:type="paragraph" w:styleId="TOC1">
    <w:name w:val="toc 1"/>
    <w:basedOn w:val="TOCBase"/>
    <w:next w:val="Normal"/>
    <w:rsid w:val="00A61F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1FF2"/>
    <w:pPr>
      <w:spacing w:before="5040"/>
      <w:jc w:val="center"/>
    </w:pPr>
    <w:rPr>
      <w:sz w:val="48"/>
      <w:szCs w:val="72"/>
      <w:lang w:val="en-US"/>
    </w:rPr>
  </w:style>
  <w:style w:type="character" w:customStyle="1" w:styleId="TitleChar">
    <w:name w:val="Title Char"/>
    <w:basedOn w:val="DefaultParagraphFont"/>
    <w:link w:val="Title"/>
    <w:rsid w:val="00A61F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1FF2"/>
    <w:pPr>
      <w:tabs>
        <w:tab w:val="left" w:pos="3600"/>
        <w:tab w:val="left" w:pos="3958"/>
      </w:tabs>
    </w:pPr>
  </w:style>
  <w:style w:type="paragraph" w:customStyle="1" w:styleId="Note">
    <w:name w:val="Note"/>
    <w:basedOn w:val="BodyText"/>
    <w:rsid w:val="00A61F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1FF2"/>
    <w:pPr>
      <w:framePr w:wrap="auto" w:hAnchor="text" w:y="6049"/>
    </w:pPr>
    <w:rPr>
      <w:color w:val="000000"/>
      <w:sz w:val="40"/>
    </w:rPr>
  </w:style>
  <w:style w:type="paragraph" w:customStyle="1" w:styleId="TOCTitle">
    <w:name w:val="TOCTitle"/>
    <w:basedOn w:val="Heading1"/>
    <w:rsid w:val="00A61FF2"/>
    <w:pPr>
      <w:spacing w:after="240"/>
      <w:jc w:val="center"/>
      <w:outlineLvl w:val="9"/>
    </w:pPr>
    <w:rPr>
      <w:caps/>
    </w:rPr>
  </w:style>
  <w:style w:type="paragraph" w:customStyle="1" w:styleId="Version">
    <w:name w:val="Version"/>
    <w:rsid w:val="00A61F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1FF2"/>
    <w:pPr>
      <w:keepNext w:val="0"/>
      <w:tabs>
        <w:tab w:val="right" w:pos="4176"/>
      </w:tabs>
      <w:ind w:left="198" w:hanging="198"/>
    </w:pPr>
    <w:rPr>
      <w:rFonts w:ascii="Garamond" w:hAnsi="Garamond"/>
    </w:rPr>
  </w:style>
  <w:style w:type="paragraph" w:styleId="IndexHeading">
    <w:name w:val="index heading"/>
    <w:basedOn w:val="Normal"/>
    <w:next w:val="Index1"/>
    <w:semiHidden/>
    <w:rsid w:val="00A61FF2"/>
    <w:pPr>
      <w:spacing w:before="120" w:after="120"/>
    </w:pPr>
    <w:rPr>
      <w:rFonts w:ascii="Arial" w:hAnsi="Arial"/>
      <w:b/>
      <w:color w:val="918585"/>
      <w:sz w:val="24"/>
    </w:rPr>
  </w:style>
  <w:style w:type="paragraph" w:customStyle="1" w:styleId="Chapter">
    <w:name w:val="Chapter"/>
    <w:basedOn w:val="Normal"/>
    <w:rsid w:val="00A61FF2"/>
    <w:pPr>
      <w:spacing w:before="240"/>
    </w:pPr>
    <w:rPr>
      <w:rFonts w:ascii="Times New Roman" w:hAnsi="Times New Roman"/>
      <w:smallCaps/>
      <w:spacing w:val="80"/>
      <w:sz w:val="28"/>
    </w:rPr>
  </w:style>
  <w:style w:type="paragraph" w:customStyle="1" w:styleId="InChapter">
    <w:name w:val="InChapter"/>
    <w:basedOn w:val="Heading3"/>
    <w:rsid w:val="00A61FF2"/>
    <w:pPr>
      <w:spacing w:after="240"/>
      <w:outlineLvl w:val="9"/>
    </w:pPr>
    <w:rPr>
      <w:noProof/>
    </w:rPr>
  </w:style>
  <w:style w:type="paragraph" w:styleId="Index2">
    <w:name w:val="index 2"/>
    <w:basedOn w:val="Normal"/>
    <w:next w:val="Normal"/>
    <w:semiHidden/>
    <w:rsid w:val="00A61FF2"/>
    <w:pPr>
      <w:tabs>
        <w:tab w:val="right" w:pos="4176"/>
      </w:tabs>
      <w:ind w:left="568" w:hanging="284"/>
    </w:pPr>
    <w:rPr>
      <w:rFonts w:ascii="Garamond" w:hAnsi="Garamond"/>
    </w:rPr>
  </w:style>
  <w:style w:type="paragraph" w:customStyle="1" w:styleId="Byline">
    <w:name w:val="Byline"/>
    <w:rsid w:val="00A61F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1FF2"/>
    <w:pPr>
      <w:tabs>
        <w:tab w:val="clear" w:pos="3600"/>
        <w:tab w:val="clear" w:pos="3958"/>
      </w:tabs>
      <w:jc w:val="right"/>
    </w:pPr>
  </w:style>
  <w:style w:type="character" w:styleId="Emphasis">
    <w:name w:val="Emphasis"/>
    <w:basedOn w:val="DefaultParagraphFont"/>
    <w:qFormat/>
    <w:rsid w:val="00A61FF2"/>
    <w:rPr>
      <w:i/>
    </w:rPr>
  </w:style>
  <w:style w:type="paragraph" w:styleId="Caption">
    <w:name w:val="caption"/>
    <w:basedOn w:val="BodyText"/>
    <w:next w:val="Normal"/>
    <w:qFormat/>
    <w:rsid w:val="00A61FF2"/>
    <w:pPr>
      <w:framePr w:w="2268" w:hSpace="181" w:vSpace="181" w:wrap="around" w:vAnchor="text" w:hAnchor="page" w:x="1135" w:y="285" w:anchorLock="1"/>
    </w:pPr>
    <w:rPr>
      <w:i/>
    </w:rPr>
  </w:style>
  <w:style w:type="paragraph" w:customStyle="1" w:styleId="MiniTOCTitle">
    <w:name w:val="MiniTOCTitle"/>
    <w:basedOn w:val="Heading4"/>
    <w:rsid w:val="00A61FF2"/>
    <w:pPr>
      <w:spacing w:before="240"/>
      <w:outlineLvl w:val="9"/>
    </w:pPr>
    <w:rPr>
      <w:noProof/>
      <w:sz w:val="24"/>
    </w:rPr>
  </w:style>
  <w:style w:type="paragraph" w:customStyle="1" w:styleId="MiniTOCItem">
    <w:name w:val="MiniTOCItem"/>
    <w:basedOn w:val="ListBullet"/>
    <w:rsid w:val="00A61FF2"/>
    <w:pPr>
      <w:numPr>
        <w:numId w:val="0"/>
      </w:numPr>
      <w:tabs>
        <w:tab w:val="right" w:leader="dot" w:pos="6521"/>
      </w:tabs>
      <w:spacing w:before="0" w:after="0"/>
    </w:pPr>
  </w:style>
  <w:style w:type="paragraph" w:customStyle="1" w:styleId="TOFTitle">
    <w:name w:val="TOFTitle"/>
    <w:basedOn w:val="TOCTitle"/>
    <w:rsid w:val="00A61FF2"/>
  </w:style>
  <w:style w:type="paragraph" w:styleId="TableofFigures">
    <w:name w:val="table of figures"/>
    <w:basedOn w:val="Normal"/>
    <w:next w:val="Normal"/>
    <w:semiHidden/>
    <w:rsid w:val="00A61FF2"/>
    <w:pPr>
      <w:tabs>
        <w:tab w:val="right" w:leader="dot" w:pos="9072"/>
      </w:tabs>
      <w:ind w:left="970" w:hanging="403"/>
    </w:pPr>
    <w:rPr>
      <w:rFonts w:ascii="Times New Roman" w:hAnsi="Times New Roman"/>
      <w:b/>
    </w:rPr>
  </w:style>
  <w:style w:type="paragraph" w:styleId="ListNumber">
    <w:name w:val="List Number"/>
    <w:basedOn w:val="List"/>
    <w:rsid w:val="00A61FF2"/>
    <w:pPr>
      <w:numPr>
        <w:numId w:val="11"/>
      </w:numPr>
    </w:pPr>
  </w:style>
  <w:style w:type="character" w:customStyle="1" w:styleId="WingdingSymbols">
    <w:name w:val="Wingding Symbols"/>
    <w:rsid w:val="00A61FF2"/>
    <w:rPr>
      <w:rFonts w:ascii="Wingdings" w:hAnsi="Wingdings"/>
    </w:rPr>
  </w:style>
  <w:style w:type="paragraph" w:customStyle="1" w:styleId="TableHeading">
    <w:name w:val="Table Heading"/>
    <w:basedOn w:val="HeadingBase"/>
    <w:rsid w:val="00A61FF2"/>
    <w:pPr>
      <w:keepLines/>
      <w:pBdr>
        <w:bottom w:val="single" w:sz="6" w:space="1" w:color="918585"/>
      </w:pBdr>
      <w:spacing w:before="240"/>
    </w:pPr>
  </w:style>
  <w:style w:type="character" w:customStyle="1" w:styleId="HotSpot">
    <w:name w:val="HotSpot"/>
    <w:rsid w:val="00A61FF2"/>
    <w:rPr>
      <w:color w:val="0033CC"/>
      <w:u w:val="none"/>
    </w:rPr>
  </w:style>
  <w:style w:type="paragraph" w:customStyle="1" w:styleId="BodyTextRight">
    <w:name w:val="Body Text Right"/>
    <w:basedOn w:val="BodyText"/>
    <w:rsid w:val="00A61FF2"/>
    <w:pPr>
      <w:spacing w:before="0" w:after="0"/>
      <w:jc w:val="right"/>
    </w:pPr>
  </w:style>
  <w:style w:type="paragraph" w:styleId="Index3">
    <w:name w:val="index 3"/>
    <w:basedOn w:val="ListNumber2"/>
    <w:next w:val="Normal"/>
    <w:semiHidden/>
    <w:rsid w:val="00A61FF2"/>
    <w:pPr>
      <w:numPr>
        <w:numId w:val="0"/>
      </w:numPr>
      <w:tabs>
        <w:tab w:val="right" w:leader="dot" w:pos="4176"/>
      </w:tabs>
    </w:pPr>
  </w:style>
  <w:style w:type="paragraph" w:styleId="ListNumber2">
    <w:name w:val="List Number 2"/>
    <w:basedOn w:val="List2"/>
    <w:rsid w:val="00A61FF2"/>
    <w:pPr>
      <w:numPr>
        <w:numId w:val="10"/>
      </w:numPr>
      <w:tabs>
        <w:tab w:val="clear" w:pos="1060"/>
      </w:tabs>
    </w:pPr>
  </w:style>
  <w:style w:type="paragraph" w:customStyle="1" w:styleId="MarginNote">
    <w:name w:val="Margin Note"/>
    <w:basedOn w:val="BodyText"/>
    <w:rsid w:val="00A61F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1F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1F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1FF2"/>
    <w:rPr>
      <w:sz w:val="32"/>
    </w:rPr>
  </w:style>
  <w:style w:type="paragraph" w:customStyle="1" w:styleId="HeadingProcedure">
    <w:name w:val="Heading Procedure"/>
    <w:basedOn w:val="HeadingBase"/>
    <w:next w:val="Normal"/>
    <w:rsid w:val="00A61FF2"/>
    <w:pPr>
      <w:tabs>
        <w:tab w:val="left" w:pos="0"/>
      </w:tabs>
      <w:spacing w:before="120" w:after="60"/>
    </w:pPr>
    <w:rPr>
      <w:i/>
      <w:color w:val="918585"/>
      <w:sz w:val="22"/>
    </w:rPr>
  </w:style>
  <w:style w:type="paragraph" w:customStyle="1" w:styleId="TableBodyText">
    <w:name w:val="Table Body Text"/>
    <w:basedOn w:val="BodyText"/>
    <w:rsid w:val="00A61FF2"/>
    <w:pPr>
      <w:spacing w:before="60" w:after="60"/>
    </w:pPr>
  </w:style>
  <w:style w:type="paragraph" w:styleId="ListContinue">
    <w:name w:val="List Continue"/>
    <w:basedOn w:val="List"/>
    <w:rsid w:val="00A61FF2"/>
    <w:pPr>
      <w:ind w:firstLine="0"/>
    </w:pPr>
  </w:style>
  <w:style w:type="paragraph" w:customStyle="1" w:styleId="ListNote">
    <w:name w:val="List Note"/>
    <w:basedOn w:val="List"/>
    <w:rsid w:val="00A61FF2"/>
    <w:pPr>
      <w:pBdr>
        <w:top w:val="single" w:sz="6" w:space="2" w:color="918585"/>
        <w:bottom w:val="single" w:sz="6" w:space="2" w:color="918585"/>
      </w:pBdr>
      <w:tabs>
        <w:tab w:val="left" w:pos="1021"/>
      </w:tabs>
      <w:ind w:firstLine="0"/>
    </w:pPr>
  </w:style>
  <w:style w:type="paragraph" w:customStyle="1" w:styleId="Warning">
    <w:name w:val="Warning"/>
    <w:basedOn w:val="BodyText"/>
    <w:rsid w:val="00A61FF2"/>
    <w:pPr>
      <w:shd w:val="clear" w:color="auto" w:fill="D9D9D9"/>
      <w:tabs>
        <w:tab w:val="left" w:pos="992"/>
      </w:tabs>
      <w:ind w:left="119" w:right="119"/>
    </w:pPr>
    <w:rPr>
      <w:sz w:val="20"/>
    </w:rPr>
  </w:style>
  <w:style w:type="paragraph" w:customStyle="1" w:styleId="MarginIcons">
    <w:name w:val="Margin Icons"/>
    <w:basedOn w:val="BodyText"/>
    <w:rsid w:val="00A61F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1FF2"/>
    <w:rPr>
      <w:rFonts w:ascii="Courier New" w:hAnsi="Courier New"/>
    </w:rPr>
  </w:style>
  <w:style w:type="paragraph" w:customStyle="1" w:styleId="NoteBullet">
    <w:name w:val="Note Bullet"/>
    <w:basedOn w:val="Note"/>
    <w:rsid w:val="00A61FF2"/>
    <w:pPr>
      <w:tabs>
        <w:tab w:val="clear" w:pos="680"/>
      </w:tabs>
      <w:spacing w:before="60" w:after="60"/>
    </w:pPr>
  </w:style>
  <w:style w:type="paragraph" w:customStyle="1" w:styleId="SubHeading2">
    <w:name w:val="SubHeading2"/>
    <w:basedOn w:val="HeadingBase"/>
    <w:rsid w:val="00A61FF2"/>
    <w:pPr>
      <w:spacing w:before="240" w:after="60"/>
    </w:pPr>
    <w:rPr>
      <w:sz w:val="20"/>
    </w:rPr>
  </w:style>
  <w:style w:type="paragraph" w:customStyle="1" w:styleId="SubHeading1">
    <w:name w:val="SubHeading1"/>
    <w:basedOn w:val="HeadingBase"/>
    <w:rsid w:val="00A61FF2"/>
    <w:pPr>
      <w:spacing w:before="240" w:after="60"/>
    </w:pPr>
    <w:rPr>
      <w:color w:val="918585"/>
      <w:sz w:val="22"/>
    </w:rPr>
  </w:style>
  <w:style w:type="paragraph" w:customStyle="1" w:styleId="SideHeading">
    <w:name w:val="Side Heading"/>
    <w:basedOn w:val="HeadingBase"/>
    <w:rsid w:val="00A61F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1FF2"/>
    <w:pPr>
      <w:numPr>
        <w:numId w:val="12"/>
      </w:numPr>
    </w:pPr>
  </w:style>
  <w:style w:type="paragraph" w:styleId="PlainText">
    <w:name w:val="Plain Text"/>
    <w:basedOn w:val="Normal"/>
    <w:link w:val="PlainTextChar"/>
    <w:rsid w:val="00A61FF2"/>
    <w:rPr>
      <w:sz w:val="20"/>
    </w:rPr>
  </w:style>
  <w:style w:type="character" w:customStyle="1" w:styleId="PlainTextChar">
    <w:name w:val="Plain Text Char"/>
    <w:basedOn w:val="DefaultParagraphFont"/>
    <w:link w:val="PlainText"/>
    <w:rsid w:val="00A61FF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61FF2"/>
    <w:rPr>
      <w:b/>
      <w:smallCaps/>
    </w:rPr>
  </w:style>
  <w:style w:type="paragraph" w:customStyle="1" w:styleId="TableListNumber">
    <w:name w:val="Table List Number"/>
    <w:basedOn w:val="ListNumber"/>
    <w:rsid w:val="00A61FF2"/>
    <w:pPr>
      <w:numPr>
        <w:numId w:val="0"/>
      </w:numPr>
    </w:pPr>
  </w:style>
  <w:style w:type="paragraph" w:styleId="TOC4">
    <w:name w:val="toc 4"/>
    <w:basedOn w:val="TOCBase"/>
    <w:next w:val="Normal"/>
    <w:semiHidden/>
    <w:rsid w:val="00A61FF2"/>
    <w:pPr>
      <w:tabs>
        <w:tab w:val="right" w:leader="dot" w:pos="9071"/>
      </w:tabs>
      <w:ind w:left="1701"/>
    </w:pPr>
  </w:style>
  <w:style w:type="paragraph" w:customStyle="1" w:styleId="ListAlpha">
    <w:name w:val="List Alpha"/>
    <w:basedOn w:val="List"/>
    <w:rsid w:val="00A61FF2"/>
    <w:pPr>
      <w:numPr>
        <w:numId w:val="9"/>
      </w:numPr>
    </w:pPr>
  </w:style>
  <w:style w:type="paragraph" w:customStyle="1" w:styleId="ListAlpha2">
    <w:name w:val="List Alpha 2"/>
    <w:basedOn w:val="List2"/>
    <w:rsid w:val="00A61FF2"/>
    <w:pPr>
      <w:numPr>
        <w:numId w:val="8"/>
      </w:numPr>
    </w:pPr>
  </w:style>
  <w:style w:type="paragraph" w:styleId="List2">
    <w:name w:val="List 2"/>
    <w:basedOn w:val="BodyText"/>
    <w:rsid w:val="00A61FF2"/>
    <w:pPr>
      <w:tabs>
        <w:tab w:val="left" w:pos="680"/>
      </w:tabs>
      <w:spacing w:before="60" w:after="60"/>
      <w:ind w:left="680" w:hanging="340"/>
    </w:pPr>
  </w:style>
  <w:style w:type="paragraph" w:styleId="List3">
    <w:name w:val="List 3"/>
    <w:basedOn w:val="BodyText"/>
    <w:rsid w:val="00A61FF2"/>
    <w:pPr>
      <w:tabs>
        <w:tab w:val="left" w:pos="1021"/>
      </w:tabs>
      <w:spacing w:before="60" w:after="60"/>
      <w:ind w:left="1020" w:hanging="340"/>
    </w:pPr>
  </w:style>
  <w:style w:type="paragraph" w:styleId="List4">
    <w:name w:val="List 4"/>
    <w:basedOn w:val="BodyText"/>
    <w:rsid w:val="00A61FF2"/>
    <w:pPr>
      <w:tabs>
        <w:tab w:val="left" w:pos="1361"/>
      </w:tabs>
      <w:spacing w:before="60" w:after="60"/>
      <w:ind w:left="1361" w:hanging="340"/>
    </w:pPr>
  </w:style>
  <w:style w:type="paragraph" w:styleId="List5">
    <w:name w:val="List 5"/>
    <w:basedOn w:val="BodyText"/>
    <w:rsid w:val="00A61FF2"/>
    <w:pPr>
      <w:tabs>
        <w:tab w:val="left" w:pos="1701"/>
      </w:tabs>
      <w:spacing w:before="60" w:after="60"/>
      <w:ind w:left="1701" w:hanging="340"/>
    </w:pPr>
  </w:style>
  <w:style w:type="paragraph" w:styleId="ListBullet3">
    <w:name w:val="List Bullet 3"/>
    <w:basedOn w:val="List3"/>
    <w:rsid w:val="00A61FF2"/>
    <w:pPr>
      <w:numPr>
        <w:numId w:val="15"/>
      </w:numPr>
      <w:tabs>
        <w:tab w:val="clear" w:pos="1021"/>
      </w:tabs>
      <w:ind w:left="1037" w:hanging="357"/>
    </w:pPr>
  </w:style>
  <w:style w:type="paragraph" w:styleId="ListBullet4">
    <w:name w:val="List Bullet 4"/>
    <w:basedOn w:val="List4"/>
    <w:rsid w:val="00A61FF2"/>
    <w:pPr>
      <w:numPr>
        <w:numId w:val="3"/>
      </w:numPr>
    </w:pPr>
  </w:style>
  <w:style w:type="paragraph" w:styleId="ListBullet5">
    <w:name w:val="List Bullet 5"/>
    <w:basedOn w:val="List5"/>
    <w:rsid w:val="00A61FF2"/>
    <w:pPr>
      <w:numPr>
        <w:numId w:val="4"/>
      </w:numPr>
    </w:pPr>
  </w:style>
  <w:style w:type="paragraph" w:styleId="ListContinue2">
    <w:name w:val="List Continue 2"/>
    <w:basedOn w:val="List2"/>
    <w:rsid w:val="00A61FF2"/>
    <w:pPr>
      <w:ind w:firstLine="0"/>
    </w:pPr>
  </w:style>
  <w:style w:type="paragraph" w:styleId="ListContinue3">
    <w:name w:val="List Continue 3"/>
    <w:basedOn w:val="List3"/>
    <w:rsid w:val="00A61FF2"/>
    <w:pPr>
      <w:ind w:left="1021" w:firstLine="0"/>
    </w:pPr>
  </w:style>
  <w:style w:type="paragraph" w:styleId="ListContinue4">
    <w:name w:val="List Continue 4"/>
    <w:basedOn w:val="List4"/>
    <w:rsid w:val="00A61FF2"/>
    <w:pPr>
      <w:ind w:firstLine="0"/>
    </w:pPr>
  </w:style>
  <w:style w:type="paragraph" w:styleId="ListContinue5">
    <w:name w:val="List Continue 5"/>
    <w:basedOn w:val="List5"/>
    <w:rsid w:val="00A61FF2"/>
    <w:pPr>
      <w:ind w:firstLine="0"/>
    </w:pPr>
  </w:style>
  <w:style w:type="paragraph" w:styleId="ListNumber3">
    <w:name w:val="List Number 3"/>
    <w:basedOn w:val="List3"/>
    <w:rsid w:val="00A61FF2"/>
    <w:pPr>
      <w:numPr>
        <w:numId w:val="5"/>
      </w:numPr>
    </w:pPr>
  </w:style>
  <w:style w:type="paragraph" w:styleId="ListNumber4">
    <w:name w:val="List Number 4"/>
    <w:basedOn w:val="List4"/>
    <w:rsid w:val="00A61FF2"/>
    <w:pPr>
      <w:numPr>
        <w:numId w:val="6"/>
      </w:numPr>
    </w:pPr>
  </w:style>
  <w:style w:type="paragraph" w:styleId="ListNumber5">
    <w:name w:val="List Number 5"/>
    <w:basedOn w:val="List5"/>
    <w:rsid w:val="00A61FF2"/>
    <w:pPr>
      <w:numPr>
        <w:numId w:val="7"/>
      </w:numPr>
    </w:pPr>
  </w:style>
  <w:style w:type="paragraph" w:styleId="BlockText">
    <w:name w:val="Block Text"/>
    <w:basedOn w:val="Normal"/>
    <w:rsid w:val="00A61FF2"/>
    <w:pPr>
      <w:spacing w:after="120"/>
      <w:ind w:left="1440" w:right="1440"/>
    </w:pPr>
  </w:style>
  <w:style w:type="character" w:customStyle="1" w:styleId="Subscript">
    <w:name w:val="Subscript"/>
    <w:basedOn w:val="DefaultParagraphFont"/>
    <w:rsid w:val="00A61FF2"/>
    <w:rPr>
      <w:sz w:val="16"/>
      <w:vertAlign w:val="subscript"/>
    </w:rPr>
  </w:style>
  <w:style w:type="character" w:customStyle="1" w:styleId="Superscript">
    <w:name w:val="Superscript"/>
    <w:basedOn w:val="DefaultParagraphFont"/>
    <w:rsid w:val="00A61FF2"/>
    <w:rPr>
      <w:sz w:val="16"/>
      <w:vertAlign w:val="superscript"/>
    </w:rPr>
  </w:style>
  <w:style w:type="character" w:customStyle="1" w:styleId="Symbols">
    <w:name w:val="Symbols"/>
    <w:basedOn w:val="DefaultParagraphFont"/>
    <w:rsid w:val="00A61FF2"/>
    <w:rPr>
      <w:rFonts w:ascii="Symbol" w:hAnsi="Symbol"/>
    </w:rPr>
  </w:style>
  <w:style w:type="character" w:customStyle="1" w:styleId="MenuOptions">
    <w:name w:val="Menu Options"/>
    <w:basedOn w:val="DefaultParagraphFont"/>
    <w:rsid w:val="00A61FF2"/>
    <w:rPr>
      <w:rFonts w:ascii="Arial Narrow" w:hAnsi="Arial Narrow"/>
      <w:smallCaps/>
    </w:rPr>
  </w:style>
  <w:style w:type="character" w:customStyle="1" w:styleId="Buttons">
    <w:name w:val="Buttons"/>
    <w:basedOn w:val="DefaultParagraphFont"/>
    <w:rsid w:val="00A61FF2"/>
    <w:rPr>
      <w:b/>
    </w:rPr>
  </w:style>
  <w:style w:type="character" w:customStyle="1" w:styleId="Underlined">
    <w:name w:val="Underlined"/>
    <w:basedOn w:val="DefaultParagraphFont"/>
    <w:rsid w:val="00A61FF2"/>
    <w:rPr>
      <w:u w:val="single"/>
    </w:rPr>
  </w:style>
  <w:style w:type="paragraph" w:customStyle="1" w:styleId="TableBodyTextRight">
    <w:name w:val="Table Body Text Right"/>
    <w:basedOn w:val="TableBodyText"/>
    <w:rsid w:val="00A61FF2"/>
    <w:pPr>
      <w:widowControl w:val="0"/>
      <w:autoSpaceDE w:val="0"/>
      <w:autoSpaceDN w:val="0"/>
      <w:adjustRightInd w:val="0"/>
      <w:jc w:val="right"/>
    </w:pPr>
    <w:rPr>
      <w:rFonts w:cs="Arial"/>
      <w:szCs w:val="18"/>
    </w:rPr>
  </w:style>
  <w:style w:type="paragraph" w:customStyle="1" w:styleId="CopyrightText">
    <w:name w:val="Copyright Text"/>
    <w:basedOn w:val="BodyText"/>
    <w:rsid w:val="00A61FF2"/>
    <w:rPr>
      <w:sz w:val="18"/>
    </w:rPr>
  </w:style>
  <w:style w:type="paragraph" w:customStyle="1" w:styleId="BodySmallRight">
    <w:name w:val="Body Small Right"/>
    <w:basedOn w:val="BodyTextRight"/>
    <w:rsid w:val="00A61FF2"/>
    <w:rPr>
      <w:sz w:val="18"/>
      <w:szCs w:val="18"/>
    </w:rPr>
  </w:style>
  <w:style w:type="paragraph" w:customStyle="1" w:styleId="MarginEdition">
    <w:name w:val="Margin Edition"/>
    <w:basedOn w:val="MarginNote"/>
    <w:rsid w:val="00A61FF2"/>
    <w:pPr>
      <w:spacing w:before="0" w:after="0"/>
    </w:pPr>
    <w:rPr>
      <w:rFonts w:ascii="Times New Roman" w:hAnsi="Times New Roman"/>
      <w:color w:val="999999"/>
    </w:rPr>
  </w:style>
  <w:style w:type="paragraph" w:customStyle="1" w:styleId="Spacer">
    <w:name w:val="Spacer"/>
    <w:basedOn w:val="Normal"/>
    <w:rsid w:val="00A61FF2"/>
    <w:rPr>
      <w:sz w:val="2"/>
      <w:szCs w:val="2"/>
    </w:rPr>
  </w:style>
  <w:style w:type="character" w:customStyle="1" w:styleId="Small">
    <w:name w:val="Small"/>
    <w:basedOn w:val="DefaultParagraphFont"/>
    <w:rsid w:val="00A61FF2"/>
    <w:rPr>
      <w:sz w:val="16"/>
    </w:rPr>
  </w:style>
  <w:style w:type="paragraph" w:customStyle="1" w:styleId="WideTable">
    <w:name w:val="Wide Table"/>
    <w:basedOn w:val="Normal"/>
    <w:rsid w:val="00A61FF2"/>
    <w:pPr>
      <w:ind w:left="-1418"/>
    </w:pPr>
    <w:rPr>
      <w:sz w:val="2"/>
      <w:szCs w:val="2"/>
    </w:rPr>
  </w:style>
  <w:style w:type="character" w:styleId="PageNumber">
    <w:name w:val="page number"/>
    <w:basedOn w:val="DefaultParagraphFont"/>
    <w:rsid w:val="00A61FF2"/>
  </w:style>
  <w:style w:type="paragraph" w:styleId="Quote">
    <w:name w:val="Quote"/>
    <w:basedOn w:val="Heading1"/>
    <w:link w:val="QuoteChar"/>
    <w:qFormat/>
    <w:rsid w:val="00A61FF2"/>
    <w:rPr>
      <w:b w:val="0"/>
      <w:sz w:val="72"/>
      <w:szCs w:val="72"/>
      <w:lang w:val="en-NZ"/>
    </w:rPr>
  </w:style>
  <w:style w:type="character" w:customStyle="1" w:styleId="QuoteChar">
    <w:name w:val="Quote Char"/>
    <w:basedOn w:val="DefaultParagraphFont"/>
    <w:link w:val="Quote"/>
    <w:rsid w:val="00A61F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1FF2"/>
    <w:pPr>
      <w:pageBreakBefore/>
    </w:pPr>
  </w:style>
  <w:style w:type="paragraph" w:customStyle="1" w:styleId="Border">
    <w:name w:val="Border"/>
    <w:basedOn w:val="Normal"/>
    <w:qFormat/>
    <w:rsid w:val="00A61F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1FF2"/>
    <w:rPr>
      <w:b/>
      <w:bCs/>
      <w:i/>
      <w:iCs/>
      <w:color w:val="auto"/>
    </w:rPr>
  </w:style>
  <w:style w:type="paragraph" w:styleId="IntenseQuote">
    <w:name w:val="Intense Quote"/>
    <w:basedOn w:val="Normal"/>
    <w:next w:val="Normal"/>
    <w:link w:val="IntenseQuoteChar"/>
    <w:uiPriority w:val="30"/>
    <w:qFormat/>
    <w:rsid w:val="00A61F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1FF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61FF2"/>
    <w:rPr>
      <w:smallCaps/>
      <w:color w:val="auto"/>
      <w:u w:val="single"/>
    </w:rPr>
  </w:style>
  <w:style w:type="character" w:styleId="IntenseReference">
    <w:name w:val="Intense Reference"/>
    <w:basedOn w:val="DefaultParagraphFont"/>
    <w:uiPriority w:val="32"/>
    <w:qFormat/>
    <w:rsid w:val="00A61FF2"/>
    <w:rPr>
      <w:b/>
      <w:bCs/>
      <w:smallCaps/>
      <w:color w:val="auto"/>
      <w:spacing w:val="5"/>
      <w:u w:val="single"/>
    </w:rPr>
  </w:style>
  <w:style w:type="paragraph" w:customStyle="1" w:styleId="2ColumnHeading">
    <w:name w:val="2Column Heading"/>
    <w:basedOn w:val="BodyText"/>
    <w:qFormat/>
    <w:rsid w:val="00A61FF2"/>
    <w:pPr>
      <w:spacing w:after="60"/>
      <w:ind w:left="-2268"/>
    </w:pPr>
    <w:rPr>
      <w:b/>
    </w:rPr>
  </w:style>
  <w:style w:type="paragraph" w:customStyle="1" w:styleId="Heading1TOC">
    <w:name w:val="Heading1 TOC"/>
    <w:basedOn w:val="Normal"/>
    <w:qFormat/>
    <w:rsid w:val="00A61FF2"/>
    <w:pPr>
      <w:spacing w:before="240" w:after="120"/>
    </w:pPr>
    <w:rPr>
      <w:rFonts w:ascii="Times New Roman" w:hAnsi="Times New Roman"/>
      <w:b/>
      <w:sz w:val="32"/>
    </w:rPr>
  </w:style>
  <w:style w:type="paragraph" w:customStyle="1" w:styleId="Heading2TOC">
    <w:name w:val="Heading2 TOC"/>
    <w:basedOn w:val="Normal"/>
    <w:qFormat/>
    <w:rsid w:val="00A61FF2"/>
    <w:pPr>
      <w:spacing w:before="240" w:after="60"/>
    </w:pPr>
    <w:rPr>
      <w:rFonts w:ascii="Times New Roman" w:hAnsi="Times New Roman"/>
      <w:b/>
      <w:sz w:val="28"/>
    </w:rPr>
  </w:style>
  <w:style w:type="character" w:customStyle="1" w:styleId="Underline">
    <w:name w:val="Underline"/>
    <w:basedOn w:val="DefaultParagraphFont"/>
    <w:qFormat/>
    <w:rsid w:val="00A61FF2"/>
    <w:rPr>
      <w:u w:val="single"/>
    </w:rPr>
  </w:style>
  <w:style w:type="paragraph" w:styleId="BalloonText">
    <w:name w:val="Balloon Text"/>
    <w:basedOn w:val="Normal"/>
    <w:link w:val="BalloonTextChar"/>
    <w:rsid w:val="00A61FF2"/>
    <w:rPr>
      <w:rFonts w:ascii="Tahoma" w:hAnsi="Tahoma" w:cs="Tahoma"/>
      <w:sz w:val="16"/>
      <w:szCs w:val="16"/>
    </w:rPr>
  </w:style>
  <w:style w:type="character" w:customStyle="1" w:styleId="BalloonTextChar">
    <w:name w:val="Balloon Text Char"/>
    <w:basedOn w:val="DefaultParagraphFont"/>
    <w:link w:val="BalloonText"/>
    <w:rsid w:val="00A61F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1F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1FF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1942</Words>
  <Characters>13330</Characters>
  <Application>Microsoft Office Word</Application>
  <DocSecurity>0</DocSecurity>
  <Lines>412</Lines>
  <Paragraphs>260</Paragraphs>
  <ScaleCrop>false</ScaleCrop>
  <Company>Author-it Software Corporation Ltd.</Company>
  <LinksUpToDate>false</LinksUpToDate>
  <CharactersWithSpaces>15203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PSPPROC605B Coordinate strategic procurement</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2012-05-26T08:24:00Z</dcterms:created>
  <dcterms:modified xsi:type="dcterms:W3CDTF">2012-05-26T08:24:00Z</dcterms:modified>
</cp:coreProperties>
</file>