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C5948" w:rsidP="001C5948">
      <w:pPr>
        <w:pStyle w:val="Title"/>
      </w:pPr>
      <w:r>
        <w:fldChar w:fldCharType="begin"/>
      </w:r>
      <w:r>
        <w:instrText xml:space="preserve"> TITLE   \* MERGEFORMAT </w:instrText>
      </w:r>
      <w:r>
        <w:fldChar w:fldCharType="separate"/>
      </w:r>
      <w:r>
        <w:t>PSPPROC508A Make procurement decisions</w:t>
      </w:r>
      <w:r>
        <w:fldChar w:fldCharType="end"/>
      </w:r>
    </w:p>
    <w:p w:rsidR="001C5948" w:rsidP="001C5948">
      <w:pPr>
        <w:pStyle w:val="Version"/>
        <w:sectPr w:rsidSect="001E6AA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1E6AAA" w:rsidP="001E6AAA">
      <w:pPr>
        <w:pStyle w:val="SuperHeading"/>
      </w:pPr>
      <w:r w:rsidRPr="001E6AAA">
        <w:t>PSPPROC508A Make procurement decisions</w:t>
      </w:r>
    </w:p>
    <w:p w:rsidR="00000000" w:rsidRPr="001E6AAA" w:rsidP="001E6AAA">
      <w:pPr>
        <w:pStyle w:val="SuperHeading"/>
      </w:pPr>
    </w:p>
    <w:p w:rsidR="00000000" w:rsidRPr="001E6AAA" w:rsidP="001E6AAA">
      <w:pPr>
        <w:pStyle w:val="Heading1"/>
      </w:pPr>
      <w:bookmarkStart w:id="1" w:name="O_411061"/>
      <w:bookmarkEnd w:id="1"/>
      <w:r w:rsidRPr="001E6AAA">
        <w:t>Modification History</w:t>
      </w:r>
    </w:p>
    <w:p w:rsidR="00000000" w:rsidRPr="001E6AAA" w:rsidP="001E6AAA">
      <w:pPr>
        <w:pStyle w:val="BodyText"/>
      </w:pPr>
      <w:r w:rsidRPr="001E6AAA">
        <w:t>PSPPROC508A Release 2:</w:t>
      </w:r>
      <w:r w:rsidRPr="001E6AAA">
        <w:tab/>
        <w:t>Layout adjusted. No changes to content.</w:t>
      </w:r>
    </w:p>
    <w:p w:rsidR="00000000" w:rsidRPr="001E6AAA" w:rsidP="001E6AAA">
      <w:pPr>
        <w:pStyle w:val="BodyText"/>
      </w:pPr>
      <w:r w:rsidRPr="001E6AAA">
        <w:t>PSPPROC508A Release 1:</w:t>
      </w:r>
      <w:r w:rsidRPr="001E6AAA">
        <w:tab/>
        <w:t>Primary release.</w:t>
      </w:r>
    </w:p>
    <w:p w:rsidR="00000000" w:rsidRPr="001E6AAA" w:rsidP="001E6AAA">
      <w:pPr>
        <w:pStyle w:val="AllowPageBreak"/>
      </w:pPr>
    </w:p>
    <w:p w:rsidR="00000000" w:rsidRPr="001E6AAA" w:rsidP="001E6AAA">
      <w:pPr>
        <w:pStyle w:val="Heading1"/>
      </w:pPr>
      <w:bookmarkStart w:id="2" w:name="O_411057"/>
      <w:bookmarkEnd w:id="2"/>
      <w:r w:rsidRPr="001E6AAA">
        <w:t>Unit Descriptor</w:t>
      </w:r>
    </w:p>
    <w:p w:rsidR="00000000" w:rsidRPr="001E6AAA" w:rsidP="001E6AAA">
      <w:pPr>
        <w:pStyle w:val="BodyText"/>
      </w:pPr>
      <w:r w:rsidRPr="001E6AAA">
        <w:t>This unit covers advanced decision maki</w:t>
      </w:r>
      <w:r w:rsidRPr="001E6AAA">
        <w:t>ng for complex procurement within established guidelines, policies and procedures. It includes understanding and applying legal and policy obligations in addition to the other factors that may influence decisions when selecting effective procurement method</w:t>
      </w:r>
      <w:r w:rsidRPr="001E6AAA">
        <w:t>s, and undertaking contractual arrangements and supplier choice in an accountable and transparent environment.</w:t>
      </w:r>
    </w:p>
    <w:p w:rsidR="00000000" w:rsidRPr="001E6AAA" w:rsidP="001E6AAA">
      <w:pPr>
        <w:pStyle w:val="BodyText"/>
      </w:pPr>
      <w:r w:rsidRPr="001E6AAA">
        <w:t>In practice, making procurement decisions may overlap with other public sector and local government generalist and specialist work activities, su</w:t>
      </w:r>
      <w:r w:rsidRPr="001E6AAA">
        <w:t>ch as acting ethically, complying with legislation, providing client service, providing leadership, developing policy, and undertaking negotiations.</w:t>
      </w:r>
    </w:p>
    <w:p w:rsidR="00000000" w:rsidRPr="001E6AAA" w:rsidP="001E6AAA">
      <w:pPr>
        <w:pStyle w:val="BodyText"/>
      </w:pPr>
      <w:r w:rsidRPr="001E6AAA">
        <w:t>No licensing, legislative, regulatory or certification requirements apply to this unit at the time of endor</w:t>
      </w:r>
      <w:r w:rsidRPr="001E6AAA">
        <w:t>sement.</w:t>
      </w:r>
    </w:p>
    <w:p w:rsidR="00000000" w:rsidRPr="001E6AAA" w:rsidP="001E6AAA">
      <w:pPr>
        <w:pStyle w:val="AllowPageBreak"/>
      </w:pPr>
    </w:p>
    <w:p w:rsidR="00000000" w:rsidRPr="001E6AAA" w:rsidP="001E6AAA">
      <w:pPr>
        <w:pStyle w:val="Heading1"/>
      </w:pPr>
      <w:bookmarkStart w:id="3" w:name="O_411070"/>
      <w:bookmarkEnd w:id="3"/>
      <w:r w:rsidRPr="001E6AAA">
        <w:t>Application of the Unit</w:t>
      </w:r>
    </w:p>
    <w:p w:rsidR="00000000" w:rsidRPr="001E6AAA" w:rsidP="001E6AAA">
      <w:pPr>
        <w:pStyle w:val="BodyText"/>
      </w:pPr>
      <w:r w:rsidRPr="001E6AAA">
        <w:t>This unit applies to those in specialist procurement and contracting.</w:t>
      </w:r>
    </w:p>
    <w:p w:rsidR="00000000" w:rsidRPr="001E6AAA" w:rsidP="001E6AAA">
      <w:pPr>
        <w:pStyle w:val="AllowPageBreak"/>
      </w:pPr>
    </w:p>
    <w:p w:rsidR="00000000" w:rsidRPr="001E6AAA" w:rsidP="001E6AAA">
      <w:pPr>
        <w:pStyle w:val="Heading1"/>
      </w:pPr>
      <w:bookmarkStart w:id="4" w:name="O_411062"/>
      <w:bookmarkEnd w:id="4"/>
      <w:r w:rsidRPr="001E6AAA">
        <w:t>Licensing/Regulatory Information</w:t>
      </w:r>
    </w:p>
    <w:p w:rsidR="00000000" w:rsidRPr="001E6AAA" w:rsidP="001E6AAA">
      <w:pPr>
        <w:pStyle w:val="BodyText"/>
      </w:pPr>
      <w:r w:rsidRPr="001E6AAA">
        <w:t>Not applicable.</w:t>
      </w:r>
    </w:p>
    <w:p w:rsidR="00000000" w:rsidRPr="001E6AAA" w:rsidP="001E6AAA">
      <w:pPr>
        <w:pStyle w:val="AllowPageBreak"/>
      </w:pPr>
    </w:p>
    <w:p w:rsidR="00000000" w:rsidRPr="001E6AAA" w:rsidP="001E6AAA">
      <w:pPr>
        <w:pStyle w:val="Heading1"/>
      </w:pPr>
      <w:bookmarkStart w:id="5" w:name="O_411060"/>
      <w:bookmarkEnd w:id="5"/>
      <w:r w:rsidRPr="001E6AAA">
        <w:t>Pre-Requisites</w:t>
      </w:r>
    </w:p>
    <w:p w:rsidR="00000000" w:rsidRPr="001E6AAA" w:rsidP="001E6AAA">
      <w:pPr>
        <w:pStyle w:val="BodyText"/>
      </w:pPr>
      <w:r w:rsidRPr="001E6AAA">
        <w:t>Not applicable.</w:t>
      </w:r>
    </w:p>
    <w:p w:rsidR="00000000" w:rsidRPr="001E6AAA" w:rsidP="001E6AAA">
      <w:pPr>
        <w:pStyle w:val="AllowPageBreak"/>
      </w:pPr>
    </w:p>
    <w:p w:rsidR="00000000" w:rsidRPr="001E6AAA" w:rsidP="001E6AAA">
      <w:pPr>
        <w:pStyle w:val="Heading1"/>
      </w:pPr>
      <w:bookmarkStart w:id="6" w:name="O_411065"/>
      <w:bookmarkEnd w:id="6"/>
      <w:r w:rsidRPr="001E6AAA">
        <w:t>Employability Skills Information</w:t>
      </w:r>
    </w:p>
    <w:p w:rsidR="00000000" w:rsidRPr="001E6AAA" w:rsidP="001E6AAA">
      <w:pPr>
        <w:pStyle w:val="BodyText"/>
      </w:pPr>
      <w:r w:rsidRPr="001E6AAA">
        <w:t>This unit contains employability skills.</w:t>
      </w:r>
    </w:p>
    <w:p w:rsidR="00000000" w:rsidRPr="001E6AAA" w:rsidP="001E6AAA">
      <w:pPr>
        <w:pStyle w:val="AllowPageBreak"/>
      </w:pPr>
    </w:p>
    <w:p w:rsidR="00000000" w:rsidRPr="001E6AAA" w:rsidP="001E6AAA">
      <w:pPr>
        <w:pStyle w:val="Heading1"/>
      </w:pPr>
      <w:bookmarkStart w:id="7" w:name="O_411066"/>
      <w:bookmarkEnd w:id="7"/>
      <w:r w:rsidRPr="001E6AAA">
        <w:t>Elements and Performance Criteria Pre-Content</w:t>
      </w:r>
    </w:p>
    <w:tbl>
      <w:tblPr>
        <w:tblW w:w="0" w:type="auto"/>
        <w:tblLayout w:type="fixed"/>
        <w:tblCellMar>
          <w:left w:w="62" w:type="dxa"/>
          <w:right w:w="62" w:type="dxa"/>
        </w:tblCellMar>
        <w:tblLook w:val="0000"/>
      </w:tblPr>
      <w:tblGrid>
        <w:gridCol w:w="2563"/>
        <w:gridCol w:w="5959"/>
      </w:tblGrid>
      <w:tr w:rsidTr="001C5948">
        <w:tblPrEx>
          <w:tblW w:w="0" w:type="auto"/>
          <w:tblLayout w:type="fixed"/>
          <w:tblCellMar>
            <w:left w:w="62" w:type="dxa"/>
            <w:right w:w="62" w:type="dxa"/>
          </w:tblCellMar>
          <w:tblLook w:val="0000"/>
        </w:tblPrEx>
        <w:tc>
          <w:tcPr>
            <w:tcW w:w="2563" w:type="dxa"/>
            <w:tcBorders>
              <w:top w:val="nil"/>
              <w:left w:val="nil"/>
              <w:bottom w:val="nil"/>
              <w:right w:val="nil"/>
            </w:tcBorders>
            <w:tcMar>
              <w:top w:w="0" w:type="dxa"/>
              <w:left w:w="62" w:type="dxa"/>
              <w:bottom w:w="0" w:type="dxa"/>
              <w:right w:w="62" w:type="dxa"/>
            </w:tcMar>
          </w:tcPr>
          <w:p w:rsidR="00000000" w:rsidP="001E6AAA">
            <w:pPr>
              <w:pStyle w:val="BodyText"/>
              <w:rPr>
                <w:lang w:val="en-NZ"/>
              </w:rPr>
            </w:pPr>
            <w:r w:rsidRPr="001E6AAA">
              <w:t>Elements describe the essential outcomes of a unit of competency.</w:t>
            </w:r>
          </w:p>
        </w:tc>
        <w:tc>
          <w:tcPr>
            <w:tcW w:w="5959" w:type="dxa"/>
            <w:tcBorders>
              <w:top w:val="nil"/>
              <w:left w:val="nil"/>
              <w:bottom w:val="nil"/>
              <w:right w:val="nil"/>
            </w:tcBorders>
            <w:tcMar>
              <w:top w:w="0" w:type="dxa"/>
              <w:left w:w="62" w:type="dxa"/>
              <w:bottom w:w="0" w:type="dxa"/>
              <w:right w:w="62" w:type="dxa"/>
            </w:tcMar>
          </w:tcPr>
          <w:p w:rsidR="00000000" w:rsidRPr="001E6AAA" w:rsidP="001E6AAA">
            <w:pPr>
              <w:pStyle w:val="BodyText"/>
            </w:pPr>
            <w:r w:rsidRPr="001E6AAA">
              <w:t>Performance criteria describe the performance needed to demonstrate achievement of the element. Where</w:t>
            </w:r>
            <w:r w:rsidRPr="001E6AAA">
              <w:rPr>
                <w:rStyle w:val="BoldandItalics"/>
              </w:rPr>
              <w:t xml:space="preserve"> bold italicised</w:t>
            </w:r>
            <w:r w:rsidRPr="001E6AAA">
              <w:t xml:space="preserve"> text is used, further information is detailed in the range statement. Assessment of performance is to be consistent with the evidence guid</w:t>
            </w:r>
            <w:r w:rsidRPr="001E6AAA">
              <w:t>e.</w:t>
            </w:r>
          </w:p>
        </w:tc>
      </w:tr>
    </w:tbl>
    <w:p w:rsidR="00000000" w:rsidRPr="001E6AAA" w:rsidP="001E6AAA">
      <w:pPr>
        <w:pStyle w:val="BodyText"/>
      </w:pPr>
    </w:p>
    <w:p w:rsidR="00000000" w:rsidRPr="001E6AAA" w:rsidP="001E6AAA">
      <w:pPr>
        <w:pStyle w:val="AllowPageBreak"/>
      </w:pPr>
    </w:p>
    <w:p w:rsidR="00000000" w:rsidRPr="001E6AAA" w:rsidP="001E6AAA">
      <w:pPr>
        <w:pStyle w:val="Heading1"/>
      </w:pPr>
      <w:bookmarkStart w:id="8" w:name="O_411067"/>
      <w:bookmarkEnd w:id="8"/>
      <w:r w:rsidRPr="001E6AAA">
        <w:t>Elements and Performance Criteria</w:t>
      </w:r>
    </w:p>
    <w:tbl>
      <w:tblPr>
        <w:tblW w:w="0" w:type="auto"/>
        <w:tblLayout w:type="fixed"/>
        <w:tblCellMar>
          <w:left w:w="62" w:type="dxa"/>
          <w:right w:w="62" w:type="dxa"/>
        </w:tblCellMar>
        <w:tblLook w:val="0000"/>
      </w:tblPr>
      <w:tblGrid>
        <w:gridCol w:w="2563"/>
        <w:gridCol w:w="31"/>
        <w:gridCol w:w="5928"/>
      </w:tblGrid>
      <w:tr w:rsidTr="001C5948">
        <w:tblPrEx>
          <w:tblW w:w="0" w:type="auto"/>
          <w:tblLayout w:type="fixed"/>
          <w:tblCellMar>
            <w:left w:w="62" w:type="dxa"/>
            <w:right w:w="62" w:type="dxa"/>
          </w:tblCellMar>
          <w:tblLook w:val="0000"/>
        </w:tblPrEx>
        <w:tc>
          <w:tcPr>
            <w:tcW w:w="2563" w:type="dxa"/>
            <w:tcBorders>
              <w:top w:val="nil"/>
              <w:left w:val="nil"/>
              <w:bottom w:val="nil"/>
              <w:right w:val="nil"/>
            </w:tcBorders>
            <w:tcMar>
              <w:top w:w="0" w:type="dxa"/>
              <w:left w:w="62" w:type="dxa"/>
              <w:bottom w:w="0" w:type="dxa"/>
              <w:right w:w="62" w:type="dxa"/>
            </w:tcMar>
          </w:tcPr>
          <w:p w:rsidR="00000000" w:rsidRPr="001E6AAA" w:rsidP="001E6AAA">
            <w:pPr>
              <w:pStyle w:val="BodyText"/>
            </w:pPr>
            <w:r w:rsidRPr="001E6AAA">
              <w:rPr>
                <w:rStyle w:val="SpecialBold"/>
              </w:rPr>
              <w:t>ELEMENT</w:t>
            </w:r>
          </w:p>
        </w:tc>
        <w:tc>
          <w:tcPr>
            <w:tcW w:w="5959" w:type="dxa"/>
            <w:gridSpan w:val="2"/>
            <w:tcBorders>
              <w:top w:val="nil"/>
              <w:left w:val="nil"/>
              <w:bottom w:val="nil"/>
              <w:right w:val="nil"/>
            </w:tcBorders>
            <w:tcMar>
              <w:top w:w="0" w:type="dxa"/>
              <w:left w:w="62" w:type="dxa"/>
              <w:bottom w:w="0" w:type="dxa"/>
              <w:right w:w="62" w:type="dxa"/>
            </w:tcMar>
          </w:tcPr>
          <w:p w:rsidR="00000000" w:rsidP="001E6AAA">
            <w:pPr>
              <w:pStyle w:val="BodyText"/>
              <w:rPr>
                <w:lang w:val="en-NZ"/>
              </w:rPr>
            </w:pPr>
            <w:r w:rsidRPr="001E6AAA">
              <w:rPr>
                <w:rStyle w:val="SpecialBold"/>
              </w:rPr>
              <w:t>PERFORMANCE CRITERIA</w:t>
            </w:r>
          </w:p>
        </w:tc>
      </w:tr>
      <w:tr w:rsidTr="001C5948">
        <w:tblPrEx>
          <w:tblW w:w="0" w:type="auto"/>
          <w:tblLayout w:type="fixed"/>
          <w:tblCellMar>
            <w:left w:w="62" w:type="dxa"/>
            <w:right w:w="62" w:type="dxa"/>
          </w:tblCellMar>
          <w:tblLook w:val="0000"/>
        </w:tblPrEx>
        <w:tc>
          <w:tcPr>
            <w:tcW w:w="2563" w:type="dxa"/>
            <w:tcBorders>
              <w:top w:val="nil"/>
              <w:left w:val="nil"/>
              <w:bottom w:val="nil"/>
              <w:right w:val="nil"/>
            </w:tcBorders>
            <w:tcMar>
              <w:top w:w="0" w:type="dxa"/>
              <w:left w:w="62" w:type="dxa"/>
              <w:bottom w:w="0" w:type="dxa"/>
              <w:right w:w="62" w:type="dxa"/>
            </w:tcMar>
          </w:tcPr>
          <w:p w:rsidR="00000000" w:rsidP="001E6AAA">
            <w:pPr>
              <w:pStyle w:val="List"/>
              <w:rPr>
                <w:lang w:val="en-NZ"/>
              </w:rPr>
            </w:pPr>
            <w:r w:rsidRPr="001E6AAA">
              <w:rPr>
                <w:rStyle w:val="SpecialBold"/>
              </w:rPr>
              <w:t>1.</w:t>
            </w:r>
            <w:r w:rsidRPr="001E6AAA">
              <w:rPr>
                <w:rStyle w:val="SpecialBold"/>
              </w:rPr>
              <w:tab/>
              <w:t>Comply with legal and policy obligations implicit in making procurement decisions</w:t>
            </w:r>
          </w:p>
        </w:tc>
        <w:tc>
          <w:tcPr>
            <w:tcW w:w="5959" w:type="dxa"/>
            <w:gridSpan w:val="2"/>
            <w:tcBorders>
              <w:top w:val="nil"/>
              <w:left w:val="nil"/>
              <w:bottom w:val="nil"/>
              <w:right w:val="nil"/>
            </w:tcBorders>
            <w:tcMar>
              <w:top w:w="0" w:type="dxa"/>
              <w:left w:w="62" w:type="dxa"/>
              <w:bottom w:w="0" w:type="dxa"/>
              <w:right w:w="62" w:type="dxa"/>
            </w:tcMar>
          </w:tcPr>
          <w:p w:rsidR="00000000" w:rsidRPr="001E6AAA" w:rsidP="001E6AAA">
            <w:pPr>
              <w:pStyle w:val="List"/>
            </w:pPr>
            <w:r w:rsidRPr="001E6AAA">
              <w:t>1.1.</w:t>
            </w:r>
            <w:r w:rsidRPr="001E6AAA">
              <w:tab/>
            </w:r>
            <w:r w:rsidRPr="001E6AAA">
              <w:rPr>
                <w:rStyle w:val="BoldandItalics"/>
              </w:rPr>
              <w:t>Legislative and policy requirements</w:t>
            </w:r>
            <w:r w:rsidRPr="001E6AAA">
              <w:t xml:space="preserve"> and </w:t>
            </w:r>
            <w:r w:rsidRPr="001E6AAA">
              <w:rPr>
                <w:rStyle w:val="BoldandItalics"/>
              </w:rPr>
              <w:t>organisational objectives</w:t>
            </w:r>
            <w:r w:rsidRPr="001E6AAA">
              <w:t xml:space="preserve"> and goals are identified and applied to inform procurement decisions.</w:t>
            </w:r>
          </w:p>
          <w:p w:rsidR="00000000" w:rsidP="001E6AAA">
            <w:pPr>
              <w:pStyle w:val="List"/>
              <w:rPr>
                <w:lang w:val="en-NZ"/>
              </w:rPr>
            </w:pPr>
            <w:r w:rsidRPr="001E6AAA">
              <w:t>1.2.</w:t>
            </w:r>
            <w:r w:rsidRPr="001E6AAA">
              <w:tab/>
            </w:r>
            <w:r w:rsidRPr="001E6AAA">
              <w:rPr>
                <w:rStyle w:val="BoldandItalics"/>
              </w:rPr>
              <w:t>Probity principles</w:t>
            </w:r>
            <w:r w:rsidRPr="001E6AAA">
              <w:t xml:space="preserve"> of fairness and impartiality are applied and managed when making procurement decisions at all stages of the procurement process.</w:t>
            </w:r>
          </w:p>
        </w:tc>
      </w:tr>
      <w:tr w:rsidTr="001C5948">
        <w:tblPrEx>
          <w:tblW w:w="0" w:type="auto"/>
          <w:tblLayout w:type="fixed"/>
          <w:tblCellMar>
            <w:left w:w="62" w:type="dxa"/>
            <w:right w:w="62" w:type="dxa"/>
          </w:tblCellMar>
          <w:tblLook w:val="0000"/>
        </w:tblPrEx>
        <w:tc>
          <w:tcPr>
            <w:tcW w:w="2563" w:type="dxa"/>
            <w:tcBorders>
              <w:top w:val="nil"/>
              <w:left w:val="nil"/>
              <w:bottom w:val="nil"/>
              <w:right w:val="nil"/>
            </w:tcBorders>
            <w:tcMar>
              <w:top w:w="0" w:type="dxa"/>
              <w:left w:w="62" w:type="dxa"/>
              <w:bottom w:w="0" w:type="dxa"/>
              <w:right w:w="62" w:type="dxa"/>
            </w:tcMar>
          </w:tcPr>
          <w:p w:rsidR="00000000" w:rsidP="001E6AAA">
            <w:pPr>
              <w:pStyle w:val="List"/>
              <w:rPr>
                <w:lang w:val="en-NZ"/>
              </w:rPr>
            </w:pPr>
            <w:r w:rsidRPr="001E6AAA">
              <w:rPr>
                <w:rStyle w:val="SpecialBold"/>
              </w:rPr>
              <w:t>2.</w:t>
            </w:r>
            <w:r w:rsidRPr="001E6AAA">
              <w:rPr>
                <w:rStyle w:val="SpecialBold"/>
              </w:rPr>
              <w:tab/>
              <w:t>Establish context for the pr</w:t>
            </w:r>
            <w:r w:rsidRPr="001E6AAA">
              <w:rPr>
                <w:rStyle w:val="SpecialBold"/>
              </w:rPr>
              <w:t>ocurement activity</w:t>
            </w:r>
          </w:p>
        </w:tc>
        <w:tc>
          <w:tcPr>
            <w:tcW w:w="5959" w:type="dxa"/>
            <w:gridSpan w:val="2"/>
            <w:tcBorders>
              <w:top w:val="nil"/>
              <w:left w:val="nil"/>
              <w:bottom w:val="nil"/>
              <w:right w:val="nil"/>
            </w:tcBorders>
            <w:tcMar>
              <w:top w:w="0" w:type="dxa"/>
              <w:left w:w="62" w:type="dxa"/>
              <w:bottom w:w="0" w:type="dxa"/>
              <w:right w:w="62" w:type="dxa"/>
            </w:tcMar>
          </w:tcPr>
          <w:p w:rsidR="00000000" w:rsidRPr="001E6AAA" w:rsidP="001E6AAA">
            <w:pPr>
              <w:pStyle w:val="List"/>
            </w:pPr>
            <w:r w:rsidRPr="001E6AAA">
              <w:t>2.1.</w:t>
            </w:r>
            <w:r w:rsidRPr="001E6AAA">
              <w:tab/>
            </w:r>
            <w:r w:rsidRPr="001E6AAA">
              <w:rPr>
                <w:rStyle w:val="BoldandItalics"/>
              </w:rPr>
              <w:t>Factors</w:t>
            </w:r>
            <w:r w:rsidRPr="001E6AAA">
              <w:t xml:space="preserve"> that may influence procurement decisions are identified and considered in the context of legislation, policy and organisational/business requirements to support effective decision making.</w:t>
            </w:r>
          </w:p>
          <w:p w:rsidR="00000000" w:rsidRPr="001E6AAA" w:rsidP="001E6AAA">
            <w:pPr>
              <w:pStyle w:val="List"/>
            </w:pPr>
            <w:r w:rsidRPr="001E6AAA">
              <w:t>2.2.</w:t>
            </w:r>
            <w:r w:rsidRPr="001E6AAA">
              <w:tab/>
            </w:r>
            <w:r w:rsidRPr="001E6AAA">
              <w:rPr>
                <w:rStyle w:val="BoldandItalics"/>
              </w:rPr>
              <w:t>Consultation takes place with s</w:t>
            </w:r>
            <w:r w:rsidRPr="001E6AAA">
              <w:rPr>
                <w:rStyle w:val="BoldandItalics"/>
              </w:rPr>
              <w:t>takeholders to determine likely impact of key factors at all stages of procurement process</w:t>
            </w:r>
            <w:r w:rsidRPr="001E6AAA">
              <w:t>.</w:t>
            </w:r>
          </w:p>
          <w:p w:rsidR="00000000" w:rsidRPr="001E6AAA" w:rsidP="001E6AAA">
            <w:pPr>
              <w:pStyle w:val="List"/>
            </w:pPr>
            <w:r w:rsidRPr="001E6AAA">
              <w:t>2.3.</w:t>
            </w:r>
            <w:r w:rsidRPr="001E6AAA">
              <w:tab/>
            </w:r>
            <w:r w:rsidRPr="001E6AAA">
              <w:rPr>
                <w:rStyle w:val="BoldandItalics"/>
              </w:rPr>
              <w:t>Procurement decisions taken reflect this consideration of key factors affecting the procurement</w:t>
            </w:r>
            <w:r w:rsidRPr="001E6AAA">
              <w:t>.</w:t>
            </w:r>
          </w:p>
          <w:p w:rsidR="00000000" w:rsidP="001E6AAA">
            <w:pPr>
              <w:pStyle w:val="List"/>
              <w:rPr>
                <w:lang w:val="en-NZ"/>
              </w:rPr>
            </w:pPr>
            <w:r w:rsidRPr="001E6AAA">
              <w:t>2.4.</w:t>
            </w:r>
            <w:r w:rsidRPr="001E6AAA">
              <w:tab/>
            </w:r>
            <w:r w:rsidRPr="001E6AAA">
              <w:rPr>
                <w:rStyle w:val="BoldandItalics"/>
              </w:rPr>
              <w:t>Factors affecting procurement decisions are documented</w:t>
            </w:r>
            <w:r w:rsidRPr="001E6AAA">
              <w:t>.</w:t>
            </w:r>
          </w:p>
        </w:tc>
      </w:tr>
      <w:tr w:rsidTr="001C5948">
        <w:tblPrEx>
          <w:tblW w:w="0" w:type="auto"/>
          <w:tblLayout w:type="fixed"/>
          <w:tblCellMar>
            <w:left w:w="62" w:type="dxa"/>
            <w:right w:w="62" w:type="dxa"/>
          </w:tblCellMar>
          <w:tblLook w:val="0000"/>
        </w:tblPrEx>
        <w:tc>
          <w:tcPr>
            <w:tcW w:w="2563" w:type="dxa"/>
            <w:tcBorders>
              <w:top w:val="nil"/>
              <w:left w:val="nil"/>
              <w:bottom w:val="nil"/>
              <w:right w:val="nil"/>
            </w:tcBorders>
            <w:tcMar>
              <w:top w:w="0" w:type="dxa"/>
              <w:left w:w="62" w:type="dxa"/>
              <w:bottom w:w="0" w:type="dxa"/>
              <w:right w:w="62" w:type="dxa"/>
            </w:tcMar>
          </w:tcPr>
          <w:p w:rsidR="00000000" w:rsidP="001E6AAA">
            <w:pPr>
              <w:pStyle w:val="List"/>
              <w:rPr>
                <w:lang w:val="en-NZ"/>
              </w:rPr>
            </w:pPr>
            <w:r w:rsidRPr="001E6AAA">
              <w:rPr>
                <w:rStyle w:val="SpecialBold"/>
              </w:rPr>
              <w:t>3.</w:t>
            </w:r>
            <w:r w:rsidRPr="001E6AAA">
              <w:rPr>
                <w:rStyle w:val="SpecialBold"/>
              </w:rPr>
              <w:tab/>
              <w:t>Select and approve procurement methods</w:t>
            </w:r>
          </w:p>
        </w:tc>
        <w:tc>
          <w:tcPr>
            <w:tcW w:w="5959" w:type="dxa"/>
            <w:gridSpan w:val="2"/>
            <w:tcBorders>
              <w:top w:val="nil"/>
              <w:left w:val="nil"/>
              <w:bottom w:val="nil"/>
              <w:right w:val="nil"/>
            </w:tcBorders>
            <w:tcMar>
              <w:top w:w="0" w:type="dxa"/>
              <w:left w:w="62" w:type="dxa"/>
              <w:bottom w:w="0" w:type="dxa"/>
              <w:right w:w="62" w:type="dxa"/>
            </w:tcMar>
          </w:tcPr>
          <w:p w:rsidR="00000000" w:rsidRPr="001E6AAA" w:rsidP="001E6AAA">
            <w:pPr>
              <w:pStyle w:val="List"/>
            </w:pPr>
            <w:r w:rsidRPr="001E6AAA">
              <w:t>3.1.</w:t>
            </w:r>
            <w:r w:rsidRPr="001E6AAA">
              <w:tab/>
            </w:r>
            <w:r w:rsidRPr="001E6AAA">
              <w:rPr>
                <w:rStyle w:val="BoldandItalics"/>
              </w:rPr>
              <w:t>Procurement methods</w:t>
            </w:r>
            <w:r w:rsidRPr="001E6AAA">
              <w:t xml:space="preserve"> are selected based on jurisdictional, legislative and policy requirements and suitability for the procurement requirements.</w:t>
            </w:r>
          </w:p>
          <w:p w:rsidR="00000000" w:rsidRPr="001E6AAA" w:rsidP="001E6AAA">
            <w:pPr>
              <w:pStyle w:val="List"/>
            </w:pPr>
            <w:r w:rsidRPr="001E6AAA">
              <w:t>3.2.</w:t>
            </w:r>
            <w:r w:rsidRPr="001E6AAA">
              <w:tab/>
              <w:t xml:space="preserve">Factors and </w:t>
            </w:r>
            <w:r w:rsidRPr="001E6AAA">
              <w:rPr>
                <w:rStyle w:val="BoldandItalics"/>
              </w:rPr>
              <w:t>risks</w:t>
            </w:r>
            <w:r w:rsidRPr="001E6AAA">
              <w:t xml:space="preserve"> are considered in selecting procurement me</w:t>
            </w:r>
            <w:r w:rsidRPr="001E6AAA">
              <w:t>thod.</w:t>
            </w:r>
          </w:p>
          <w:p w:rsidR="00000000" w:rsidRPr="001E6AAA" w:rsidP="001E6AAA">
            <w:pPr>
              <w:pStyle w:val="List"/>
            </w:pPr>
            <w:r w:rsidRPr="001E6AAA">
              <w:t>3.3.</w:t>
            </w:r>
            <w:r w:rsidRPr="001E6AAA">
              <w:tab/>
              <w:t>Justification for selected procurement method is recorded.</w:t>
            </w:r>
          </w:p>
          <w:p w:rsidR="00000000" w:rsidP="001E6AAA">
            <w:pPr>
              <w:pStyle w:val="List"/>
              <w:rPr>
                <w:lang w:val="en-NZ"/>
              </w:rPr>
            </w:pPr>
            <w:r w:rsidRPr="001E6AAA">
              <w:t>3.4.</w:t>
            </w:r>
            <w:r w:rsidRPr="001E6AAA">
              <w:tab/>
            </w:r>
            <w:r w:rsidRPr="001E6AAA">
              <w:rPr>
                <w:rStyle w:val="BoldandItalics"/>
              </w:rPr>
              <w:t>Approvals</w:t>
            </w:r>
            <w:r w:rsidRPr="001E6AAA">
              <w:t xml:space="preserve"> for the selection of procurement methods are exercised in accordance with jurisdictional and organisational policy and procedures, and recorded.</w:t>
            </w:r>
          </w:p>
        </w:tc>
      </w:tr>
      <w:tr w:rsidTr="001C5948">
        <w:tblPrEx>
          <w:tblW w:w="0" w:type="auto"/>
          <w:tblLayout w:type="fixed"/>
          <w:tblCellMar>
            <w:left w:w="62" w:type="dxa"/>
            <w:right w:w="62" w:type="dxa"/>
          </w:tblCellMar>
          <w:tblLook w:val="0000"/>
        </w:tblPrEx>
        <w:tc>
          <w:tcPr>
            <w:tcW w:w="2594" w:type="dxa"/>
            <w:gridSpan w:val="2"/>
            <w:tcBorders>
              <w:top w:val="nil"/>
              <w:left w:val="nil"/>
              <w:bottom w:val="nil"/>
              <w:right w:val="nil"/>
            </w:tcBorders>
            <w:tcMar>
              <w:top w:w="0" w:type="dxa"/>
              <w:left w:w="62" w:type="dxa"/>
              <w:bottom w:w="0" w:type="dxa"/>
              <w:right w:w="62" w:type="dxa"/>
            </w:tcMar>
          </w:tcPr>
          <w:p w:rsidR="00000000" w:rsidRPr="001E6AAA" w:rsidP="001E6AAA">
            <w:pPr>
              <w:pStyle w:val="BodyText"/>
            </w:pPr>
          </w:p>
          <w:p w:rsidR="00000000" w:rsidP="001E6AAA">
            <w:pPr>
              <w:pStyle w:val="List"/>
              <w:rPr>
                <w:lang w:val="en-NZ"/>
              </w:rPr>
            </w:pPr>
            <w:r w:rsidRPr="001E6AAA">
              <w:rPr>
                <w:rStyle w:val="SpecialBold"/>
              </w:rPr>
              <w:t>4.</w:t>
            </w:r>
            <w:r w:rsidRPr="001E6AAA">
              <w:rPr>
                <w:rStyle w:val="SpecialBold"/>
              </w:rPr>
              <w:tab/>
              <w:t>Select and approve co</w:t>
            </w:r>
            <w:r w:rsidRPr="001E6AAA">
              <w:rPr>
                <w:rStyle w:val="SpecialBold"/>
              </w:rPr>
              <w:t>ntractual arrangements</w:t>
            </w:r>
          </w:p>
        </w:tc>
        <w:tc>
          <w:tcPr>
            <w:tcW w:w="5928" w:type="dxa"/>
            <w:tcBorders>
              <w:top w:val="nil"/>
              <w:left w:val="nil"/>
              <w:bottom w:val="nil"/>
              <w:right w:val="nil"/>
            </w:tcBorders>
            <w:tcMar>
              <w:top w:w="0" w:type="dxa"/>
              <w:left w:w="62" w:type="dxa"/>
              <w:bottom w:w="0" w:type="dxa"/>
              <w:right w:w="62" w:type="dxa"/>
            </w:tcMar>
          </w:tcPr>
          <w:p w:rsidR="00000000" w:rsidRPr="001E6AAA" w:rsidP="001E6AAA">
            <w:pPr>
              <w:pStyle w:val="List"/>
            </w:pPr>
            <w:r w:rsidRPr="001E6AAA">
              <w:t>4.1.</w:t>
            </w:r>
            <w:r w:rsidRPr="001E6AAA">
              <w:tab/>
            </w:r>
            <w:r w:rsidRPr="001E6AAA">
              <w:rPr>
                <w:rStyle w:val="BoldandItalics"/>
              </w:rPr>
              <w:t>Contractual arrangements</w:t>
            </w:r>
            <w:r w:rsidRPr="001E6AAA">
              <w:t xml:space="preserve"> are selected, based on jurisdictional and policy requirements and suitability for the procurement requirements.</w:t>
            </w:r>
          </w:p>
          <w:p w:rsidR="00000000" w:rsidRPr="001E6AAA" w:rsidP="001E6AAA">
            <w:pPr>
              <w:pStyle w:val="List"/>
            </w:pPr>
            <w:r w:rsidRPr="001E6AAA">
              <w:t>4.2.</w:t>
            </w:r>
            <w:r w:rsidRPr="001E6AAA">
              <w:tab/>
              <w:t>Factors and risks are considered in selecting contractual arrangements.</w:t>
            </w:r>
          </w:p>
          <w:p w:rsidR="00000000" w:rsidRPr="001E6AAA" w:rsidP="001E6AAA">
            <w:pPr>
              <w:pStyle w:val="List"/>
            </w:pPr>
            <w:r w:rsidRPr="001E6AAA">
              <w:t>4.3.</w:t>
            </w:r>
            <w:r w:rsidRPr="001E6AAA">
              <w:tab/>
            </w:r>
            <w:r w:rsidRPr="001E6AAA">
              <w:t>Justification for selected contractual arrangements is recorded.</w:t>
            </w:r>
          </w:p>
          <w:p w:rsidR="00000000" w:rsidP="001E6AAA">
            <w:pPr>
              <w:pStyle w:val="List"/>
              <w:rPr>
                <w:lang w:val="en-NZ"/>
              </w:rPr>
            </w:pPr>
            <w:r w:rsidRPr="001E6AAA">
              <w:t>4.4.</w:t>
            </w:r>
            <w:r w:rsidRPr="001E6AAA">
              <w:tab/>
              <w:t>Approvals for the selection of contractual arrangements are exercised in accordance with jurisdictional and organisational policy and procedures, and recorded.</w:t>
            </w:r>
          </w:p>
        </w:tc>
      </w:tr>
      <w:tr w:rsidTr="001C5948">
        <w:tblPrEx>
          <w:tblW w:w="0" w:type="auto"/>
          <w:tblLayout w:type="fixed"/>
          <w:tblCellMar>
            <w:left w:w="62" w:type="dxa"/>
            <w:right w:w="62" w:type="dxa"/>
          </w:tblCellMar>
          <w:tblLook w:val="0000"/>
        </w:tblPrEx>
        <w:tc>
          <w:tcPr>
            <w:tcW w:w="2594" w:type="dxa"/>
            <w:gridSpan w:val="2"/>
            <w:tcBorders>
              <w:top w:val="nil"/>
              <w:left w:val="nil"/>
              <w:bottom w:val="nil"/>
              <w:right w:val="nil"/>
            </w:tcBorders>
            <w:tcMar>
              <w:top w:w="0" w:type="dxa"/>
              <w:left w:w="62" w:type="dxa"/>
              <w:bottom w:w="0" w:type="dxa"/>
              <w:right w:w="62" w:type="dxa"/>
            </w:tcMar>
          </w:tcPr>
          <w:p w:rsidR="00000000" w:rsidP="001E6AAA">
            <w:pPr>
              <w:pStyle w:val="List"/>
              <w:rPr>
                <w:lang w:val="en-NZ"/>
              </w:rPr>
            </w:pPr>
            <w:r w:rsidRPr="001E6AAA">
              <w:rPr>
                <w:rStyle w:val="SpecialBold"/>
              </w:rPr>
              <w:t>5.</w:t>
            </w:r>
            <w:r w:rsidRPr="001E6AAA">
              <w:rPr>
                <w:rStyle w:val="SpecialBold"/>
              </w:rPr>
              <w:tab/>
              <w:t xml:space="preserve">Identify and consider </w:t>
            </w:r>
            <w:r w:rsidRPr="001E6AAA">
              <w:rPr>
                <w:rStyle w:val="SpecialBold"/>
              </w:rPr>
              <w:t>factors affecting supplier choice</w:t>
            </w:r>
          </w:p>
        </w:tc>
        <w:tc>
          <w:tcPr>
            <w:tcW w:w="5928" w:type="dxa"/>
            <w:tcBorders>
              <w:top w:val="nil"/>
              <w:left w:val="nil"/>
              <w:bottom w:val="nil"/>
              <w:right w:val="nil"/>
            </w:tcBorders>
            <w:tcMar>
              <w:top w:w="0" w:type="dxa"/>
              <w:left w:w="62" w:type="dxa"/>
              <w:bottom w:w="0" w:type="dxa"/>
              <w:right w:w="62" w:type="dxa"/>
            </w:tcMar>
          </w:tcPr>
          <w:p w:rsidR="00000000" w:rsidRPr="001E6AAA" w:rsidP="001E6AAA">
            <w:pPr>
              <w:pStyle w:val="List"/>
            </w:pPr>
            <w:r w:rsidRPr="001E6AAA">
              <w:t>5.1.</w:t>
            </w:r>
            <w:r w:rsidRPr="001E6AAA">
              <w:tab/>
            </w:r>
            <w:r w:rsidRPr="001E6AAA">
              <w:rPr>
                <w:rStyle w:val="BoldandItalics"/>
              </w:rPr>
              <w:t>Supplier capability</w:t>
            </w:r>
            <w:r w:rsidRPr="001E6AAA">
              <w:t xml:space="preserve"> is researched and assessed as part of offer evaluation.</w:t>
            </w:r>
          </w:p>
          <w:p w:rsidR="00000000" w:rsidRPr="001E6AAA" w:rsidP="001E6AAA">
            <w:pPr>
              <w:pStyle w:val="List"/>
            </w:pPr>
            <w:r w:rsidRPr="001E6AAA">
              <w:t>5.2.</w:t>
            </w:r>
            <w:r w:rsidRPr="001E6AAA">
              <w:tab/>
              <w:t xml:space="preserve">Supplier </w:t>
            </w:r>
            <w:r w:rsidRPr="001E6AAA">
              <w:rPr>
                <w:rStyle w:val="BoldandItalics"/>
              </w:rPr>
              <w:t>supply chain management</w:t>
            </w:r>
            <w:r w:rsidRPr="001E6AAA">
              <w:t xml:space="preserve"> considerations are researched and applied in the context of policy requirements when making procurement</w:t>
            </w:r>
            <w:r w:rsidRPr="001E6AAA">
              <w:t xml:space="preserve"> decisions.</w:t>
            </w:r>
          </w:p>
          <w:p w:rsidR="00000000" w:rsidP="001E6AAA">
            <w:pPr>
              <w:pStyle w:val="List"/>
              <w:rPr>
                <w:lang w:val="en-NZ"/>
              </w:rPr>
            </w:pPr>
            <w:r w:rsidRPr="001E6AAA">
              <w:t>5.3.</w:t>
            </w:r>
            <w:r w:rsidRPr="001E6AAA">
              <w:tab/>
              <w:t xml:space="preserve">Broader </w:t>
            </w:r>
            <w:r w:rsidRPr="001E6AAA">
              <w:rPr>
                <w:rStyle w:val="BoldandItalics"/>
              </w:rPr>
              <w:t>value for money</w:t>
            </w:r>
            <w:r w:rsidRPr="001E6AAA">
              <w:t xml:space="preserve"> considerations are applied to support and inform decisions.</w:t>
            </w:r>
          </w:p>
        </w:tc>
      </w:tr>
      <w:tr w:rsidTr="001C5948">
        <w:tblPrEx>
          <w:tblW w:w="0" w:type="auto"/>
          <w:tblLayout w:type="fixed"/>
          <w:tblCellMar>
            <w:left w:w="62" w:type="dxa"/>
            <w:right w:w="62" w:type="dxa"/>
          </w:tblCellMar>
          <w:tblLook w:val="0000"/>
        </w:tblPrEx>
        <w:tc>
          <w:tcPr>
            <w:tcW w:w="2594" w:type="dxa"/>
            <w:gridSpan w:val="2"/>
            <w:tcBorders>
              <w:top w:val="nil"/>
              <w:left w:val="nil"/>
              <w:bottom w:val="nil"/>
              <w:right w:val="nil"/>
            </w:tcBorders>
            <w:tcMar>
              <w:top w:w="0" w:type="dxa"/>
              <w:left w:w="62" w:type="dxa"/>
              <w:bottom w:w="0" w:type="dxa"/>
              <w:right w:w="62" w:type="dxa"/>
            </w:tcMar>
          </w:tcPr>
          <w:p w:rsidR="00000000" w:rsidP="001E6AAA">
            <w:pPr>
              <w:pStyle w:val="List"/>
              <w:rPr>
                <w:lang w:val="en-NZ"/>
              </w:rPr>
            </w:pPr>
            <w:r w:rsidRPr="001E6AAA">
              <w:rPr>
                <w:rStyle w:val="SpecialBold"/>
              </w:rPr>
              <w:t>6.</w:t>
            </w:r>
            <w:r w:rsidRPr="001E6AAA">
              <w:rPr>
                <w:rStyle w:val="SpecialBold"/>
              </w:rPr>
              <w:tab/>
              <w:t>Conduct tender evaluation</w:t>
            </w:r>
          </w:p>
        </w:tc>
        <w:tc>
          <w:tcPr>
            <w:tcW w:w="5928" w:type="dxa"/>
            <w:tcBorders>
              <w:top w:val="nil"/>
              <w:left w:val="nil"/>
              <w:bottom w:val="nil"/>
              <w:right w:val="nil"/>
            </w:tcBorders>
            <w:tcMar>
              <w:top w:w="0" w:type="dxa"/>
              <w:left w:w="62" w:type="dxa"/>
              <w:bottom w:w="0" w:type="dxa"/>
              <w:right w:w="62" w:type="dxa"/>
            </w:tcMar>
          </w:tcPr>
          <w:p w:rsidR="00000000" w:rsidRPr="001E6AAA" w:rsidP="001E6AAA">
            <w:pPr>
              <w:pStyle w:val="List"/>
            </w:pPr>
            <w:r w:rsidRPr="001E6AAA">
              <w:t>6.1.</w:t>
            </w:r>
            <w:r w:rsidRPr="001E6AAA">
              <w:tab/>
            </w:r>
            <w:r w:rsidRPr="001E6AAA">
              <w:rPr>
                <w:rStyle w:val="BoldandItalics"/>
              </w:rPr>
              <w:t>Tender evaluation panel</w:t>
            </w:r>
            <w:r w:rsidRPr="001E6AAA">
              <w:t xml:space="preserve"> or similar is formed when required by policy or to meet probity requirements. </w:t>
            </w:r>
          </w:p>
          <w:p w:rsidR="00000000" w:rsidRPr="001E6AAA" w:rsidP="001E6AAA">
            <w:pPr>
              <w:pStyle w:val="List"/>
            </w:pPr>
            <w:r w:rsidRPr="001E6AAA">
              <w:t>6.2.</w:t>
            </w:r>
            <w:r w:rsidRPr="001E6AAA">
              <w:tab/>
              <w:t>Advice, supp</w:t>
            </w:r>
            <w:r w:rsidRPr="001E6AAA">
              <w:t>ort and guidance on procurement processes and probity requirements are provided to members of the tender evaluation panel.</w:t>
            </w:r>
          </w:p>
          <w:p w:rsidR="00000000" w:rsidRPr="001E6AAA" w:rsidP="001E6AAA">
            <w:pPr>
              <w:pStyle w:val="List"/>
            </w:pPr>
            <w:r w:rsidRPr="001E6AAA">
              <w:t>6.3.</w:t>
            </w:r>
            <w:r w:rsidRPr="001E6AAA">
              <w:tab/>
              <w:t xml:space="preserve">Using negotiation and communication skills and procurement knowledge, </w:t>
            </w:r>
            <w:r w:rsidRPr="001E6AAA">
              <w:rPr>
                <w:rStyle w:val="BoldandItalics"/>
              </w:rPr>
              <w:t>issues</w:t>
            </w:r>
            <w:r w:rsidRPr="001E6AAA">
              <w:t xml:space="preserve"> that arise during the tender evaluation process are</w:t>
            </w:r>
            <w:r w:rsidRPr="001E6AAA">
              <w:t xml:space="preserve"> resolved.</w:t>
            </w:r>
          </w:p>
          <w:p w:rsidR="00000000" w:rsidRPr="001E6AAA" w:rsidP="001E6AAA">
            <w:pPr>
              <w:pStyle w:val="List"/>
            </w:pPr>
            <w:r w:rsidRPr="001E6AAA">
              <w:t>6.4.</w:t>
            </w:r>
            <w:r w:rsidRPr="001E6AAA">
              <w:tab/>
              <w:t>Tender decision-making processes and decisions reached are documented in a format suited to the procurement being undertaken and according to organisational policy and processes and probity requirements.</w:t>
            </w:r>
          </w:p>
          <w:p w:rsidR="00000000" w:rsidP="001E6AAA">
            <w:pPr>
              <w:pStyle w:val="List"/>
              <w:rPr>
                <w:lang w:val="en-NZ"/>
              </w:rPr>
            </w:pPr>
            <w:r w:rsidRPr="001E6AAA">
              <w:t>6.5.</w:t>
            </w:r>
            <w:r w:rsidRPr="001E6AAA">
              <w:tab/>
              <w:t>Written procurement recommendat</w:t>
            </w:r>
            <w:r w:rsidRPr="001E6AAA">
              <w:t>ions are made to the approval delegate after considering advice of panel.</w:t>
            </w:r>
          </w:p>
        </w:tc>
      </w:tr>
      <w:tr w:rsidTr="001C5948">
        <w:tblPrEx>
          <w:tblW w:w="0" w:type="auto"/>
          <w:tblLayout w:type="fixed"/>
          <w:tblCellMar>
            <w:left w:w="62" w:type="dxa"/>
            <w:right w:w="62" w:type="dxa"/>
          </w:tblCellMar>
          <w:tblLook w:val="0000"/>
        </w:tblPrEx>
        <w:tc>
          <w:tcPr>
            <w:tcW w:w="2594" w:type="dxa"/>
            <w:gridSpan w:val="2"/>
            <w:tcBorders>
              <w:top w:val="nil"/>
              <w:left w:val="nil"/>
              <w:bottom w:val="nil"/>
              <w:right w:val="nil"/>
            </w:tcBorders>
            <w:tcMar>
              <w:top w:w="0" w:type="dxa"/>
              <w:left w:w="62" w:type="dxa"/>
              <w:bottom w:w="0" w:type="dxa"/>
              <w:right w:w="62" w:type="dxa"/>
            </w:tcMar>
          </w:tcPr>
          <w:p w:rsidR="00000000" w:rsidP="001E6AAA">
            <w:pPr>
              <w:pStyle w:val="List"/>
              <w:rPr>
                <w:lang w:val="en-NZ"/>
              </w:rPr>
            </w:pPr>
            <w:r w:rsidRPr="001E6AAA">
              <w:rPr>
                <w:rStyle w:val="SpecialBold"/>
              </w:rPr>
              <w:t>7.</w:t>
            </w:r>
            <w:r w:rsidRPr="001E6AAA">
              <w:rPr>
                <w:rStyle w:val="SpecialBold"/>
              </w:rPr>
              <w:tab/>
              <w:t>Maintain effective accountability and transparency in procurement decision making</w:t>
            </w:r>
          </w:p>
        </w:tc>
        <w:tc>
          <w:tcPr>
            <w:tcW w:w="5928" w:type="dxa"/>
            <w:tcBorders>
              <w:top w:val="nil"/>
              <w:left w:val="nil"/>
              <w:bottom w:val="nil"/>
              <w:right w:val="nil"/>
            </w:tcBorders>
            <w:tcMar>
              <w:top w:w="0" w:type="dxa"/>
              <w:left w:w="62" w:type="dxa"/>
              <w:bottom w:w="0" w:type="dxa"/>
              <w:right w:w="62" w:type="dxa"/>
            </w:tcMar>
          </w:tcPr>
          <w:p w:rsidR="00000000" w:rsidRPr="001E6AAA" w:rsidP="001E6AAA">
            <w:pPr>
              <w:pStyle w:val="List"/>
            </w:pPr>
            <w:r w:rsidRPr="001E6AAA">
              <w:t>7.1.</w:t>
            </w:r>
            <w:r w:rsidRPr="001E6AAA">
              <w:tab/>
              <w:t xml:space="preserve">Records, including </w:t>
            </w:r>
            <w:r w:rsidRPr="001E6AAA">
              <w:rPr>
                <w:rStyle w:val="BoldandItalics"/>
              </w:rPr>
              <w:t>plans and sub</w:t>
            </w:r>
            <w:r w:rsidRPr="001E6AAA">
              <w:t>-</w:t>
            </w:r>
            <w:r w:rsidRPr="001E6AAA">
              <w:rPr>
                <w:rStyle w:val="BoldandItalics"/>
              </w:rPr>
              <w:t>plans</w:t>
            </w:r>
            <w:r w:rsidRPr="001E6AAA">
              <w:t xml:space="preserve">, are maintained to provide an effective audit trail </w:t>
            </w:r>
            <w:r w:rsidRPr="001E6AAA">
              <w:t>of decisions taken throughout the procurement process.</w:t>
            </w:r>
          </w:p>
          <w:p w:rsidR="00000000" w:rsidRPr="001E6AAA" w:rsidP="001E6AAA">
            <w:pPr>
              <w:pStyle w:val="List"/>
            </w:pPr>
            <w:r w:rsidRPr="001E6AAA">
              <w:t>7.2.</w:t>
            </w:r>
            <w:r w:rsidRPr="001E6AAA">
              <w:tab/>
              <w:t xml:space="preserve">Compliance with jurisdictional and organisational </w:t>
            </w:r>
            <w:r w:rsidRPr="001E6AAA">
              <w:rPr>
                <w:rStyle w:val="BoldandItalics"/>
              </w:rPr>
              <w:t>procurement reporting requirements</w:t>
            </w:r>
            <w:r w:rsidRPr="001E6AAA">
              <w:t xml:space="preserve"> is maintained.</w:t>
            </w:r>
          </w:p>
          <w:p w:rsidR="00000000" w:rsidRPr="001E6AAA" w:rsidP="001E6AAA">
            <w:pPr>
              <w:pStyle w:val="List"/>
            </w:pPr>
            <w:r w:rsidRPr="001E6AAA">
              <w:t>7.3.</w:t>
            </w:r>
            <w:r w:rsidRPr="001E6AAA">
              <w:tab/>
            </w:r>
            <w:r w:rsidRPr="001E6AAA">
              <w:rPr>
                <w:rStyle w:val="BoldandItalics"/>
              </w:rPr>
              <w:t>Records</w:t>
            </w:r>
            <w:r w:rsidRPr="001E6AAA">
              <w:t xml:space="preserve"> are main</w:t>
            </w:r>
            <w:r w:rsidRPr="001E6AAA">
              <w:t>tained to provide aggregate procurement reporting requirements internal and external to the organisation.</w:t>
            </w:r>
          </w:p>
        </w:tc>
      </w:tr>
    </w:tbl>
    <w:p w:rsidR="00000000" w:rsidRPr="001E6AAA" w:rsidP="001E6AAA">
      <w:pPr>
        <w:pStyle w:val="BodyText"/>
      </w:pPr>
    </w:p>
    <w:p w:rsidR="00000000" w:rsidRPr="001E6AAA" w:rsidP="001E6AAA">
      <w:pPr>
        <w:pStyle w:val="AllowPageBreak"/>
      </w:pPr>
    </w:p>
    <w:p w:rsidR="00000000" w:rsidRPr="001E6AAA" w:rsidP="001E6AAA">
      <w:pPr>
        <w:pStyle w:val="Heading1"/>
      </w:pPr>
      <w:bookmarkStart w:id="9" w:name="O_411058"/>
      <w:bookmarkEnd w:id="9"/>
      <w:r w:rsidRPr="001E6AAA">
        <w:t>Required Skills and Knowledge</w:t>
      </w:r>
    </w:p>
    <w:tbl>
      <w:tblPr>
        <w:tblW w:w="0" w:type="auto"/>
        <w:tblLayout w:type="fixed"/>
        <w:tblCellMar>
          <w:left w:w="62" w:type="dxa"/>
          <w:right w:w="62" w:type="dxa"/>
        </w:tblCellMar>
        <w:tblLook w:val="0000"/>
      </w:tblPr>
      <w:tblGrid>
        <w:gridCol w:w="8522"/>
      </w:tblGrid>
      <w:tr w:rsidTr="001C594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E6AAA">
            <w:pPr>
              <w:pStyle w:val="BodyText"/>
              <w:rPr>
                <w:lang w:val="en-NZ"/>
              </w:rPr>
            </w:pPr>
            <w:r w:rsidRPr="001E6AAA">
              <w:t>This section describes the skills and knowledge required for this unit.</w:t>
            </w:r>
          </w:p>
        </w:tc>
      </w:tr>
      <w:tr w:rsidTr="001C594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E6AAA">
            <w:pPr>
              <w:pStyle w:val="BodyText"/>
              <w:rPr>
                <w:lang w:val="en-NZ"/>
              </w:rPr>
            </w:pPr>
            <w:r w:rsidRPr="001E6AAA">
              <w:rPr>
                <w:rStyle w:val="SpecialBold"/>
              </w:rPr>
              <w:t>Required skills</w:t>
            </w:r>
          </w:p>
        </w:tc>
      </w:tr>
      <w:tr w:rsidTr="001C594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1E6AAA" w:rsidP="001E6AAA">
            <w:pPr>
              <w:pStyle w:val="ListBullet"/>
            </w:pPr>
            <w:r w:rsidRPr="001E6AAA">
              <w:t>communication skills to:</w:t>
            </w:r>
          </w:p>
          <w:p w:rsidR="00000000" w:rsidRPr="001E6AAA" w:rsidP="001E6AAA">
            <w:pPr>
              <w:pStyle w:val="ListBullet2"/>
            </w:pPr>
            <w:r w:rsidRPr="001E6AAA">
              <w:t>consult and negotiate with contractors and stakeholders</w:t>
            </w:r>
          </w:p>
          <w:p w:rsidR="00000000" w:rsidRPr="001E6AAA" w:rsidP="001E6AAA">
            <w:pPr>
              <w:pStyle w:val="ListBullet2"/>
            </w:pPr>
            <w:r w:rsidRPr="001E6AAA">
              <w:t>network, within probity boundaries, with contractors and stakeholders</w:t>
            </w:r>
          </w:p>
          <w:p w:rsidR="00000000" w:rsidRPr="001E6AAA" w:rsidP="001E6AAA">
            <w:pPr>
              <w:pStyle w:val="ListBullet2"/>
            </w:pPr>
            <w:r w:rsidRPr="001E6AAA">
              <w:t>write a business case</w:t>
            </w:r>
          </w:p>
          <w:p w:rsidR="00000000" w:rsidRPr="001E6AAA" w:rsidP="001E6AAA">
            <w:pPr>
              <w:pStyle w:val="ListBullet2"/>
            </w:pPr>
            <w:r w:rsidRPr="001E6AAA">
              <w:t>read complex documents, such as contracts, legislation and guidelines</w:t>
            </w:r>
          </w:p>
          <w:p w:rsidR="00000000" w:rsidRPr="001E6AAA" w:rsidP="001E6AAA">
            <w:pPr>
              <w:pStyle w:val="ListBullet2"/>
            </w:pPr>
            <w:r w:rsidRPr="001E6AAA">
              <w:t>provide feedback</w:t>
            </w:r>
          </w:p>
          <w:p w:rsidR="00000000" w:rsidRPr="001E6AAA" w:rsidP="001E6AAA">
            <w:pPr>
              <w:pStyle w:val="ListBullet"/>
            </w:pPr>
            <w:r w:rsidRPr="001E6AAA">
              <w:t>teamwork skills to:</w:t>
            </w:r>
          </w:p>
          <w:p w:rsidR="00000000" w:rsidRPr="001E6AAA" w:rsidP="001E6AAA">
            <w:pPr>
              <w:pStyle w:val="ListBullet2"/>
            </w:pPr>
            <w:r w:rsidRPr="001E6AAA">
              <w:t xml:space="preserve">model effective team management approaches </w:t>
            </w:r>
          </w:p>
          <w:p w:rsidR="00000000" w:rsidRPr="001E6AAA" w:rsidP="001E6AAA">
            <w:pPr>
              <w:pStyle w:val="ListBullet2"/>
            </w:pPr>
            <w:r w:rsidRPr="001E6AAA">
              <w:t>respond to diversity</w:t>
            </w:r>
          </w:p>
          <w:p w:rsidR="00000000" w:rsidRPr="001E6AAA" w:rsidP="001E6AAA">
            <w:pPr>
              <w:pStyle w:val="ListBullet"/>
            </w:pPr>
            <w:r w:rsidRPr="001E6AAA">
              <w:t xml:space="preserve">problem-solving skills to: </w:t>
            </w:r>
          </w:p>
          <w:p w:rsidR="00000000" w:rsidRPr="001E6AAA" w:rsidP="001E6AAA">
            <w:pPr>
              <w:pStyle w:val="ListBullet2"/>
            </w:pPr>
            <w:r w:rsidRPr="001E6AAA">
              <w:t>resolve complicated procurement issues</w:t>
            </w:r>
          </w:p>
          <w:p w:rsidR="00000000" w:rsidRPr="001E6AAA" w:rsidP="001E6AAA">
            <w:pPr>
              <w:pStyle w:val="ListBullet2"/>
            </w:pPr>
            <w:r w:rsidRPr="001E6AAA">
              <w:t>develop options for inclusion in a business case</w:t>
            </w:r>
          </w:p>
          <w:p w:rsidR="00000000" w:rsidRPr="001E6AAA" w:rsidP="001E6AAA">
            <w:pPr>
              <w:pStyle w:val="ListBullet2"/>
            </w:pPr>
            <w:r w:rsidRPr="001E6AAA">
              <w:t>apply decision-making processes or</w:t>
            </w:r>
            <w:r w:rsidRPr="001E6AAA">
              <w:t xml:space="preserve"> methodologies</w:t>
            </w:r>
          </w:p>
          <w:p w:rsidR="00000000" w:rsidRPr="001E6AAA" w:rsidP="001E6AAA">
            <w:pPr>
              <w:pStyle w:val="ListBullet"/>
            </w:pPr>
            <w:r w:rsidRPr="001E6AAA">
              <w:t>initiative and enterprise skills to:</w:t>
            </w:r>
          </w:p>
          <w:p w:rsidR="00000000" w:rsidRPr="001E6AAA" w:rsidP="001E6AAA">
            <w:pPr>
              <w:pStyle w:val="ListBullet2"/>
            </w:pPr>
            <w:r w:rsidRPr="001E6AAA">
              <w:t xml:space="preserve">apply the content of complex documents, such as contracts, legislation and guidelines </w:t>
            </w:r>
          </w:p>
          <w:p w:rsidR="00000000" w:rsidRPr="001E6AAA" w:rsidP="001E6AAA">
            <w:pPr>
              <w:pStyle w:val="ListBullet2"/>
            </w:pPr>
            <w:r w:rsidRPr="001E6AAA">
              <w:t>apply OHS, environmental, sustainability and corporate social responsibility practices in the context of making procurement decisions</w:t>
            </w:r>
          </w:p>
          <w:p w:rsidR="00000000" w:rsidRPr="001E6AAA" w:rsidP="001E6AAA">
            <w:pPr>
              <w:pStyle w:val="ListBullet"/>
            </w:pPr>
            <w:r w:rsidRPr="001E6AAA">
              <w:t>planning and organising skills to:</w:t>
            </w:r>
          </w:p>
          <w:p w:rsidR="00000000" w:rsidRPr="001E6AAA" w:rsidP="001E6AAA">
            <w:pPr>
              <w:pStyle w:val="ListBullet2"/>
            </w:pPr>
            <w:r w:rsidRPr="001E6AAA">
              <w:t>undertake research and business analysis</w:t>
            </w:r>
          </w:p>
          <w:p w:rsidR="00000000" w:rsidRPr="001E6AAA" w:rsidP="001E6AAA">
            <w:pPr>
              <w:pStyle w:val="ListBullet2"/>
            </w:pPr>
            <w:r w:rsidRPr="001E6AAA">
              <w:t>document procurement decisions</w:t>
            </w:r>
          </w:p>
          <w:p w:rsidR="00000000" w:rsidRPr="001E6AAA" w:rsidP="001E6AAA">
            <w:pPr>
              <w:pStyle w:val="ListBullet2"/>
            </w:pPr>
            <w:r w:rsidRPr="001E6AAA">
              <w:t>manage and up</w:t>
            </w:r>
            <w:r w:rsidRPr="001E6AAA">
              <w:t>date procurement plans</w:t>
            </w:r>
          </w:p>
          <w:p w:rsidR="00000000" w:rsidRPr="001E6AAA" w:rsidP="001E6AAA">
            <w:pPr>
              <w:pStyle w:val="ListBullet"/>
            </w:pPr>
            <w:r w:rsidRPr="001E6AAA">
              <w:t>learning skills to keep up-to-date with:</w:t>
            </w:r>
          </w:p>
          <w:p w:rsidR="00000000" w:rsidRPr="001E6AAA" w:rsidP="001E6AAA">
            <w:pPr>
              <w:pStyle w:val="ListBullet2"/>
            </w:pPr>
            <w:r w:rsidRPr="001E6AAA">
              <w:t xml:space="preserve">best practice examples in procurement practice </w:t>
            </w:r>
          </w:p>
          <w:p w:rsidR="00000000" w:rsidRPr="001E6AAA" w:rsidP="001E6AAA">
            <w:pPr>
              <w:pStyle w:val="ListBullet2"/>
            </w:pPr>
            <w:r w:rsidRPr="001E6AAA">
              <w:t>relevant procurement legislation, policies and procedures</w:t>
            </w:r>
          </w:p>
          <w:p w:rsidR="00000000" w:rsidRPr="001E6AAA" w:rsidP="001E6AAA">
            <w:pPr>
              <w:pStyle w:val="ListBullet"/>
            </w:pPr>
            <w:r w:rsidRPr="001E6AAA">
              <w:t>technology skills to:</w:t>
            </w:r>
          </w:p>
          <w:p w:rsidR="00000000" w:rsidRPr="001E6AAA" w:rsidP="001E6AAA">
            <w:pPr>
              <w:pStyle w:val="ListBullet2"/>
            </w:pPr>
            <w:r w:rsidRPr="001E6AAA">
              <w:t>operate organisational IT systems</w:t>
            </w:r>
          </w:p>
          <w:p w:rsidR="00000000" w:rsidP="001E6AAA">
            <w:pPr>
              <w:pStyle w:val="ListBullet2"/>
              <w:rPr>
                <w:lang w:val="en-NZ"/>
              </w:rPr>
            </w:pPr>
            <w:r w:rsidRPr="001E6AAA">
              <w:t>use electronic procurement</w:t>
            </w:r>
            <w:r w:rsidRPr="001E6AAA">
              <w:t xml:space="preserve"> templates</w:t>
            </w:r>
          </w:p>
        </w:tc>
      </w:tr>
      <w:tr w:rsidTr="001C594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E6AAA">
            <w:pPr>
              <w:pStyle w:val="BodyText"/>
              <w:rPr>
                <w:lang w:val="en-NZ"/>
              </w:rPr>
            </w:pPr>
            <w:r w:rsidRPr="001E6AAA">
              <w:rPr>
                <w:rStyle w:val="SpecialBold"/>
              </w:rPr>
              <w:t>Required knowledge</w:t>
            </w:r>
          </w:p>
        </w:tc>
      </w:tr>
      <w:tr w:rsidTr="001C594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1E6AAA" w:rsidP="001E6AAA">
            <w:pPr>
              <w:pStyle w:val="ListBullet"/>
            </w:pPr>
            <w:r w:rsidRPr="001E6AAA">
              <w:t>commonwealth, state or territory, and local government legislation, policies, practices and guidelines:</w:t>
            </w:r>
          </w:p>
          <w:p w:rsidR="00000000" w:rsidRPr="001E6AAA" w:rsidP="001E6AAA">
            <w:pPr>
              <w:pStyle w:val="ListBullet2"/>
            </w:pPr>
            <w:r w:rsidRPr="001E6AAA">
              <w:t>relating to procurement, including environmental purchasing and corporate social responsibility guidance</w:t>
            </w:r>
          </w:p>
          <w:p w:rsidR="00000000" w:rsidRPr="001E6AAA" w:rsidP="001E6AAA">
            <w:pPr>
              <w:pStyle w:val="ListBullet2"/>
            </w:pPr>
            <w:r w:rsidRPr="001E6AAA">
              <w:t>such as OHS and equity and diversity</w:t>
            </w:r>
          </w:p>
          <w:p w:rsidR="00000000" w:rsidRPr="001E6AAA" w:rsidP="001E6AAA">
            <w:pPr>
              <w:pStyle w:val="ListBullet"/>
            </w:pPr>
            <w:r w:rsidRPr="001E6AAA">
              <w:t>organisational procurement policies, practices and approval processes</w:t>
            </w:r>
          </w:p>
          <w:p w:rsidR="00000000" w:rsidRPr="001E6AAA" w:rsidP="001E6AAA">
            <w:pPr>
              <w:pStyle w:val="ListBullet"/>
            </w:pPr>
            <w:r w:rsidRPr="001E6AAA">
              <w:t>procurement planning for a range of complex procurement requirements and outcomes</w:t>
            </w:r>
          </w:p>
          <w:p w:rsidR="00000000" w:rsidRPr="001E6AAA" w:rsidP="001E6AAA">
            <w:pPr>
              <w:pStyle w:val="ListBullet"/>
            </w:pPr>
            <w:r w:rsidRPr="001E6AAA">
              <w:t>decision-making processes and methodologies</w:t>
            </w:r>
          </w:p>
          <w:p w:rsidR="00000000" w:rsidRPr="001E6AAA" w:rsidP="001E6AAA">
            <w:pPr>
              <w:pStyle w:val="ListBullet"/>
            </w:pPr>
            <w:r w:rsidRPr="001E6AAA">
              <w:t>probity principles and issues</w:t>
            </w:r>
          </w:p>
          <w:p w:rsidR="00000000" w:rsidRPr="001E6AAA" w:rsidP="001E6AAA">
            <w:pPr>
              <w:pStyle w:val="ListBullet"/>
            </w:pPr>
            <w:r w:rsidRPr="001E6AAA">
              <w:t>codes of conduct, codes of practice and standards of individual behaviour relating to procurement decisions</w:t>
            </w:r>
          </w:p>
          <w:p w:rsidR="00000000" w:rsidRPr="001E6AAA" w:rsidP="001E6AAA">
            <w:pPr>
              <w:pStyle w:val="ListBullet"/>
            </w:pPr>
            <w:r w:rsidRPr="001E6AAA">
              <w:t>government procurement environment</w:t>
            </w:r>
          </w:p>
          <w:p w:rsidR="00000000" w:rsidRPr="001E6AAA" w:rsidP="001E6AAA">
            <w:pPr>
              <w:pStyle w:val="ListBullet"/>
            </w:pPr>
            <w:r w:rsidRPr="001E6AAA">
              <w:t>legal requirements of government procurement</w:t>
            </w:r>
          </w:p>
          <w:p w:rsidR="00000000" w:rsidRPr="001E6AAA" w:rsidP="001E6AAA">
            <w:pPr>
              <w:pStyle w:val="ListBullet"/>
            </w:pPr>
            <w:r w:rsidRPr="001E6AAA">
              <w:t>implications of particular procurement</w:t>
            </w:r>
            <w:r w:rsidRPr="001E6AAA">
              <w:t xml:space="preserve"> arrangements</w:t>
            </w:r>
          </w:p>
          <w:p w:rsidR="00000000" w:rsidRPr="001E6AAA" w:rsidP="001E6AAA">
            <w:pPr>
              <w:pStyle w:val="ListBullet"/>
            </w:pPr>
            <w:r w:rsidRPr="001E6AAA">
              <w:t>whole-of-life considerations</w:t>
            </w:r>
          </w:p>
          <w:p w:rsidR="00000000" w:rsidRPr="001E6AAA" w:rsidP="001E6AAA">
            <w:pPr>
              <w:pStyle w:val="ListBullet"/>
            </w:pPr>
            <w:r w:rsidRPr="001E6AAA">
              <w:t>financial and accounting issues relevant to the procurement</w:t>
            </w:r>
          </w:p>
          <w:p w:rsidR="00000000" w:rsidRPr="001E6AAA" w:rsidP="001E6AAA">
            <w:pPr>
              <w:pStyle w:val="ListBullet"/>
            </w:pPr>
            <w:r w:rsidRPr="001E6AAA">
              <w:t>cultural issues relating to complex procurement and industry development in certain sectors</w:t>
            </w:r>
          </w:p>
          <w:p w:rsidR="00000000" w:rsidRPr="001E6AAA" w:rsidP="001E6AAA">
            <w:pPr>
              <w:pStyle w:val="ListBullet"/>
            </w:pPr>
            <w:r w:rsidRPr="001E6AAA">
              <w:t>relationship management</w:t>
            </w:r>
          </w:p>
          <w:p w:rsidR="00000000" w:rsidRPr="001E6AAA" w:rsidP="001E6AAA">
            <w:pPr>
              <w:pStyle w:val="ListBullet"/>
            </w:pPr>
            <w:r w:rsidRPr="001E6AAA">
              <w:t>equal employment opportunity relevant</w:t>
            </w:r>
            <w:r w:rsidRPr="001E6AAA">
              <w:t xml:space="preserve"> to the procurement</w:t>
            </w:r>
          </w:p>
          <w:p w:rsidR="00000000" w:rsidRPr="001E6AAA" w:rsidP="001E6AAA">
            <w:pPr>
              <w:pStyle w:val="ListBullet"/>
            </w:pPr>
            <w:r w:rsidRPr="001E6AAA">
              <w:t>OHS requirements relevant to the procurement</w:t>
            </w:r>
          </w:p>
          <w:p w:rsidR="00000000" w:rsidRPr="001E6AAA" w:rsidP="001E6AAA">
            <w:pPr>
              <w:pStyle w:val="ListBullet"/>
            </w:pPr>
            <w:r w:rsidRPr="001E6AAA">
              <w:t>environmental, sustainability and corporate social responsibility principles relevant to the procurement</w:t>
            </w:r>
          </w:p>
        </w:tc>
      </w:tr>
    </w:tbl>
    <w:p w:rsidR="00000000" w:rsidRPr="001E6AAA" w:rsidP="001E6AAA">
      <w:pPr>
        <w:pStyle w:val="BodyText"/>
      </w:pPr>
    </w:p>
    <w:p w:rsidR="00000000" w:rsidRPr="001E6AAA" w:rsidP="001E6AAA">
      <w:pPr>
        <w:pStyle w:val="AllowPageBreak"/>
      </w:pPr>
    </w:p>
    <w:p w:rsidR="00000000" w:rsidRPr="001E6AAA" w:rsidP="001E6AAA">
      <w:pPr>
        <w:pStyle w:val="Heading1"/>
      </w:pPr>
      <w:bookmarkStart w:id="10" w:name="O_411064"/>
      <w:bookmarkEnd w:id="10"/>
      <w:r w:rsidRPr="001E6AAA">
        <w:t>Evidence Guide</w:t>
      </w:r>
    </w:p>
    <w:tbl>
      <w:tblPr>
        <w:tblW w:w="9288" w:type="dxa"/>
        <w:tblLayout w:type="fixed"/>
        <w:tblCellMar>
          <w:left w:w="62" w:type="dxa"/>
          <w:right w:w="62" w:type="dxa"/>
        </w:tblCellMar>
        <w:tblLook w:val="0000"/>
      </w:tblPr>
      <w:tblGrid>
        <w:gridCol w:w="2747"/>
        <w:gridCol w:w="6541"/>
      </w:tblGrid>
      <w:tr w:rsidTr="001C5948">
        <w:tblPrEx>
          <w:tblW w:w="9288" w:type="dxa"/>
          <w:tblLayout w:type="fixed"/>
          <w:tblCellMar>
            <w:left w:w="62" w:type="dxa"/>
            <w:right w:w="62" w:type="dxa"/>
          </w:tblCellMar>
          <w:tblLook w:val="0000"/>
        </w:tblPrEx>
        <w:tc>
          <w:tcPr>
            <w:tcW w:w="9288" w:type="dxa"/>
            <w:gridSpan w:val="2"/>
            <w:tcBorders>
              <w:top w:val="nil"/>
              <w:left w:val="nil"/>
              <w:bottom w:val="nil"/>
              <w:right w:val="nil"/>
            </w:tcBorders>
            <w:tcMar>
              <w:top w:w="0" w:type="dxa"/>
              <w:left w:w="62" w:type="dxa"/>
              <w:bottom w:w="0" w:type="dxa"/>
              <w:right w:w="62" w:type="dxa"/>
            </w:tcMar>
          </w:tcPr>
          <w:p w:rsidR="00000000" w:rsidP="001E6AAA">
            <w:pPr>
              <w:pStyle w:val="BodyText"/>
              <w:rPr>
                <w:lang w:val="en-NZ"/>
              </w:rPr>
            </w:pPr>
            <w:r w:rsidRPr="001E6AAA">
              <w:t>The Evidence Guide provides advice on assessment and must be read in conjunction with the performance criteria, required skills and knowledge, range statement and the Assessment Guidelines for the Training Package.</w:t>
            </w:r>
          </w:p>
        </w:tc>
      </w:tr>
      <w:tr w:rsidTr="001C5948">
        <w:tblPrEx>
          <w:tblW w:w="9288" w:type="dxa"/>
          <w:tblLayout w:type="fixed"/>
          <w:tblCellMar>
            <w:left w:w="62" w:type="dxa"/>
            <w:right w:w="62" w:type="dxa"/>
          </w:tblCellMar>
          <w:tblLook w:val="0000"/>
        </w:tblPrEx>
        <w:tc>
          <w:tcPr>
            <w:tcW w:w="2747" w:type="dxa"/>
            <w:tcBorders>
              <w:top w:val="nil"/>
              <w:left w:val="nil"/>
              <w:bottom w:val="nil"/>
              <w:right w:val="nil"/>
            </w:tcBorders>
            <w:tcMar>
              <w:top w:w="0" w:type="dxa"/>
              <w:left w:w="62" w:type="dxa"/>
              <w:bottom w:w="0" w:type="dxa"/>
              <w:right w:w="62" w:type="dxa"/>
            </w:tcMar>
          </w:tcPr>
          <w:p w:rsidR="00000000" w:rsidP="001E6AAA">
            <w:pPr>
              <w:pStyle w:val="BodyText"/>
              <w:rPr>
                <w:lang w:val="en-NZ"/>
              </w:rPr>
            </w:pPr>
            <w:r w:rsidRPr="001E6AAA">
              <w:rPr>
                <w:rStyle w:val="SpecialBold"/>
              </w:rPr>
              <w:t>Overview of assessment</w:t>
            </w:r>
          </w:p>
        </w:tc>
        <w:tc>
          <w:tcPr>
            <w:tcW w:w="6541" w:type="dxa"/>
            <w:tcBorders>
              <w:top w:val="nil"/>
              <w:left w:val="nil"/>
              <w:bottom w:val="nil"/>
              <w:right w:val="nil"/>
            </w:tcBorders>
            <w:tcMar>
              <w:top w:w="0" w:type="dxa"/>
              <w:left w:w="62" w:type="dxa"/>
              <w:bottom w:w="0" w:type="dxa"/>
              <w:right w:w="62" w:type="dxa"/>
            </w:tcMar>
          </w:tcPr>
          <w:p w:rsidR="00000000" w:rsidP="001E6AAA">
            <w:pPr>
              <w:pStyle w:val="BodyText"/>
              <w:rPr>
                <w:lang w:val="en-NZ"/>
              </w:rPr>
            </w:pPr>
            <w:r w:rsidRPr="001E6AAA">
              <w:t xml:space="preserve">Competency must </w:t>
            </w:r>
            <w:r w:rsidRPr="001E6AAA">
              <w:t>be demonstrated in making procurement decisions consistently and in accordance with legislative and organisational requirements.</w:t>
            </w:r>
          </w:p>
        </w:tc>
      </w:tr>
      <w:tr w:rsidTr="001C5948">
        <w:tblPrEx>
          <w:tblW w:w="9288" w:type="dxa"/>
          <w:tblLayout w:type="fixed"/>
          <w:tblCellMar>
            <w:left w:w="62" w:type="dxa"/>
            <w:right w:w="62" w:type="dxa"/>
          </w:tblCellMar>
          <w:tblLook w:val="0000"/>
        </w:tblPrEx>
        <w:tc>
          <w:tcPr>
            <w:tcW w:w="2747" w:type="dxa"/>
            <w:tcBorders>
              <w:top w:val="nil"/>
              <w:left w:val="nil"/>
              <w:bottom w:val="nil"/>
              <w:right w:val="nil"/>
            </w:tcBorders>
            <w:tcMar>
              <w:top w:w="0" w:type="dxa"/>
              <w:left w:w="62" w:type="dxa"/>
              <w:bottom w:w="0" w:type="dxa"/>
              <w:right w:w="62" w:type="dxa"/>
            </w:tcMar>
          </w:tcPr>
          <w:p w:rsidR="00000000" w:rsidP="001E6AAA">
            <w:pPr>
              <w:pStyle w:val="BodyText"/>
              <w:rPr>
                <w:lang w:val="en-NZ"/>
              </w:rPr>
            </w:pPr>
            <w:r w:rsidRPr="001E6AAA">
              <w:rPr>
                <w:rStyle w:val="SpecialBold"/>
              </w:rPr>
              <w:t>Critical aspects for assessment and evidence required to demonstrate competency in this unit</w:t>
            </w:r>
          </w:p>
        </w:tc>
        <w:tc>
          <w:tcPr>
            <w:tcW w:w="6541" w:type="dxa"/>
            <w:tcBorders>
              <w:top w:val="nil"/>
              <w:left w:val="nil"/>
              <w:bottom w:val="nil"/>
              <w:right w:val="nil"/>
            </w:tcBorders>
            <w:tcMar>
              <w:top w:w="0" w:type="dxa"/>
              <w:left w:w="62" w:type="dxa"/>
              <w:bottom w:w="0" w:type="dxa"/>
              <w:right w:w="62" w:type="dxa"/>
            </w:tcMar>
          </w:tcPr>
          <w:p w:rsidR="00000000" w:rsidRPr="001E6AAA" w:rsidP="001E6AAA">
            <w:pPr>
              <w:pStyle w:val="BodyText"/>
            </w:pPr>
            <w:r w:rsidRPr="001E6AAA">
              <w:t>Assessment must confirm the abili</w:t>
            </w:r>
            <w:r w:rsidRPr="001E6AAA">
              <w:t>ty to:</w:t>
            </w:r>
          </w:p>
          <w:p w:rsidR="00000000" w:rsidRPr="001E6AAA" w:rsidP="001E6AAA">
            <w:pPr>
              <w:pStyle w:val="ListBullet"/>
            </w:pPr>
            <w:r w:rsidRPr="001E6AAA">
              <w:t>apply a detailed understanding of legal and policy settings to particular procurement activities to achieve procurement results</w:t>
            </w:r>
          </w:p>
          <w:p w:rsidR="00000000" w:rsidRPr="001E6AAA" w:rsidP="001E6AAA">
            <w:pPr>
              <w:pStyle w:val="ListBullet"/>
            </w:pPr>
            <w:r w:rsidRPr="001E6AAA">
              <w:t>undertake market research and consultation with stakeholders</w:t>
            </w:r>
          </w:p>
          <w:p w:rsidR="00000000" w:rsidRPr="001E6AAA" w:rsidP="001E6AAA">
            <w:pPr>
              <w:pStyle w:val="ListBullet"/>
            </w:pPr>
            <w:r w:rsidRPr="001E6AAA">
              <w:t>decide on and apply effective procurement methods, including type of contractual arrangement to be used, to suit the nature of the procurement being undertaken</w:t>
            </w:r>
          </w:p>
          <w:p w:rsidR="00000000" w:rsidRPr="001E6AAA" w:rsidP="001E6AAA">
            <w:pPr>
              <w:pStyle w:val="ListBullet"/>
            </w:pPr>
            <w:r w:rsidRPr="001E6AAA">
              <w:t>identify and consider a range of factors that might affect the choice of supplier so that the pr</w:t>
            </w:r>
            <w:r w:rsidRPr="001E6AAA">
              <w:t>ocurement decision is robust, achieves value for money, withstands scrutiny and contributes to the organisation's business direction</w:t>
            </w:r>
          </w:p>
          <w:p w:rsidR="00000000" w:rsidRPr="001E6AAA" w:rsidP="001E6AAA">
            <w:pPr>
              <w:pStyle w:val="ListBullet"/>
            </w:pPr>
            <w:r w:rsidRPr="001E6AAA">
              <w:t>obtain the necessary resources and expertise to convene an effective tender evaluation panel</w:t>
            </w:r>
          </w:p>
          <w:p w:rsidR="00000000" w:rsidRPr="001E6AAA" w:rsidP="001E6AAA">
            <w:pPr>
              <w:pStyle w:val="ListBullet"/>
            </w:pPr>
            <w:r w:rsidRPr="001E6AAA">
              <w:t>demonstrate accountability and</w:t>
            </w:r>
            <w:r w:rsidRPr="001E6AAA">
              <w:t xml:space="preserve"> transparency in procurement decision making</w:t>
            </w:r>
          </w:p>
          <w:p w:rsidR="00000000" w:rsidRPr="001E6AAA" w:rsidP="001E6AAA">
            <w:pPr>
              <w:pStyle w:val="ListBullet"/>
            </w:pPr>
            <w:r w:rsidRPr="001E6AAA">
              <w:t>act within own delegation and refer promptly to higher authority when this is not possible.</w:t>
            </w:r>
          </w:p>
          <w:p w:rsidR="00000000" w:rsidRPr="001E6AAA" w:rsidP="001E6AAA">
            <w:pPr>
              <w:pStyle w:val="BodyText"/>
            </w:pPr>
            <w:r w:rsidRPr="001E6AAA">
              <w:rPr>
                <w:rStyle w:val="SpecialBold"/>
              </w:rPr>
              <w:t>Consistency in performance</w:t>
            </w:r>
          </w:p>
          <w:p w:rsidR="00000000" w:rsidP="001E6AAA">
            <w:pPr>
              <w:pStyle w:val="BodyText"/>
              <w:rPr>
                <w:lang w:val="en-NZ"/>
              </w:rPr>
            </w:pPr>
            <w:r w:rsidRPr="001E6AAA">
              <w:t>Competency should be demonstrated by providing evidence of undertaking a range of relevant w</w:t>
            </w:r>
            <w:r w:rsidRPr="001E6AAA">
              <w:t>ork tasks in an actual or simulated procurement environment on at least two separate occasions.</w:t>
            </w:r>
          </w:p>
        </w:tc>
      </w:tr>
      <w:tr w:rsidTr="001C5948">
        <w:tblPrEx>
          <w:tblW w:w="9288" w:type="dxa"/>
          <w:tblLayout w:type="fixed"/>
          <w:tblCellMar>
            <w:left w:w="62" w:type="dxa"/>
            <w:right w:w="62" w:type="dxa"/>
          </w:tblCellMar>
          <w:tblLook w:val="0000"/>
        </w:tblPrEx>
        <w:tc>
          <w:tcPr>
            <w:tcW w:w="2747" w:type="dxa"/>
            <w:tcBorders>
              <w:top w:val="nil"/>
              <w:left w:val="nil"/>
              <w:bottom w:val="nil"/>
              <w:right w:val="nil"/>
            </w:tcBorders>
            <w:tcMar>
              <w:top w:w="0" w:type="dxa"/>
              <w:left w:w="62" w:type="dxa"/>
              <w:bottom w:w="0" w:type="dxa"/>
              <w:right w:w="62" w:type="dxa"/>
            </w:tcMar>
          </w:tcPr>
          <w:p w:rsidR="00000000" w:rsidP="001E6AAA">
            <w:pPr>
              <w:pStyle w:val="BodyText"/>
              <w:rPr>
                <w:lang w:val="en-NZ"/>
              </w:rPr>
            </w:pPr>
            <w:r w:rsidRPr="001E6AAA">
              <w:rPr>
                <w:rStyle w:val="SpecialBold"/>
              </w:rPr>
              <w:t>Context of and specific resources for assessment</w:t>
            </w:r>
          </w:p>
        </w:tc>
        <w:tc>
          <w:tcPr>
            <w:tcW w:w="6541" w:type="dxa"/>
            <w:tcBorders>
              <w:top w:val="nil"/>
              <w:left w:val="nil"/>
              <w:bottom w:val="nil"/>
              <w:right w:val="nil"/>
            </w:tcBorders>
            <w:tcMar>
              <w:top w:w="0" w:type="dxa"/>
              <w:left w:w="62" w:type="dxa"/>
              <w:bottom w:w="0" w:type="dxa"/>
              <w:right w:w="62" w:type="dxa"/>
            </w:tcMar>
          </w:tcPr>
          <w:p w:rsidR="00000000" w:rsidRPr="001E6AAA" w:rsidP="001E6AAA">
            <w:pPr>
              <w:pStyle w:val="BodyText"/>
            </w:pPr>
            <w:r w:rsidRPr="001E6AAA">
              <w:t>The unit of competency is to be assessed in the workplace or a simulated workplace environment.</w:t>
            </w:r>
          </w:p>
          <w:p w:rsidR="00000000" w:rsidRPr="001E6AAA" w:rsidP="001E6AAA">
            <w:pPr>
              <w:pStyle w:val="BodyText"/>
            </w:pPr>
            <w:r w:rsidRPr="001E6AAA">
              <w:t xml:space="preserve">Access may be </w:t>
            </w:r>
            <w:r w:rsidRPr="001E6AAA">
              <w:t>required to:</w:t>
            </w:r>
          </w:p>
          <w:p w:rsidR="00000000" w:rsidRPr="001E6AAA" w:rsidP="001E6AAA">
            <w:pPr>
              <w:pStyle w:val="ListBullet"/>
            </w:pPr>
            <w:r w:rsidRPr="001E6AAA">
              <w:t>legislation, policy, procedures and protocols relating to procuring goods and services and managing contracts</w:t>
            </w:r>
          </w:p>
          <w:p w:rsidR="00000000" w:rsidRPr="001E6AAA" w:rsidP="001E6AAA">
            <w:pPr>
              <w:pStyle w:val="ListBullet"/>
            </w:pPr>
            <w:r w:rsidRPr="001E6AAA">
              <w:t>codes of conduct and codes of practice</w:t>
            </w:r>
          </w:p>
          <w:p w:rsidR="00000000" w:rsidRPr="001E6AAA" w:rsidP="001E6AAA">
            <w:pPr>
              <w:pStyle w:val="ListBullet"/>
            </w:pPr>
            <w:r w:rsidRPr="001E6AAA">
              <w:t>workplace scenarios and case studies relating to a range of procurement activities associated</w:t>
            </w:r>
            <w:r w:rsidRPr="001E6AAA">
              <w:t xml:space="preserve"> with making procurement decisions</w:t>
            </w:r>
          </w:p>
          <w:p w:rsidR="00000000" w:rsidP="001E6AAA">
            <w:pPr>
              <w:pStyle w:val="ListBullet"/>
              <w:rPr>
                <w:lang w:val="en-NZ"/>
              </w:rPr>
            </w:pPr>
            <w:r w:rsidRPr="001E6AAA">
              <w:t>case studies that incorporate dilemmas, and probity requirements relating to making procurement decisions.</w:t>
            </w:r>
          </w:p>
        </w:tc>
      </w:tr>
      <w:tr w:rsidTr="001C5948">
        <w:tblPrEx>
          <w:tblW w:w="9288" w:type="dxa"/>
          <w:tblLayout w:type="fixed"/>
          <w:tblCellMar>
            <w:left w:w="62" w:type="dxa"/>
            <w:right w:w="62" w:type="dxa"/>
          </w:tblCellMar>
          <w:tblLook w:val="0000"/>
        </w:tblPrEx>
        <w:tc>
          <w:tcPr>
            <w:tcW w:w="2747" w:type="dxa"/>
            <w:tcBorders>
              <w:top w:val="nil"/>
              <w:left w:val="nil"/>
              <w:bottom w:val="nil"/>
              <w:right w:val="nil"/>
            </w:tcBorders>
            <w:tcMar>
              <w:top w:w="0" w:type="dxa"/>
              <w:left w:w="62" w:type="dxa"/>
              <w:bottom w:w="0" w:type="dxa"/>
              <w:right w:w="62" w:type="dxa"/>
            </w:tcMar>
          </w:tcPr>
          <w:p w:rsidR="00000000" w:rsidP="001E6AAA">
            <w:pPr>
              <w:pStyle w:val="BodyText"/>
              <w:rPr>
                <w:lang w:val="en-NZ"/>
              </w:rPr>
            </w:pPr>
            <w:r w:rsidRPr="001E6AAA">
              <w:rPr>
                <w:rStyle w:val="SpecialBold"/>
              </w:rPr>
              <w:t>Method of assessment</w:t>
            </w:r>
          </w:p>
        </w:tc>
        <w:tc>
          <w:tcPr>
            <w:tcW w:w="6541" w:type="dxa"/>
            <w:tcBorders>
              <w:top w:val="nil"/>
              <w:left w:val="nil"/>
              <w:bottom w:val="nil"/>
              <w:right w:val="nil"/>
            </w:tcBorders>
            <w:tcMar>
              <w:top w:w="0" w:type="dxa"/>
              <w:left w:w="62" w:type="dxa"/>
              <w:bottom w:w="0" w:type="dxa"/>
              <w:right w:w="62" w:type="dxa"/>
            </w:tcMar>
          </w:tcPr>
          <w:p w:rsidR="00000000" w:rsidRPr="001E6AAA" w:rsidP="001E6AAA">
            <w:pPr>
              <w:pStyle w:val="BodyText"/>
            </w:pPr>
            <w:r w:rsidRPr="001E6AAA">
              <w:t>The following assessment methods are suggested:</w:t>
            </w:r>
          </w:p>
          <w:p w:rsidR="00000000" w:rsidRPr="001E6AAA" w:rsidP="001E6AAA">
            <w:pPr>
              <w:pStyle w:val="ListBullet"/>
            </w:pPr>
            <w:r w:rsidRPr="001E6AAA">
              <w:t>questions to assess understanding of relevant legislation and procedures</w:t>
            </w:r>
          </w:p>
          <w:p w:rsidR="00000000" w:rsidRPr="001E6AAA" w:rsidP="001E6AAA">
            <w:pPr>
              <w:pStyle w:val="ListBullet"/>
            </w:pPr>
            <w:r w:rsidRPr="001E6AAA">
              <w:t>review of strategies and approaches adopted for planning for procurement outcomes</w:t>
            </w:r>
          </w:p>
          <w:p w:rsidR="00000000" w:rsidRPr="001E6AAA" w:rsidP="001E6AAA">
            <w:pPr>
              <w:pStyle w:val="ListBullet"/>
            </w:pPr>
            <w:r w:rsidRPr="001E6AAA">
              <w:t>review of documents demonstrating sound procurement decisions made or reviewed by the candidate acros</w:t>
            </w:r>
            <w:r w:rsidRPr="001E6AAA">
              <w:t>s all stages of the procurement cycle, exercise of delegations or approval authority, or other documentation prepared or reviewed by the candidate in a range of contexts</w:t>
            </w:r>
          </w:p>
          <w:p w:rsidR="00000000" w:rsidRPr="001E6AAA" w:rsidP="001E6AAA">
            <w:pPr>
              <w:pStyle w:val="ListBullet"/>
            </w:pPr>
            <w:r w:rsidRPr="001E6AAA">
              <w:t>review of stakeholder engagement approaches adopted by the candidate.</w:t>
            </w:r>
          </w:p>
          <w:p w:rsidR="00000000" w:rsidP="001E6AAA">
            <w:pPr>
              <w:pStyle w:val="BodyText"/>
              <w:rPr>
                <w:lang w:val="en-NZ"/>
              </w:rPr>
            </w:pPr>
            <w:r w:rsidRPr="001E6AAA">
              <w:t>In all cases, pr</w:t>
            </w:r>
            <w:r w:rsidRPr="001E6AAA">
              <w:t>actical assessment should be supported by questions to assess underpinning knowledge and those aspects of competency which are difficult to assess directly. Questioning techniques should suit the language and literacy levels of the candidate.</w:t>
            </w:r>
          </w:p>
        </w:tc>
      </w:tr>
      <w:tr w:rsidTr="001C5948">
        <w:tblPrEx>
          <w:tblW w:w="9288" w:type="dxa"/>
          <w:tblLayout w:type="fixed"/>
          <w:tblCellMar>
            <w:left w:w="62" w:type="dxa"/>
            <w:right w:w="62" w:type="dxa"/>
          </w:tblCellMar>
          <w:tblLook w:val="0000"/>
        </w:tblPrEx>
        <w:tc>
          <w:tcPr>
            <w:tcW w:w="2747" w:type="dxa"/>
            <w:tcBorders>
              <w:top w:val="nil"/>
              <w:left w:val="nil"/>
              <w:bottom w:val="nil"/>
              <w:right w:val="nil"/>
            </w:tcBorders>
            <w:tcMar>
              <w:top w:w="0" w:type="dxa"/>
              <w:left w:w="62" w:type="dxa"/>
              <w:bottom w:w="0" w:type="dxa"/>
              <w:right w:w="62" w:type="dxa"/>
            </w:tcMar>
          </w:tcPr>
          <w:p w:rsidR="00000000" w:rsidP="001E6AAA">
            <w:pPr>
              <w:pStyle w:val="BodyText"/>
              <w:rPr>
                <w:lang w:val="en-NZ"/>
              </w:rPr>
            </w:pPr>
            <w:r w:rsidRPr="001E6AAA">
              <w:rPr>
                <w:rStyle w:val="SpecialBold"/>
              </w:rPr>
              <w:t>Guidance inf</w:t>
            </w:r>
            <w:r w:rsidRPr="001E6AAA">
              <w:rPr>
                <w:rStyle w:val="SpecialBold"/>
              </w:rPr>
              <w:t>ormation for assessment</w:t>
            </w:r>
          </w:p>
        </w:tc>
        <w:tc>
          <w:tcPr>
            <w:tcW w:w="6541" w:type="dxa"/>
            <w:tcBorders>
              <w:top w:val="nil"/>
              <w:left w:val="nil"/>
              <w:bottom w:val="nil"/>
              <w:right w:val="nil"/>
            </w:tcBorders>
            <w:tcMar>
              <w:top w:w="0" w:type="dxa"/>
              <w:left w:w="62" w:type="dxa"/>
              <w:bottom w:w="0" w:type="dxa"/>
              <w:right w:w="62" w:type="dxa"/>
            </w:tcMar>
          </w:tcPr>
          <w:p w:rsidR="00000000" w:rsidRPr="001E6AAA" w:rsidP="001E6AAA">
            <w:pPr>
              <w:pStyle w:val="BodyText"/>
            </w:pPr>
            <w:r w:rsidRPr="001E6AAA">
              <w:t>Evidence must be gathered over time in a range of contexts to ensure the person can achieve the unit outcome and apply the competency in different situations or environments.</w:t>
            </w:r>
          </w:p>
          <w:p w:rsidR="00000000" w:rsidRPr="001E6AAA" w:rsidP="001E6AAA">
            <w:pPr>
              <w:pStyle w:val="BodyText"/>
            </w:pPr>
            <w:r w:rsidRPr="001E6AAA">
              <w:t>Holistic assessment with other units relevant to the indu</w:t>
            </w:r>
            <w:r w:rsidRPr="001E6AAA">
              <w:t>stry sector, workplace and job role is recommended, for example:</w:t>
            </w:r>
          </w:p>
          <w:p w:rsidR="00000000" w:rsidRPr="001E6AAA" w:rsidP="001E6AAA">
            <w:pPr>
              <w:pStyle w:val="ListBullet"/>
            </w:pPr>
            <w:r w:rsidRPr="001E6AAA">
              <w:t>PSPETHC501B Promote the values and ethos of public service</w:t>
            </w:r>
          </w:p>
          <w:p w:rsidR="00000000" w:rsidRPr="001E6AAA" w:rsidP="001E6AAA">
            <w:pPr>
              <w:pStyle w:val="ListBullet"/>
            </w:pPr>
            <w:r w:rsidRPr="001E6AAA">
              <w:t>PSPGOV507A Undertake negotiations</w:t>
            </w:r>
          </w:p>
          <w:p w:rsidR="00000000" w:rsidRPr="001E6AAA" w:rsidP="001E6AAA">
            <w:pPr>
              <w:pStyle w:val="ListBullet"/>
            </w:pPr>
            <w:r w:rsidRPr="001E6AAA">
              <w:t>PSPLEGN501B Promote compliance with legislation in the public sector</w:t>
            </w:r>
          </w:p>
          <w:p w:rsidR="00000000" w:rsidRPr="001E6AAA" w:rsidP="001E6AAA">
            <w:pPr>
              <w:pStyle w:val="ListBullet"/>
            </w:pPr>
            <w:r w:rsidRPr="001E6AAA">
              <w:t>PSPPROC503B Manage contract performance</w:t>
            </w:r>
          </w:p>
          <w:p w:rsidR="00000000" w:rsidRPr="001E6AAA" w:rsidP="001E6AAA">
            <w:pPr>
              <w:pStyle w:val="ListBullet"/>
            </w:pPr>
            <w:r w:rsidRPr="001E6AAA">
              <w:t>PSPPROC504B Finalise contracts</w:t>
            </w:r>
          </w:p>
          <w:p w:rsidR="00000000" w:rsidRPr="001E6AAA" w:rsidP="001E6AAA">
            <w:pPr>
              <w:pStyle w:val="ListBullet"/>
            </w:pPr>
            <w:r w:rsidRPr="001E6AAA">
              <w:t xml:space="preserve">PSPPROC505A Manage procurement risk </w:t>
            </w:r>
          </w:p>
          <w:p w:rsidR="00000000" w:rsidRPr="001E6AAA" w:rsidP="001E6AAA">
            <w:pPr>
              <w:pStyle w:val="ListBullet"/>
            </w:pPr>
            <w:r w:rsidRPr="001E6AAA">
              <w:t>PSPPROC506A Plan to manage a contract</w:t>
            </w:r>
          </w:p>
          <w:p w:rsidR="00000000" w:rsidRPr="001E6AAA" w:rsidP="001E6AAA">
            <w:pPr>
              <w:pStyle w:val="ListBullet"/>
            </w:pPr>
            <w:r w:rsidRPr="001E6AAA">
              <w:t>PSPPROC507A Plan for procurement outcomes.</w:t>
            </w:r>
          </w:p>
        </w:tc>
      </w:tr>
    </w:tbl>
    <w:p w:rsidR="00000000" w:rsidRPr="001E6AAA" w:rsidP="001E6AAA">
      <w:pPr>
        <w:pStyle w:val="BodyText"/>
      </w:pPr>
    </w:p>
    <w:p w:rsidR="00000000" w:rsidRPr="001E6AAA" w:rsidP="001E6AAA">
      <w:pPr>
        <w:pStyle w:val="AllowPageBreak"/>
      </w:pPr>
    </w:p>
    <w:p w:rsidR="00000000" w:rsidRPr="001E6AAA" w:rsidP="001E6AAA">
      <w:pPr>
        <w:pStyle w:val="Heading1"/>
      </w:pPr>
      <w:bookmarkStart w:id="11" w:name="O_411059"/>
      <w:bookmarkEnd w:id="11"/>
      <w:r w:rsidRPr="001E6AAA">
        <w:t>Range Statement</w:t>
      </w:r>
    </w:p>
    <w:tbl>
      <w:tblPr>
        <w:tblW w:w="0" w:type="auto"/>
        <w:tblLayout w:type="fixed"/>
        <w:tblCellMar>
          <w:left w:w="62" w:type="dxa"/>
          <w:right w:w="62" w:type="dxa"/>
        </w:tblCellMar>
        <w:tblLook w:val="0000"/>
      </w:tblPr>
      <w:tblGrid>
        <w:gridCol w:w="2441"/>
        <w:gridCol w:w="6081"/>
      </w:tblGrid>
      <w:tr w:rsidTr="001C5948">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1E6AAA">
            <w:pPr>
              <w:pStyle w:val="BodyText"/>
              <w:rPr>
                <w:lang w:val="en-NZ"/>
              </w:rPr>
            </w:pPr>
            <w:r w:rsidRPr="001E6AAA">
              <w:t>The range statement relates to t</w:t>
            </w:r>
            <w:r w:rsidRPr="001E6AAA">
              <w:t>he unit of competency as a whole. It allows for different work environments and situations that may affect performance. Bold italicised wording, if used in the performance criteria, is detailed below. Essential operating conditions that may be present with</w:t>
            </w:r>
            <w:r w:rsidRPr="001E6AAA">
              <w:t xml:space="preserve"> training and assessment (depending on the work situation, needs of the candidate, accessibility of the item, and local industry and regional contexts) may also be included.</w:t>
            </w:r>
          </w:p>
        </w:tc>
      </w:tr>
      <w:tr w:rsidTr="001C5948">
        <w:tblPrEx>
          <w:tblW w:w="0" w:type="auto"/>
          <w:tblLayout w:type="fixed"/>
          <w:tblCellMar>
            <w:left w:w="62" w:type="dxa"/>
            <w:right w:w="62" w:type="dxa"/>
          </w:tblCellMar>
          <w:tblLook w:val="0000"/>
        </w:tblPrEx>
        <w:tc>
          <w:tcPr>
            <w:tcW w:w="2441" w:type="dxa"/>
            <w:tcBorders>
              <w:top w:val="nil"/>
              <w:left w:val="nil"/>
              <w:bottom w:val="nil"/>
              <w:right w:val="nil"/>
            </w:tcBorders>
            <w:tcMar>
              <w:top w:w="0" w:type="dxa"/>
              <w:left w:w="62" w:type="dxa"/>
              <w:bottom w:w="0" w:type="dxa"/>
              <w:right w:w="62" w:type="dxa"/>
            </w:tcMar>
          </w:tcPr>
          <w:p w:rsidR="00000000" w:rsidP="001E6AAA">
            <w:pPr>
              <w:pStyle w:val="BodyText"/>
              <w:rPr>
                <w:lang w:val="en-NZ"/>
              </w:rPr>
            </w:pPr>
            <w:r w:rsidRPr="001E6AAA">
              <w:rPr>
                <w:rStyle w:val="BoldandItalics"/>
              </w:rPr>
              <w:t>Legislative and policy requirements</w:t>
            </w:r>
            <w:r w:rsidRPr="001E6AAA">
              <w:t xml:space="preserve"> may include:</w:t>
            </w:r>
          </w:p>
        </w:tc>
        <w:tc>
          <w:tcPr>
            <w:tcW w:w="6081" w:type="dxa"/>
            <w:tcBorders>
              <w:top w:val="nil"/>
              <w:left w:val="nil"/>
              <w:bottom w:val="nil"/>
              <w:right w:val="nil"/>
            </w:tcBorders>
            <w:tcMar>
              <w:top w:w="0" w:type="dxa"/>
              <w:left w:w="62" w:type="dxa"/>
              <w:bottom w:w="0" w:type="dxa"/>
              <w:right w:w="62" w:type="dxa"/>
            </w:tcMar>
          </w:tcPr>
          <w:p w:rsidR="00000000" w:rsidRPr="001E6AAA" w:rsidP="001E6AAA">
            <w:pPr>
              <w:pStyle w:val="ListBullet"/>
            </w:pPr>
            <w:r w:rsidRPr="001E6AAA">
              <w:t>commonwealth or state and territory legislation</w:t>
            </w:r>
          </w:p>
          <w:p w:rsidR="00000000" w:rsidRPr="001E6AAA" w:rsidP="001E6AAA">
            <w:pPr>
              <w:pStyle w:val="ListBullet"/>
            </w:pPr>
            <w:r w:rsidRPr="001E6AAA">
              <w:t>council rules and by-laws</w:t>
            </w:r>
          </w:p>
          <w:p w:rsidR="00000000" w:rsidRPr="001E6AAA" w:rsidP="001E6AAA">
            <w:pPr>
              <w:pStyle w:val="ListBullet"/>
            </w:pPr>
            <w:r w:rsidRPr="001E6AAA">
              <w:t>equal employment opportunity and anti-discrimination law</w:t>
            </w:r>
          </w:p>
          <w:p w:rsidR="00000000" w:rsidRPr="001E6AAA" w:rsidP="001E6AAA">
            <w:pPr>
              <w:pStyle w:val="ListBullet"/>
            </w:pPr>
            <w:r w:rsidRPr="001E6AAA">
              <w:t>free trade and other international agreements</w:t>
            </w:r>
          </w:p>
          <w:p w:rsidR="00000000" w:rsidRPr="001E6AAA" w:rsidP="001E6AAA">
            <w:pPr>
              <w:pStyle w:val="ListBullet"/>
            </w:pPr>
            <w:r w:rsidRPr="001E6AAA">
              <w:t>commonwealth, and state or territory government procurement guidelines</w:t>
            </w:r>
          </w:p>
          <w:p w:rsidR="00000000" w:rsidRPr="001E6AAA" w:rsidP="001E6AAA">
            <w:pPr>
              <w:pStyle w:val="ListBullet"/>
            </w:pPr>
            <w:r w:rsidRPr="001E6AAA">
              <w:t>environm</w:t>
            </w:r>
            <w:r w:rsidRPr="001E6AAA">
              <w:t>ental and sustainable procurement</w:t>
            </w:r>
          </w:p>
          <w:p w:rsidR="00000000" w:rsidRPr="001E6AAA" w:rsidP="001E6AAA">
            <w:pPr>
              <w:pStyle w:val="ListBullet"/>
            </w:pPr>
            <w:r w:rsidRPr="001E6AAA">
              <w:t>OHS legislation and policies</w:t>
            </w:r>
          </w:p>
          <w:p w:rsidR="00000000" w:rsidRPr="001E6AAA" w:rsidP="001E6AAA">
            <w:pPr>
              <w:pStyle w:val="ListBullet"/>
            </w:pPr>
            <w:r w:rsidRPr="001E6AAA">
              <w:t>corporate social responsibility policies</w:t>
            </w:r>
          </w:p>
          <w:p w:rsidR="00000000" w:rsidP="001E6AAA">
            <w:pPr>
              <w:pStyle w:val="ListBullet"/>
              <w:rPr>
                <w:lang w:val="en-NZ"/>
              </w:rPr>
            </w:pPr>
            <w:r w:rsidRPr="001E6AAA">
              <w:t>organisational policies and practices.</w:t>
            </w:r>
          </w:p>
        </w:tc>
      </w:tr>
      <w:tr w:rsidTr="001C5948">
        <w:tblPrEx>
          <w:tblW w:w="0" w:type="auto"/>
          <w:tblLayout w:type="fixed"/>
          <w:tblCellMar>
            <w:left w:w="62" w:type="dxa"/>
            <w:right w:w="62" w:type="dxa"/>
          </w:tblCellMar>
          <w:tblLook w:val="0000"/>
        </w:tblPrEx>
        <w:tc>
          <w:tcPr>
            <w:tcW w:w="2441" w:type="dxa"/>
            <w:tcBorders>
              <w:top w:val="nil"/>
              <w:left w:val="nil"/>
              <w:bottom w:val="nil"/>
              <w:right w:val="nil"/>
            </w:tcBorders>
            <w:tcMar>
              <w:top w:w="0" w:type="dxa"/>
              <w:left w:w="62" w:type="dxa"/>
              <w:bottom w:w="0" w:type="dxa"/>
              <w:right w:w="62" w:type="dxa"/>
            </w:tcMar>
          </w:tcPr>
          <w:p w:rsidR="00000000" w:rsidP="001E6AAA">
            <w:pPr>
              <w:pStyle w:val="BodyText"/>
              <w:rPr>
                <w:lang w:val="en-NZ"/>
              </w:rPr>
            </w:pPr>
            <w:r w:rsidRPr="001E6AAA">
              <w:rPr>
                <w:rStyle w:val="BoldandItalics"/>
              </w:rPr>
              <w:t>Organisational objectives</w:t>
            </w:r>
            <w:r w:rsidRPr="001E6AAA">
              <w:t xml:space="preserve"> may be contained in:</w:t>
            </w:r>
          </w:p>
        </w:tc>
        <w:tc>
          <w:tcPr>
            <w:tcW w:w="6081" w:type="dxa"/>
            <w:tcBorders>
              <w:top w:val="nil"/>
              <w:left w:val="nil"/>
              <w:bottom w:val="nil"/>
              <w:right w:val="nil"/>
            </w:tcBorders>
            <w:tcMar>
              <w:top w:w="0" w:type="dxa"/>
              <w:left w:w="62" w:type="dxa"/>
              <w:bottom w:w="0" w:type="dxa"/>
              <w:right w:w="62" w:type="dxa"/>
            </w:tcMar>
          </w:tcPr>
          <w:p w:rsidR="00000000" w:rsidRPr="001E6AAA" w:rsidP="001E6AAA">
            <w:pPr>
              <w:pStyle w:val="ListBullet"/>
            </w:pPr>
            <w:r w:rsidRPr="001E6AAA">
              <w:t>political directives</w:t>
            </w:r>
          </w:p>
          <w:p w:rsidR="00000000" w:rsidRPr="001E6AAA" w:rsidP="001E6AAA">
            <w:pPr>
              <w:pStyle w:val="ListBullet"/>
            </w:pPr>
            <w:r w:rsidRPr="001E6AAA">
              <w:t>commonwealth, and state or territory government needs</w:t>
            </w:r>
          </w:p>
          <w:p w:rsidR="00000000" w:rsidRPr="001E6AAA" w:rsidP="001E6AAA">
            <w:pPr>
              <w:pStyle w:val="ListBullet"/>
            </w:pPr>
            <w:r w:rsidRPr="001E6AAA">
              <w:t>responses to government strategic papers, such as White Papers, for example on long-term capability of the public sector to deliver government policy objectives</w:t>
            </w:r>
          </w:p>
          <w:p w:rsidR="00000000" w:rsidP="001E6AAA">
            <w:pPr>
              <w:pStyle w:val="ListBullet"/>
              <w:rPr>
                <w:lang w:val="en-NZ"/>
              </w:rPr>
            </w:pPr>
            <w:r w:rsidRPr="001E6AAA">
              <w:t>organisational strategic and business pla</w:t>
            </w:r>
            <w:r w:rsidRPr="001E6AAA">
              <w:t>ns.</w:t>
            </w:r>
          </w:p>
        </w:tc>
      </w:tr>
      <w:tr w:rsidTr="001C5948">
        <w:tblPrEx>
          <w:tblW w:w="0" w:type="auto"/>
          <w:tblLayout w:type="fixed"/>
          <w:tblCellMar>
            <w:left w:w="62" w:type="dxa"/>
            <w:right w:w="62" w:type="dxa"/>
          </w:tblCellMar>
          <w:tblLook w:val="0000"/>
        </w:tblPrEx>
        <w:tc>
          <w:tcPr>
            <w:tcW w:w="2441" w:type="dxa"/>
            <w:tcBorders>
              <w:top w:val="nil"/>
              <w:left w:val="nil"/>
              <w:bottom w:val="nil"/>
              <w:right w:val="nil"/>
            </w:tcBorders>
            <w:tcMar>
              <w:top w:w="0" w:type="dxa"/>
              <w:left w:w="62" w:type="dxa"/>
              <w:bottom w:w="0" w:type="dxa"/>
              <w:right w:w="62" w:type="dxa"/>
            </w:tcMar>
          </w:tcPr>
          <w:p w:rsidR="00000000" w:rsidP="001E6AAA">
            <w:pPr>
              <w:pStyle w:val="BodyText"/>
              <w:rPr>
                <w:lang w:val="en-NZ"/>
              </w:rPr>
            </w:pPr>
            <w:r w:rsidRPr="001E6AAA">
              <w:rPr>
                <w:rStyle w:val="BoldandItalics"/>
              </w:rPr>
              <w:t>Probity principles</w:t>
            </w:r>
            <w:r w:rsidRPr="001E6AAA">
              <w:t>:</w:t>
            </w:r>
          </w:p>
        </w:tc>
        <w:tc>
          <w:tcPr>
            <w:tcW w:w="6081" w:type="dxa"/>
            <w:tcBorders>
              <w:top w:val="nil"/>
              <w:left w:val="nil"/>
              <w:bottom w:val="nil"/>
              <w:right w:val="nil"/>
            </w:tcBorders>
            <w:tcMar>
              <w:top w:w="0" w:type="dxa"/>
              <w:left w:w="62" w:type="dxa"/>
              <w:bottom w:w="0" w:type="dxa"/>
              <w:right w:w="62" w:type="dxa"/>
            </w:tcMar>
          </w:tcPr>
          <w:p w:rsidR="00000000" w:rsidRPr="001E6AAA" w:rsidP="001E6AAA">
            <w:pPr>
              <w:pStyle w:val="ListBullet"/>
            </w:pPr>
            <w:r w:rsidRPr="001E6AAA">
              <w:t>may include:</w:t>
            </w:r>
          </w:p>
          <w:p w:rsidR="00000000" w:rsidRPr="001E6AAA" w:rsidP="001E6AAA">
            <w:pPr>
              <w:pStyle w:val="ListBullet2"/>
            </w:pPr>
            <w:r w:rsidRPr="001E6AAA">
              <w:t>accountability</w:t>
            </w:r>
          </w:p>
          <w:p w:rsidR="00000000" w:rsidRPr="001E6AAA" w:rsidP="001E6AAA">
            <w:pPr>
              <w:pStyle w:val="ListBullet2"/>
            </w:pPr>
            <w:r w:rsidRPr="001E6AAA">
              <w:t>transparency</w:t>
            </w:r>
          </w:p>
          <w:p w:rsidR="00000000" w:rsidRPr="001E6AAA" w:rsidP="001E6AAA">
            <w:pPr>
              <w:pStyle w:val="ListBullet2"/>
            </w:pPr>
            <w:r w:rsidRPr="001E6AAA">
              <w:t>confidentiality</w:t>
            </w:r>
          </w:p>
          <w:p w:rsidR="00000000" w:rsidRPr="001E6AAA" w:rsidP="001E6AAA">
            <w:pPr>
              <w:pStyle w:val="ListBullet2"/>
            </w:pPr>
            <w:r w:rsidRPr="001E6AAA">
              <w:t>management of conflict of interests</w:t>
            </w:r>
          </w:p>
          <w:p w:rsidR="00000000" w:rsidRPr="001E6AAA" w:rsidP="001E6AAA">
            <w:pPr>
              <w:pStyle w:val="ListBullet2"/>
            </w:pPr>
            <w:r w:rsidRPr="001E6AAA">
              <w:t>impartiality</w:t>
            </w:r>
          </w:p>
          <w:p w:rsidR="00000000" w:rsidRPr="001E6AAA" w:rsidP="001E6AAA">
            <w:pPr>
              <w:pStyle w:val="ListBullet"/>
            </w:pPr>
            <w:r w:rsidRPr="001E6AAA">
              <w:t>are maintained to:</w:t>
            </w:r>
          </w:p>
          <w:p w:rsidR="00000000" w:rsidRPr="001E6AAA" w:rsidP="001E6AAA">
            <w:pPr>
              <w:pStyle w:val="ListBullet2"/>
            </w:pPr>
            <w:r w:rsidRPr="001E6AAA">
              <w:t>ensure conformity to processes</w:t>
            </w:r>
          </w:p>
          <w:p w:rsidR="00000000" w:rsidRPr="001E6AAA" w:rsidP="001E6AAA">
            <w:pPr>
              <w:pStyle w:val="ListBullet2"/>
            </w:pPr>
            <w:r w:rsidRPr="001E6AAA">
              <w:t>facilitate accountability</w:t>
            </w:r>
          </w:p>
          <w:p w:rsidR="00000000" w:rsidRPr="001E6AAA" w:rsidP="001E6AAA">
            <w:pPr>
              <w:pStyle w:val="ListBullet2"/>
            </w:pPr>
            <w:r w:rsidRPr="001E6AAA">
              <w:t>ensure proponents are treated in a fair and equitable manner</w:t>
            </w:r>
          </w:p>
          <w:p w:rsidR="00000000" w:rsidRPr="001E6AAA" w:rsidP="001E6AAA">
            <w:pPr>
              <w:pStyle w:val="ListBullet2"/>
            </w:pPr>
            <w:r w:rsidRPr="001E6AAA">
              <w:t>encourage commercial completion</w:t>
            </w:r>
          </w:p>
          <w:p w:rsidR="00000000" w:rsidP="001E6AAA">
            <w:pPr>
              <w:pStyle w:val="ListBullet2"/>
              <w:rPr>
                <w:lang w:val="en-NZ"/>
              </w:rPr>
            </w:pPr>
            <w:r w:rsidRPr="001E6AAA">
              <w:t>preserve public and private sector confidence in government processes.</w:t>
            </w:r>
          </w:p>
        </w:tc>
      </w:tr>
      <w:tr w:rsidTr="001C5948">
        <w:tblPrEx>
          <w:tblW w:w="0" w:type="auto"/>
          <w:tblLayout w:type="fixed"/>
          <w:tblCellMar>
            <w:left w:w="62" w:type="dxa"/>
            <w:right w:w="62" w:type="dxa"/>
          </w:tblCellMar>
          <w:tblLook w:val="0000"/>
        </w:tblPrEx>
        <w:tc>
          <w:tcPr>
            <w:tcW w:w="2441" w:type="dxa"/>
            <w:tcBorders>
              <w:top w:val="nil"/>
              <w:left w:val="nil"/>
              <w:bottom w:val="nil"/>
              <w:right w:val="nil"/>
            </w:tcBorders>
            <w:tcMar>
              <w:top w:w="0" w:type="dxa"/>
              <w:left w:w="62" w:type="dxa"/>
              <w:bottom w:w="0" w:type="dxa"/>
              <w:right w:w="62" w:type="dxa"/>
            </w:tcMar>
          </w:tcPr>
          <w:p w:rsidR="00000000" w:rsidP="001E6AAA">
            <w:pPr>
              <w:pStyle w:val="BodyText"/>
              <w:rPr>
                <w:lang w:val="en-NZ"/>
              </w:rPr>
            </w:pPr>
            <w:r w:rsidRPr="001E6AAA">
              <w:rPr>
                <w:rStyle w:val="BoldandItalics"/>
              </w:rPr>
              <w:t>Factors</w:t>
            </w:r>
            <w:r w:rsidRPr="001E6AAA">
              <w:t xml:space="preserve"> may include:</w:t>
            </w:r>
          </w:p>
        </w:tc>
        <w:tc>
          <w:tcPr>
            <w:tcW w:w="6081" w:type="dxa"/>
            <w:tcBorders>
              <w:top w:val="nil"/>
              <w:left w:val="nil"/>
              <w:bottom w:val="nil"/>
              <w:right w:val="nil"/>
            </w:tcBorders>
            <w:tcMar>
              <w:top w:w="0" w:type="dxa"/>
              <w:left w:w="62" w:type="dxa"/>
              <w:bottom w:w="0" w:type="dxa"/>
              <w:right w:w="62" w:type="dxa"/>
            </w:tcMar>
          </w:tcPr>
          <w:p w:rsidR="00000000" w:rsidRPr="001E6AAA" w:rsidP="001E6AAA">
            <w:pPr>
              <w:pStyle w:val="ListBullet"/>
            </w:pPr>
            <w:r w:rsidRPr="001E6AAA">
              <w:t>where and why the need arises and for which unit or location</w:t>
            </w:r>
          </w:p>
          <w:p w:rsidR="00000000" w:rsidRPr="001E6AAA" w:rsidP="001E6AAA">
            <w:pPr>
              <w:pStyle w:val="ListBullet"/>
            </w:pPr>
            <w:r w:rsidRPr="001E6AAA">
              <w:t>degree of dependency of organisation on the procurement</w:t>
            </w:r>
          </w:p>
          <w:p w:rsidR="00000000" w:rsidRPr="001E6AAA" w:rsidP="001E6AAA">
            <w:pPr>
              <w:pStyle w:val="ListBullet"/>
            </w:pPr>
            <w:r w:rsidRPr="001E6AAA">
              <w:t>identification of business success factors</w:t>
            </w:r>
          </w:p>
          <w:p w:rsidR="00000000" w:rsidRPr="001E6AAA" w:rsidP="001E6AAA">
            <w:pPr>
              <w:pStyle w:val="ListBullet"/>
            </w:pPr>
            <w:r w:rsidRPr="001E6AAA">
              <w:t>value of business</w:t>
            </w:r>
          </w:p>
          <w:p w:rsidR="00000000" w:rsidRPr="001E6AAA" w:rsidP="001E6AAA">
            <w:pPr>
              <w:pStyle w:val="ListBullet"/>
            </w:pPr>
            <w:r w:rsidRPr="001E6AAA">
              <w:t>complexity of marketplace</w:t>
            </w:r>
          </w:p>
          <w:p w:rsidR="00000000" w:rsidRPr="001E6AAA" w:rsidP="001E6AAA">
            <w:pPr>
              <w:pStyle w:val="ListBullet"/>
            </w:pPr>
            <w:r w:rsidRPr="001E6AAA">
              <w:t>capacity of market</w:t>
            </w:r>
          </w:p>
          <w:p w:rsidR="00000000" w:rsidRPr="001E6AAA" w:rsidP="001E6AAA">
            <w:pPr>
              <w:pStyle w:val="ListBullet"/>
            </w:pPr>
            <w:r w:rsidRPr="001E6AAA">
              <w:t>supply chain</w:t>
            </w:r>
          </w:p>
          <w:p w:rsidR="00000000" w:rsidRPr="001E6AAA" w:rsidP="001E6AAA">
            <w:pPr>
              <w:pStyle w:val="ListBullet"/>
            </w:pPr>
            <w:r w:rsidRPr="001E6AAA">
              <w:t>political influence</w:t>
            </w:r>
          </w:p>
          <w:p w:rsidR="00000000" w:rsidRPr="001E6AAA" w:rsidP="001E6AAA">
            <w:pPr>
              <w:pStyle w:val="ListBullet"/>
            </w:pPr>
            <w:r w:rsidRPr="001E6AAA">
              <w:t>political imperatives</w:t>
            </w:r>
          </w:p>
          <w:p w:rsidR="00000000" w:rsidRPr="001E6AAA" w:rsidP="001E6AAA">
            <w:pPr>
              <w:pStyle w:val="ListBullet"/>
            </w:pPr>
            <w:r w:rsidRPr="001E6AAA">
              <w:t>budgetary constraints</w:t>
            </w:r>
          </w:p>
          <w:p w:rsidR="00000000" w:rsidRPr="001E6AAA" w:rsidP="001E6AAA">
            <w:pPr>
              <w:pStyle w:val="ListBullet"/>
            </w:pPr>
            <w:r w:rsidRPr="001E6AAA">
              <w:t>collaborative arr</w:t>
            </w:r>
            <w:r w:rsidRPr="001E6AAA">
              <w:t>angements</w:t>
            </w:r>
          </w:p>
          <w:p w:rsidR="00000000" w:rsidRPr="001E6AAA" w:rsidP="001E6AAA">
            <w:pPr>
              <w:pStyle w:val="ListBullet"/>
            </w:pPr>
            <w:r w:rsidRPr="001E6AAA">
              <w:t>Australian industry involvement requirements</w:t>
            </w:r>
          </w:p>
          <w:p w:rsidR="00000000" w:rsidRPr="001E6AAA" w:rsidP="001E6AAA">
            <w:pPr>
              <w:pStyle w:val="ListBullet"/>
            </w:pPr>
            <w:r w:rsidRPr="001E6AAA">
              <w:t>environmental issues</w:t>
            </w:r>
          </w:p>
          <w:p w:rsidR="00000000" w:rsidRPr="001E6AAA" w:rsidP="001E6AAA">
            <w:pPr>
              <w:pStyle w:val="ListBullet"/>
            </w:pPr>
            <w:r w:rsidRPr="001E6AAA">
              <w:t>extent of competition</w:t>
            </w:r>
          </w:p>
          <w:p w:rsidR="00000000" w:rsidRPr="001E6AAA" w:rsidP="001E6AAA">
            <w:pPr>
              <w:pStyle w:val="ListBullet"/>
            </w:pPr>
            <w:r w:rsidRPr="001E6AAA">
              <w:t>value for money considerations</w:t>
            </w:r>
          </w:p>
          <w:p w:rsidR="00000000" w:rsidRPr="001E6AAA" w:rsidP="001E6AAA">
            <w:pPr>
              <w:pStyle w:val="ListBullet"/>
            </w:pPr>
            <w:r w:rsidRPr="001E6AAA">
              <w:t>level of risk, complexity and sensitivity of the procurement</w:t>
            </w:r>
          </w:p>
          <w:p w:rsidR="00000000" w:rsidRPr="001E6AAA" w:rsidP="001E6AAA">
            <w:pPr>
              <w:pStyle w:val="ListBullet"/>
            </w:pPr>
            <w:r w:rsidRPr="001E6AAA">
              <w:t>new capability or replacement/enhancement of existing resources</w:t>
            </w:r>
          </w:p>
          <w:p w:rsidR="00000000" w:rsidRPr="001E6AAA" w:rsidP="001E6AAA">
            <w:pPr>
              <w:pStyle w:val="ListBullet"/>
            </w:pPr>
            <w:r w:rsidRPr="001E6AAA">
              <w:t>intellectual property ownership</w:t>
            </w:r>
          </w:p>
          <w:p w:rsidR="00000000" w:rsidP="001E6AAA">
            <w:pPr>
              <w:pStyle w:val="ListBullet"/>
              <w:rPr>
                <w:lang w:val="en-NZ"/>
              </w:rPr>
            </w:pPr>
            <w:r w:rsidRPr="001E6AAA">
              <w:t>policy requirements or changes, e.g. ethical and social.</w:t>
            </w:r>
          </w:p>
        </w:tc>
      </w:tr>
      <w:tr w:rsidTr="001C5948">
        <w:tblPrEx>
          <w:tblW w:w="0" w:type="auto"/>
          <w:tblLayout w:type="fixed"/>
          <w:tblCellMar>
            <w:left w:w="62" w:type="dxa"/>
            <w:right w:w="62" w:type="dxa"/>
          </w:tblCellMar>
          <w:tblLook w:val="0000"/>
        </w:tblPrEx>
        <w:tc>
          <w:tcPr>
            <w:tcW w:w="2441" w:type="dxa"/>
            <w:tcBorders>
              <w:top w:val="nil"/>
              <w:left w:val="nil"/>
              <w:bottom w:val="nil"/>
              <w:right w:val="nil"/>
            </w:tcBorders>
            <w:tcMar>
              <w:top w:w="0" w:type="dxa"/>
              <w:left w:w="62" w:type="dxa"/>
              <w:bottom w:w="0" w:type="dxa"/>
              <w:right w:w="62" w:type="dxa"/>
            </w:tcMar>
          </w:tcPr>
          <w:p w:rsidR="00000000" w:rsidP="001E6AAA">
            <w:pPr>
              <w:pStyle w:val="BodyText"/>
              <w:rPr>
                <w:lang w:val="en-NZ"/>
              </w:rPr>
            </w:pPr>
            <w:r w:rsidRPr="001E6AAA">
              <w:rPr>
                <w:rStyle w:val="BoldandItalics"/>
              </w:rPr>
              <w:t>Stakeholders</w:t>
            </w:r>
            <w:r w:rsidRPr="001E6AAA">
              <w:t xml:space="preserve"> may include:</w:t>
            </w:r>
          </w:p>
        </w:tc>
        <w:tc>
          <w:tcPr>
            <w:tcW w:w="6081" w:type="dxa"/>
            <w:tcBorders>
              <w:top w:val="nil"/>
              <w:left w:val="nil"/>
              <w:bottom w:val="nil"/>
              <w:right w:val="nil"/>
            </w:tcBorders>
            <w:tcMar>
              <w:top w:w="0" w:type="dxa"/>
              <w:left w:w="62" w:type="dxa"/>
              <w:bottom w:w="0" w:type="dxa"/>
              <w:right w:w="62" w:type="dxa"/>
            </w:tcMar>
          </w:tcPr>
          <w:p w:rsidR="00000000" w:rsidRPr="001E6AAA" w:rsidP="001E6AAA">
            <w:pPr>
              <w:pStyle w:val="ListBullet"/>
            </w:pPr>
            <w:r w:rsidRPr="001E6AAA">
              <w:t>end users, customers or clients, and sponsors</w:t>
            </w:r>
          </w:p>
          <w:p w:rsidR="00000000" w:rsidRPr="001E6AAA" w:rsidP="001E6AAA">
            <w:pPr>
              <w:pStyle w:val="ListBullet"/>
            </w:pPr>
            <w:r w:rsidRPr="001E6AAA">
              <w:t>potential providers or suppliers</w:t>
            </w:r>
          </w:p>
          <w:p w:rsidR="00000000" w:rsidRPr="001E6AAA" w:rsidP="001E6AAA">
            <w:pPr>
              <w:pStyle w:val="ListBullet"/>
            </w:pPr>
            <w:r w:rsidRPr="001E6AAA">
              <w:t>current providers or suppliers</w:t>
            </w:r>
          </w:p>
          <w:p w:rsidR="00000000" w:rsidRPr="001E6AAA" w:rsidP="001E6AAA">
            <w:pPr>
              <w:pStyle w:val="ListBullet"/>
            </w:pPr>
            <w:r w:rsidRPr="001E6AAA">
              <w:t>technical or functional exper</w:t>
            </w:r>
            <w:r w:rsidRPr="001E6AAA">
              <w:t>ts or advisers</w:t>
            </w:r>
          </w:p>
          <w:p w:rsidR="00000000" w:rsidRPr="001E6AAA" w:rsidP="001E6AAA">
            <w:pPr>
              <w:pStyle w:val="ListBullet"/>
            </w:pPr>
            <w:r w:rsidRPr="001E6AAA">
              <w:t>commonwealth, state or territory, and local government</w:t>
            </w:r>
          </w:p>
          <w:p w:rsidR="00000000" w:rsidRPr="001E6AAA" w:rsidP="001E6AAA">
            <w:pPr>
              <w:pStyle w:val="ListBullet"/>
            </w:pPr>
            <w:r w:rsidRPr="001E6AAA">
              <w:t>international governments</w:t>
            </w:r>
          </w:p>
          <w:p w:rsidR="00000000" w:rsidRPr="001E6AAA" w:rsidP="001E6AAA">
            <w:pPr>
              <w:pStyle w:val="ListBullet"/>
            </w:pPr>
            <w:r w:rsidRPr="001E6AAA">
              <w:t>buying organisation</w:t>
            </w:r>
          </w:p>
          <w:p w:rsidR="00000000" w:rsidRPr="001E6AAA" w:rsidP="001E6AAA">
            <w:pPr>
              <w:pStyle w:val="ListBullet"/>
            </w:pPr>
            <w:r w:rsidRPr="001E6AAA">
              <w:t>other public sector organisations</w:t>
            </w:r>
          </w:p>
          <w:p w:rsidR="00000000" w:rsidRPr="001E6AAA" w:rsidP="001E6AAA">
            <w:pPr>
              <w:pStyle w:val="ListBullet"/>
            </w:pPr>
            <w:r w:rsidRPr="001E6AAA">
              <w:t>employees, unions and staff associations</w:t>
            </w:r>
          </w:p>
          <w:p w:rsidR="00000000" w:rsidRPr="001E6AAA" w:rsidP="001E6AAA">
            <w:pPr>
              <w:pStyle w:val="ListBullet"/>
            </w:pPr>
            <w:r w:rsidRPr="001E6AAA">
              <w:t>industry bodies</w:t>
            </w:r>
          </w:p>
          <w:p w:rsidR="00000000" w:rsidRPr="001E6AAA" w:rsidP="001E6AAA">
            <w:pPr>
              <w:pStyle w:val="ListBullet"/>
            </w:pPr>
            <w:r w:rsidRPr="001E6AAA">
              <w:t>local communities</w:t>
            </w:r>
          </w:p>
          <w:p w:rsidR="00000000" w:rsidP="001E6AAA">
            <w:pPr>
              <w:pStyle w:val="ListBullet"/>
              <w:rPr>
                <w:lang w:val="en-NZ"/>
              </w:rPr>
            </w:pPr>
            <w:r w:rsidRPr="001E6AAA">
              <w:t>lobby groups and special user groups.</w:t>
            </w:r>
          </w:p>
        </w:tc>
      </w:tr>
      <w:tr w:rsidTr="001C5948">
        <w:tblPrEx>
          <w:tblW w:w="0" w:type="auto"/>
          <w:tblLayout w:type="fixed"/>
          <w:tblCellMar>
            <w:left w:w="62" w:type="dxa"/>
            <w:right w:w="62" w:type="dxa"/>
          </w:tblCellMar>
          <w:tblLook w:val="0000"/>
        </w:tblPrEx>
        <w:tc>
          <w:tcPr>
            <w:tcW w:w="2441" w:type="dxa"/>
            <w:tcBorders>
              <w:top w:val="nil"/>
              <w:left w:val="nil"/>
              <w:bottom w:val="nil"/>
              <w:right w:val="nil"/>
            </w:tcBorders>
            <w:tcMar>
              <w:top w:w="0" w:type="dxa"/>
              <w:left w:w="62" w:type="dxa"/>
              <w:bottom w:w="0" w:type="dxa"/>
              <w:right w:w="62" w:type="dxa"/>
            </w:tcMar>
          </w:tcPr>
          <w:p w:rsidR="00000000" w:rsidP="001E6AAA">
            <w:pPr>
              <w:pStyle w:val="BodyText"/>
              <w:rPr>
                <w:lang w:val="en-NZ"/>
              </w:rPr>
            </w:pPr>
            <w:r w:rsidRPr="001E6AAA">
              <w:rPr>
                <w:rStyle w:val="BoldandItalics"/>
              </w:rPr>
              <w:t>Procurement methods</w:t>
            </w:r>
            <w:r w:rsidRPr="001E6AAA">
              <w:t xml:space="preserve"> may include:</w:t>
            </w:r>
          </w:p>
        </w:tc>
        <w:tc>
          <w:tcPr>
            <w:tcW w:w="6081" w:type="dxa"/>
            <w:tcBorders>
              <w:top w:val="nil"/>
              <w:left w:val="nil"/>
              <w:bottom w:val="nil"/>
              <w:right w:val="nil"/>
            </w:tcBorders>
            <w:tcMar>
              <w:top w:w="0" w:type="dxa"/>
              <w:left w:w="62" w:type="dxa"/>
              <w:bottom w:w="0" w:type="dxa"/>
              <w:right w:w="62" w:type="dxa"/>
            </w:tcMar>
          </w:tcPr>
          <w:p w:rsidR="00000000" w:rsidRPr="001E6AAA" w:rsidP="001E6AAA">
            <w:pPr>
              <w:pStyle w:val="ListBullet"/>
            </w:pPr>
            <w:r w:rsidRPr="001E6AAA">
              <w:t>open tender or proposal</w:t>
            </w:r>
          </w:p>
          <w:p w:rsidR="00000000" w:rsidRPr="001E6AAA" w:rsidP="001E6AAA">
            <w:pPr>
              <w:pStyle w:val="ListBullet"/>
            </w:pPr>
            <w:r w:rsidRPr="001E6AAA">
              <w:t>select tender</w:t>
            </w:r>
          </w:p>
          <w:p w:rsidR="00000000" w:rsidRPr="001E6AAA" w:rsidP="001E6AAA">
            <w:pPr>
              <w:pStyle w:val="ListBullet"/>
            </w:pPr>
            <w:r w:rsidRPr="001E6AAA">
              <w:t>restricted tender</w:t>
            </w:r>
          </w:p>
          <w:p w:rsidR="00000000" w:rsidRPr="001E6AAA" w:rsidP="001E6AAA">
            <w:pPr>
              <w:pStyle w:val="ListBullet"/>
            </w:pPr>
            <w:r w:rsidRPr="001E6AAA">
              <w:t>direct sourcing</w:t>
            </w:r>
          </w:p>
          <w:p w:rsidR="00000000" w:rsidRPr="001E6AAA" w:rsidP="001E6AAA">
            <w:pPr>
              <w:pStyle w:val="ListBullet"/>
            </w:pPr>
            <w:r w:rsidRPr="001E6AAA">
              <w:t>sole sourcing</w:t>
            </w:r>
          </w:p>
          <w:p w:rsidR="00000000" w:rsidP="001E6AAA">
            <w:pPr>
              <w:pStyle w:val="ListBullet"/>
              <w:rPr>
                <w:lang w:val="en-NZ"/>
              </w:rPr>
            </w:pPr>
            <w:r w:rsidRPr="001E6AAA">
              <w:t>staged procurement.</w:t>
            </w:r>
          </w:p>
        </w:tc>
      </w:tr>
      <w:tr w:rsidTr="001C5948">
        <w:tblPrEx>
          <w:tblW w:w="0" w:type="auto"/>
          <w:tblLayout w:type="fixed"/>
          <w:tblCellMar>
            <w:left w:w="62" w:type="dxa"/>
            <w:right w:w="62" w:type="dxa"/>
          </w:tblCellMar>
          <w:tblLook w:val="0000"/>
        </w:tblPrEx>
        <w:tc>
          <w:tcPr>
            <w:tcW w:w="2441" w:type="dxa"/>
            <w:tcBorders>
              <w:top w:val="nil"/>
              <w:left w:val="nil"/>
              <w:bottom w:val="nil"/>
              <w:right w:val="nil"/>
            </w:tcBorders>
            <w:tcMar>
              <w:top w:w="0" w:type="dxa"/>
              <w:left w:w="62" w:type="dxa"/>
              <w:bottom w:w="0" w:type="dxa"/>
              <w:right w:w="62" w:type="dxa"/>
            </w:tcMar>
          </w:tcPr>
          <w:p w:rsidR="00000000" w:rsidP="001E6AAA">
            <w:pPr>
              <w:pStyle w:val="BodyText"/>
              <w:rPr>
                <w:lang w:val="en-NZ"/>
              </w:rPr>
            </w:pPr>
            <w:r w:rsidRPr="001E6AAA">
              <w:rPr>
                <w:rStyle w:val="BoldandItalics"/>
              </w:rPr>
              <w:t>Risks</w:t>
            </w:r>
            <w:r w:rsidRPr="001E6AAA">
              <w:t xml:space="preserve"> may include:</w:t>
            </w:r>
          </w:p>
        </w:tc>
        <w:tc>
          <w:tcPr>
            <w:tcW w:w="6081" w:type="dxa"/>
            <w:tcBorders>
              <w:top w:val="nil"/>
              <w:left w:val="nil"/>
              <w:bottom w:val="nil"/>
              <w:right w:val="nil"/>
            </w:tcBorders>
            <w:tcMar>
              <w:top w:w="0" w:type="dxa"/>
              <w:left w:w="62" w:type="dxa"/>
              <w:bottom w:w="0" w:type="dxa"/>
              <w:right w:w="62" w:type="dxa"/>
            </w:tcMar>
          </w:tcPr>
          <w:p w:rsidR="00000000" w:rsidRPr="001E6AAA" w:rsidP="001E6AAA">
            <w:pPr>
              <w:pStyle w:val="ListBullet"/>
            </w:pPr>
            <w:r w:rsidRPr="001E6AAA">
              <w:t>risk identified during market research</w:t>
            </w:r>
          </w:p>
          <w:p w:rsidR="00000000" w:rsidRPr="001E6AAA" w:rsidP="001E6AAA">
            <w:pPr>
              <w:pStyle w:val="ListBullet"/>
            </w:pPr>
            <w:r w:rsidRPr="001E6AAA">
              <w:t>criticality of the procurement to the organisation</w:t>
            </w:r>
          </w:p>
          <w:p w:rsidR="00000000" w:rsidRPr="001E6AAA" w:rsidP="001E6AAA">
            <w:pPr>
              <w:pStyle w:val="ListBullet"/>
            </w:pPr>
            <w:r w:rsidRPr="001E6AAA">
              <w:t>supplier-related risk</w:t>
            </w:r>
          </w:p>
          <w:p w:rsidR="00000000" w:rsidRPr="001E6AAA" w:rsidP="001E6AAA">
            <w:pPr>
              <w:pStyle w:val="ListBullet"/>
            </w:pPr>
            <w:r w:rsidRPr="001E6AAA">
              <w:t>product-related risk</w:t>
            </w:r>
          </w:p>
          <w:p w:rsidR="00000000" w:rsidRPr="001E6AAA" w:rsidP="001E6AAA">
            <w:pPr>
              <w:pStyle w:val="ListBullet"/>
            </w:pPr>
            <w:r w:rsidRPr="001E6AAA">
              <w:t>organisation-related risk</w:t>
            </w:r>
          </w:p>
          <w:p w:rsidR="00000000" w:rsidRPr="001E6AAA" w:rsidP="001E6AAA">
            <w:pPr>
              <w:pStyle w:val="ListBullet"/>
            </w:pPr>
            <w:r w:rsidRPr="001E6AAA">
              <w:t>market-related risk</w:t>
            </w:r>
          </w:p>
          <w:p w:rsidR="00000000" w:rsidRPr="001E6AAA" w:rsidP="001E6AAA">
            <w:pPr>
              <w:pStyle w:val="ListBullet"/>
            </w:pPr>
            <w:r w:rsidRPr="001E6AAA">
              <w:t>national security risk</w:t>
            </w:r>
          </w:p>
          <w:p w:rsidR="00000000" w:rsidRPr="001E6AAA" w:rsidP="001E6AAA">
            <w:pPr>
              <w:pStyle w:val="ListBullet"/>
            </w:pPr>
            <w:r w:rsidRPr="001E6AAA">
              <w:t>political risk</w:t>
            </w:r>
          </w:p>
          <w:p w:rsidR="00000000" w:rsidRPr="001E6AAA" w:rsidP="001E6AAA">
            <w:pPr>
              <w:pStyle w:val="ListBullet"/>
            </w:pPr>
            <w:r w:rsidRPr="001E6AAA">
              <w:t>corruption risk</w:t>
            </w:r>
          </w:p>
          <w:p w:rsidR="00000000" w:rsidP="001E6AAA">
            <w:pPr>
              <w:pStyle w:val="ListBullet"/>
              <w:rPr>
                <w:lang w:val="en-NZ"/>
              </w:rPr>
            </w:pPr>
            <w:r w:rsidRPr="001E6AAA">
              <w:t>probity risk.</w:t>
            </w:r>
          </w:p>
        </w:tc>
      </w:tr>
      <w:tr w:rsidTr="001C5948">
        <w:tblPrEx>
          <w:tblW w:w="0" w:type="auto"/>
          <w:tblLayout w:type="fixed"/>
          <w:tblCellMar>
            <w:left w:w="62" w:type="dxa"/>
            <w:right w:w="62" w:type="dxa"/>
          </w:tblCellMar>
          <w:tblLook w:val="0000"/>
        </w:tblPrEx>
        <w:tc>
          <w:tcPr>
            <w:tcW w:w="2441" w:type="dxa"/>
            <w:tcBorders>
              <w:top w:val="nil"/>
              <w:left w:val="nil"/>
              <w:bottom w:val="nil"/>
              <w:right w:val="nil"/>
            </w:tcBorders>
            <w:tcMar>
              <w:top w:w="0" w:type="dxa"/>
              <w:left w:w="62" w:type="dxa"/>
              <w:bottom w:w="0" w:type="dxa"/>
              <w:right w:w="62" w:type="dxa"/>
            </w:tcMar>
          </w:tcPr>
          <w:p w:rsidR="00000000" w:rsidP="001E6AAA">
            <w:pPr>
              <w:pStyle w:val="BodyText"/>
              <w:rPr>
                <w:lang w:val="en-NZ"/>
              </w:rPr>
            </w:pPr>
            <w:r w:rsidRPr="001E6AAA">
              <w:rPr>
                <w:rStyle w:val="BoldandItalics"/>
              </w:rPr>
              <w:t>Approvals</w:t>
            </w:r>
            <w:r w:rsidRPr="001E6AAA">
              <w:t xml:space="preserve"> may require:</w:t>
            </w:r>
          </w:p>
        </w:tc>
        <w:tc>
          <w:tcPr>
            <w:tcW w:w="6081" w:type="dxa"/>
            <w:tcBorders>
              <w:top w:val="nil"/>
              <w:left w:val="nil"/>
              <w:bottom w:val="nil"/>
              <w:right w:val="nil"/>
            </w:tcBorders>
            <w:tcMar>
              <w:top w:w="0" w:type="dxa"/>
              <w:left w:w="62" w:type="dxa"/>
              <w:bottom w:w="0" w:type="dxa"/>
              <w:right w:w="62" w:type="dxa"/>
            </w:tcMar>
          </w:tcPr>
          <w:p w:rsidR="00000000" w:rsidRPr="001E6AAA" w:rsidP="001E6AAA">
            <w:pPr>
              <w:pStyle w:val="ListBullet"/>
            </w:pPr>
            <w:r w:rsidRPr="001E6AAA">
              <w:t>delegate authorisation</w:t>
            </w:r>
          </w:p>
          <w:p w:rsidR="00000000" w:rsidRPr="001E6AAA" w:rsidP="001E6AAA">
            <w:pPr>
              <w:pStyle w:val="ListBullet"/>
            </w:pPr>
            <w:r w:rsidRPr="001E6AAA">
              <w:t>ministerial authorisation</w:t>
            </w:r>
          </w:p>
          <w:p w:rsidR="00000000" w:rsidRPr="001E6AAA" w:rsidP="001E6AAA">
            <w:pPr>
              <w:pStyle w:val="ListBullet"/>
            </w:pPr>
            <w:r w:rsidRPr="001E6AAA">
              <w:t>compliance with instructions or finance circulars</w:t>
            </w:r>
          </w:p>
          <w:p w:rsidR="00000000" w:rsidRPr="001E6AAA" w:rsidP="001E6AAA">
            <w:pPr>
              <w:pStyle w:val="ListBullet"/>
            </w:pPr>
            <w:r w:rsidRPr="001E6AAA">
              <w:t>expert advice</w:t>
            </w:r>
          </w:p>
          <w:p w:rsidR="00000000" w:rsidP="001E6AAA">
            <w:pPr>
              <w:pStyle w:val="ListBullet"/>
              <w:rPr>
                <w:lang w:val="en-NZ"/>
              </w:rPr>
            </w:pPr>
            <w:r w:rsidRPr="001E6AAA">
              <w:t>other internal approval processes.</w:t>
            </w:r>
          </w:p>
        </w:tc>
      </w:tr>
      <w:tr w:rsidTr="001C5948">
        <w:tblPrEx>
          <w:tblW w:w="0" w:type="auto"/>
          <w:tblLayout w:type="fixed"/>
          <w:tblCellMar>
            <w:left w:w="62" w:type="dxa"/>
            <w:right w:w="62" w:type="dxa"/>
          </w:tblCellMar>
          <w:tblLook w:val="0000"/>
        </w:tblPrEx>
        <w:tc>
          <w:tcPr>
            <w:tcW w:w="2441" w:type="dxa"/>
            <w:tcBorders>
              <w:top w:val="nil"/>
              <w:left w:val="nil"/>
              <w:bottom w:val="nil"/>
              <w:right w:val="nil"/>
            </w:tcBorders>
            <w:tcMar>
              <w:top w:w="0" w:type="dxa"/>
              <w:left w:w="62" w:type="dxa"/>
              <w:bottom w:w="0" w:type="dxa"/>
              <w:right w:w="62" w:type="dxa"/>
            </w:tcMar>
          </w:tcPr>
          <w:p w:rsidR="00000000" w:rsidP="001E6AAA">
            <w:pPr>
              <w:pStyle w:val="BodyText"/>
              <w:rPr>
                <w:lang w:val="en-NZ"/>
              </w:rPr>
            </w:pPr>
            <w:r w:rsidRPr="001E6AAA">
              <w:rPr>
                <w:rStyle w:val="BoldandItalics"/>
              </w:rPr>
              <w:t>Contractual arrangements</w:t>
            </w:r>
            <w:r w:rsidRPr="001E6AAA">
              <w:t xml:space="preserve"> may include:</w:t>
            </w:r>
          </w:p>
        </w:tc>
        <w:tc>
          <w:tcPr>
            <w:tcW w:w="6081" w:type="dxa"/>
            <w:tcBorders>
              <w:top w:val="nil"/>
              <w:left w:val="nil"/>
              <w:bottom w:val="nil"/>
              <w:right w:val="nil"/>
            </w:tcBorders>
            <w:tcMar>
              <w:top w:w="0" w:type="dxa"/>
              <w:left w:w="62" w:type="dxa"/>
              <w:bottom w:w="0" w:type="dxa"/>
              <w:right w:w="62" w:type="dxa"/>
            </w:tcMar>
          </w:tcPr>
          <w:p w:rsidR="00000000" w:rsidRPr="001E6AAA" w:rsidP="001E6AAA">
            <w:pPr>
              <w:pStyle w:val="ListBullet"/>
            </w:pPr>
            <w:r w:rsidRPr="001E6AAA">
              <w:t>whole of government arrangements</w:t>
            </w:r>
          </w:p>
          <w:p w:rsidR="00000000" w:rsidRPr="001E6AAA" w:rsidP="001E6AAA">
            <w:pPr>
              <w:pStyle w:val="ListBullet"/>
            </w:pPr>
            <w:r w:rsidRPr="001E6AAA">
              <w:t>existing agency or departmental agreements</w:t>
            </w:r>
          </w:p>
          <w:p w:rsidR="00000000" w:rsidRPr="001E6AAA" w:rsidP="001E6AAA">
            <w:pPr>
              <w:pStyle w:val="ListBullet"/>
            </w:pPr>
            <w:r w:rsidRPr="001E6AAA">
              <w:t>leasing arrangements</w:t>
            </w:r>
          </w:p>
          <w:p w:rsidR="00000000" w:rsidRPr="001E6AAA" w:rsidP="001E6AAA">
            <w:pPr>
              <w:pStyle w:val="ListBullet"/>
            </w:pPr>
            <w:r w:rsidRPr="001E6AAA">
              <w:t>alliance and partnership arrangements</w:t>
            </w:r>
          </w:p>
          <w:p w:rsidR="00000000" w:rsidRPr="001E6AAA" w:rsidP="001E6AAA">
            <w:pPr>
              <w:pStyle w:val="ListBullet"/>
            </w:pPr>
            <w:r w:rsidRPr="001E6AAA">
              <w:t>memoranda of understanding and memoranda of agreement</w:t>
            </w:r>
          </w:p>
          <w:p w:rsidR="00000000" w:rsidRPr="001E6AAA" w:rsidP="001E6AAA">
            <w:pPr>
              <w:pStyle w:val="ListBullet"/>
            </w:pPr>
            <w:r w:rsidRPr="001E6AAA">
              <w:t>contracts</w:t>
            </w:r>
          </w:p>
          <w:p w:rsidR="00000000" w:rsidRPr="001E6AAA" w:rsidP="001E6AAA">
            <w:pPr>
              <w:pStyle w:val="ListBullet"/>
            </w:pPr>
            <w:r w:rsidRPr="001E6AAA">
              <w:t>standing offers</w:t>
            </w:r>
          </w:p>
          <w:p w:rsidR="00000000" w:rsidRPr="001E6AAA" w:rsidP="001E6AAA">
            <w:pPr>
              <w:pStyle w:val="ListBullet"/>
            </w:pPr>
            <w:r w:rsidRPr="001E6AAA">
              <w:t>deeds of agreement</w:t>
            </w:r>
          </w:p>
          <w:p w:rsidR="00000000" w:rsidRPr="001E6AAA" w:rsidP="001E6AAA">
            <w:pPr>
              <w:pStyle w:val="ListBullet"/>
            </w:pPr>
            <w:r w:rsidRPr="001E6AAA">
              <w:t>inter and intra-government agreements</w:t>
            </w:r>
          </w:p>
          <w:p w:rsidR="00000000" w:rsidRPr="001E6AAA" w:rsidP="001E6AAA">
            <w:pPr>
              <w:pStyle w:val="ListBullet"/>
            </w:pPr>
            <w:r w:rsidRPr="001E6AAA">
              <w:t>outsourcing arrangements</w:t>
            </w:r>
          </w:p>
          <w:p w:rsidR="00000000" w:rsidP="001E6AAA">
            <w:pPr>
              <w:pStyle w:val="ListBullet"/>
              <w:rPr>
                <w:lang w:val="en-NZ"/>
              </w:rPr>
            </w:pPr>
            <w:r w:rsidRPr="001E6AAA">
              <w:t>in-house agreements.</w:t>
            </w:r>
          </w:p>
        </w:tc>
      </w:tr>
      <w:tr w:rsidTr="001C5948">
        <w:tblPrEx>
          <w:tblW w:w="0" w:type="auto"/>
          <w:tblLayout w:type="fixed"/>
          <w:tblCellMar>
            <w:left w:w="62" w:type="dxa"/>
            <w:right w:w="62" w:type="dxa"/>
          </w:tblCellMar>
          <w:tblLook w:val="0000"/>
        </w:tblPrEx>
        <w:tc>
          <w:tcPr>
            <w:tcW w:w="2441" w:type="dxa"/>
            <w:tcBorders>
              <w:top w:val="nil"/>
              <w:left w:val="nil"/>
              <w:bottom w:val="nil"/>
              <w:right w:val="nil"/>
            </w:tcBorders>
            <w:tcMar>
              <w:top w:w="0" w:type="dxa"/>
              <w:left w:w="62" w:type="dxa"/>
              <w:bottom w:w="0" w:type="dxa"/>
              <w:right w:w="62" w:type="dxa"/>
            </w:tcMar>
          </w:tcPr>
          <w:p w:rsidR="00000000" w:rsidP="001E6AAA">
            <w:pPr>
              <w:pStyle w:val="BodyText"/>
              <w:rPr>
                <w:lang w:val="en-NZ"/>
              </w:rPr>
            </w:pPr>
            <w:r w:rsidRPr="001E6AAA">
              <w:rPr>
                <w:rStyle w:val="BoldandItalics"/>
              </w:rPr>
              <w:t>Supplier capability</w:t>
            </w:r>
            <w:r w:rsidRPr="001E6AAA">
              <w:t xml:space="preserve"> may include:</w:t>
            </w:r>
          </w:p>
        </w:tc>
        <w:tc>
          <w:tcPr>
            <w:tcW w:w="6081" w:type="dxa"/>
            <w:tcBorders>
              <w:top w:val="nil"/>
              <w:left w:val="nil"/>
              <w:bottom w:val="nil"/>
              <w:right w:val="nil"/>
            </w:tcBorders>
            <w:tcMar>
              <w:top w:w="0" w:type="dxa"/>
              <w:left w:w="62" w:type="dxa"/>
              <w:bottom w:w="0" w:type="dxa"/>
              <w:right w:w="62" w:type="dxa"/>
            </w:tcMar>
          </w:tcPr>
          <w:p w:rsidR="00000000" w:rsidRPr="001E6AAA" w:rsidP="001E6AAA">
            <w:pPr>
              <w:pStyle w:val="ListBullet"/>
            </w:pPr>
            <w:r w:rsidRPr="001E6AAA">
              <w:t>financial viability/capacity, including insurances</w:t>
            </w:r>
          </w:p>
          <w:p w:rsidR="00000000" w:rsidRPr="001E6AAA" w:rsidP="001E6AAA">
            <w:pPr>
              <w:pStyle w:val="ListBullet"/>
            </w:pPr>
            <w:r w:rsidRPr="001E6AAA">
              <w:t>past performance</w:t>
            </w:r>
          </w:p>
          <w:p w:rsidR="00000000" w:rsidRPr="001E6AAA" w:rsidP="001E6AAA">
            <w:pPr>
              <w:pStyle w:val="ListBullet"/>
            </w:pPr>
            <w:r w:rsidRPr="001E6AAA">
              <w:t>skills and expertise of key personnel</w:t>
            </w:r>
          </w:p>
          <w:p w:rsidR="00000000" w:rsidRPr="001E6AAA" w:rsidP="001E6AAA">
            <w:pPr>
              <w:pStyle w:val="ListBullet"/>
            </w:pPr>
            <w:r w:rsidRPr="001E6AAA">
              <w:t>quality accreditations</w:t>
            </w:r>
          </w:p>
          <w:p w:rsidR="00000000" w:rsidRPr="001E6AAA" w:rsidP="001E6AAA">
            <w:pPr>
              <w:pStyle w:val="ListBullet"/>
            </w:pPr>
            <w:r w:rsidRPr="001E6AAA">
              <w:t>adequacy of proposed methodology and approach</w:t>
            </w:r>
          </w:p>
          <w:p w:rsidR="00000000" w:rsidRPr="001E6AAA" w:rsidP="001E6AAA">
            <w:pPr>
              <w:pStyle w:val="ListBullet"/>
            </w:pPr>
            <w:r w:rsidRPr="001E6AAA">
              <w:t>technical merit of the proposed good or service</w:t>
            </w:r>
          </w:p>
          <w:p w:rsidR="00000000" w:rsidRPr="001E6AAA" w:rsidP="001E6AAA">
            <w:pPr>
              <w:pStyle w:val="ListBullet"/>
            </w:pPr>
            <w:r w:rsidRPr="001E6AAA">
              <w:t>industrial relations record</w:t>
            </w:r>
          </w:p>
          <w:p w:rsidR="00000000" w:rsidRPr="001E6AAA" w:rsidP="001E6AAA">
            <w:pPr>
              <w:pStyle w:val="ListBullet"/>
            </w:pPr>
            <w:r w:rsidRPr="001E6AAA">
              <w:t>technical and contractual compliance</w:t>
            </w:r>
          </w:p>
          <w:p w:rsidR="00000000" w:rsidRPr="001E6AAA" w:rsidP="001E6AAA">
            <w:pPr>
              <w:pStyle w:val="ListBullet"/>
            </w:pPr>
            <w:r w:rsidRPr="001E6AAA">
              <w:t>observance and promotion of OHS requirements</w:t>
            </w:r>
          </w:p>
          <w:p w:rsidR="00000000" w:rsidRPr="001E6AAA" w:rsidP="001E6AAA">
            <w:pPr>
              <w:pStyle w:val="ListBullet"/>
            </w:pPr>
            <w:r w:rsidRPr="001E6AAA">
              <w:t>compliance with commonwealth, state and territory policies regarding discrimination, workplace relations, environmental, sustainability and socia</w:t>
            </w:r>
            <w:r w:rsidRPr="001E6AAA">
              <w:t>l responsibility</w:t>
            </w:r>
          </w:p>
          <w:p w:rsidR="00000000" w:rsidP="001E6AAA">
            <w:pPr>
              <w:pStyle w:val="ListBullet"/>
              <w:rPr>
                <w:lang w:val="en-NZ"/>
              </w:rPr>
            </w:pPr>
            <w:r w:rsidRPr="001E6AAA">
              <w:t>compliance with codes of conduct, codes of practice and expected standards of behaviour.</w:t>
            </w:r>
          </w:p>
        </w:tc>
      </w:tr>
      <w:tr w:rsidTr="001C5948">
        <w:tblPrEx>
          <w:tblW w:w="0" w:type="auto"/>
          <w:tblLayout w:type="fixed"/>
          <w:tblCellMar>
            <w:left w:w="62" w:type="dxa"/>
            <w:right w:w="62" w:type="dxa"/>
          </w:tblCellMar>
          <w:tblLook w:val="0000"/>
        </w:tblPrEx>
        <w:tc>
          <w:tcPr>
            <w:tcW w:w="2441" w:type="dxa"/>
            <w:tcBorders>
              <w:top w:val="nil"/>
              <w:left w:val="nil"/>
              <w:bottom w:val="nil"/>
              <w:right w:val="nil"/>
            </w:tcBorders>
            <w:tcMar>
              <w:top w:w="0" w:type="dxa"/>
              <w:left w:w="62" w:type="dxa"/>
              <w:bottom w:w="0" w:type="dxa"/>
              <w:right w:w="62" w:type="dxa"/>
            </w:tcMar>
          </w:tcPr>
          <w:p w:rsidR="00000000" w:rsidP="001E6AAA">
            <w:pPr>
              <w:pStyle w:val="BodyText"/>
              <w:rPr>
                <w:lang w:val="en-NZ"/>
              </w:rPr>
            </w:pPr>
            <w:r w:rsidRPr="001E6AAA">
              <w:rPr>
                <w:rStyle w:val="BoldandItalics"/>
              </w:rPr>
              <w:t>Supply chain management</w:t>
            </w:r>
            <w:r w:rsidRPr="001E6AAA">
              <w:t xml:space="preserve"> may include:</w:t>
            </w:r>
          </w:p>
        </w:tc>
        <w:tc>
          <w:tcPr>
            <w:tcW w:w="6081" w:type="dxa"/>
            <w:tcBorders>
              <w:top w:val="nil"/>
              <w:left w:val="nil"/>
              <w:bottom w:val="nil"/>
              <w:right w:val="nil"/>
            </w:tcBorders>
            <w:tcMar>
              <w:top w:w="0" w:type="dxa"/>
              <w:left w:w="62" w:type="dxa"/>
              <w:bottom w:w="0" w:type="dxa"/>
              <w:right w:w="62" w:type="dxa"/>
            </w:tcMar>
          </w:tcPr>
          <w:p w:rsidR="00000000" w:rsidRPr="001E6AAA" w:rsidP="001E6AAA">
            <w:pPr>
              <w:pStyle w:val="ListBullet"/>
            </w:pPr>
            <w:r w:rsidRPr="001E6AAA">
              <w:t>interconnected businesses</w:t>
            </w:r>
          </w:p>
          <w:p w:rsidR="00000000" w:rsidRPr="001E6AAA" w:rsidP="001E6AAA">
            <w:pPr>
              <w:pStyle w:val="ListBullet"/>
            </w:pPr>
            <w:r w:rsidRPr="001E6AAA">
              <w:t>product and service packages</w:t>
            </w:r>
          </w:p>
          <w:p w:rsidR="00000000" w:rsidRPr="001E6AAA" w:rsidP="001E6AAA">
            <w:pPr>
              <w:pStyle w:val="ListBullet"/>
            </w:pPr>
            <w:r w:rsidRPr="001E6AAA">
              <w:t>consumption of raw materials</w:t>
            </w:r>
          </w:p>
          <w:p w:rsidR="00000000" w:rsidRPr="001E6AAA" w:rsidP="001E6AAA">
            <w:pPr>
              <w:pStyle w:val="ListBullet"/>
            </w:pPr>
            <w:r w:rsidRPr="001E6AAA">
              <w:t>movement and storage of raw materials</w:t>
            </w:r>
          </w:p>
          <w:p w:rsidR="00000000" w:rsidRPr="001E6AAA" w:rsidP="001E6AAA">
            <w:pPr>
              <w:pStyle w:val="ListBullet"/>
            </w:pPr>
            <w:r w:rsidRPr="001E6AAA">
              <w:t>work-in-process management</w:t>
            </w:r>
          </w:p>
          <w:p w:rsidR="00000000" w:rsidRPr="001E6AAA" w:rsidP="001E6AAA">
            <w:pPr>
              <w:pStyle w:val="ListBullet"/>
            </w:pPr>
            <w:r w:rsidRPr="001E6AAA">
              <w:t>manufacturing flow</w:t>
            </w:r>
          </w:p>
          <w:p w:rsidR="00000000" w:rsidRPr="001E6AAA" w:rsidP="001E6AAA">
            <w:pPr>
              <w:pStyle w:val="ListBullet"/>
            </w:pPr>
            <w:r w:rsidRPr="001E6AAA">
              <w:t>point of origin to point of consumption</w:t>
            </w:r>
          </w:p>
          <w:p w:rsidR="00000000" w:rsidRPr="001E6AAA" w:rsidP="001E6AAA">
            <w:pPr>
              <w:pStyle w:val="ListBullet"/>
            </w:pPr>
            <w:r w:rsidRPr="001E6AAA">
              <w:t>channel partners</w:t>
            </w:r>
          </w:p>
          <w:p w:rsidR="00000000" w:rsidRPr="001E6AAA" w:rsidP="001E6AAA">
            <w:pPr>
              <w:pStyle w:val="ListBullet"/>
            </w:pPr>
            <w:r w:rsidRPr="001E6AAA">
              <w:t>events that may disrupt supply</w:t>
            </w:r>
          </w:p>
          <w:p w:rsidR="00000000" w:rsidRPr="001E6AAA" w:rsidP="001E6AAA">
            <w:pPr>
              <w:pStyle w:val="ListBullet"/>
            </w:pPr>
            <w:r w:rsidRPr="001E6AAA">
              <w:t>performance measurement</w:t>
            </w:r>
          </w:p>
          <w:p w:rsidR="00000000" w:rsidRPr="001E6AAA" w:rsidP="001E6AAA">
            <w:pPr>
              <w:pStyle w:val="ListBullet"/>
            </w:pPr>
            <w:r w:rsidRPr="001E6AAA">
              <w:t>logistics and transport</w:t>
            </w:r>
          </w:p>
          <w:p w:rsidR="00000000" w:rsidP="001E6AAA">
            <w:pPr>
              <w:pStyle w:val="ListBullet"/>
              <w:rPr>
                <w:lang w:val="en-NZ"/>
              </w:rPr>
            </w:pPr>
            <w:r w:rsidRPr="001E6AAA">
              <w:t>warehousing.</w:t>
            </w:r>
          </w:p>
        </w:tc>
      </w:tr>
      <w:tr w:rsidTr="001C5948">
        <w:tblPrEx>
          <w:tblW w:w="0" w:type="auto"/>
          <w:tblLayout w:type="fixed"/>
          <w:tblCellMar>
            <w:left w:w="62" w:type="dxa"/>
            <w:right w:w="62" w:type="dxa"/>
          </w:tblCellMar>
          <w:tblLook w:val="0000"/>
        </w:tblPrEx>
        <w:tc>
          <w:tcPr>
            <w:tcW w:w="2441" w:type="dxa"/>
            <w:tcBorders>
              <w:top w:val="nil"/>
              <w:left w:val="nil"/>
              <w:bottom w:val="nil"/>
              <w:right w:val="nil"/>
            </w:tcBorders>
            <w:tcMar>
              <w:top w:w="0" w:type="dxa"/>
              <w:left w:w="62" w:type="dxa"/>
              <w:bottom w:w="0" w:type="dxa"/>
              <w:right w:w="62" w:type="dxa"/>
            </w:tcMar>
          </w:tcPr>
          <w:p w:rsidR="00000000" w:rsidP="001E6AAA">
            <w:pPr>
              <w:pStyle w:val="BodyText"/>
              <w:rPr>
                <w:lang w:val="en-NZ"/>
              </w:rPr>
            </w:pPr>
            <w:r w:rsidRPr="001E6AAA">
              <w:rPr>
                <w:rStyle w:val="BoldandItalics"/>
              </w:rPr>
              <w:t>Value for money</w:t>
            </w:r>
            <w:r w:rsidRPr="001E6AAA">
              <w:t xml:space="preserve"> may in</w:t>
            </w:r>
            <w:r w:rsidRPr="001E6AAA">
              <w:t>clude:</w:t>
            </w:r>
          </w:p>
        </w:tc>
        <w:tc>
          <w:tcPr>
            <w:tcW w:w="6081" w:type="dxa"/>
            <w:tcBorders>
              <w:top w:val="nil"/>
              <w:left w:val="nil"/>
              <w:bottom w:val="nil"/>
              <w:right w:val="nil"/>
            </w:tcBorders>
            <w:tcMar>
              <w:top w:w="0" w:type="dxa"/>
              <w:left w:w="62" w:type="dxa"/>
              <w:bottom w:w="0" w:type="dxa"/>
              <w:right w:w="62" w:type="dxa"/>
            </w:tcMar>
          </w:tcPr>
          <w:p w:rsidR="00000000" w:rsidRPr="001E6AAA" w:rsidP="001E6AAA">
            <w:pPr>
              <w:pStyle w:val="ListBullet"/>
            </w:pPr>
            <w:r w:rsidRPr="001E6AAA">
              <w:t>benefits versus cost</w:t>
            </w:r>
          </w:p>
          <w:p w:rsidR="00000000" w:rsidRPr="001E6AAA" w:rsidP="001E6AAA">
            <w:pPr>
              <w:pStyle w:val="ListBullet"/>
            </w:pPr>
            <w:r w:rsidRPr="001E6AAA">
              <w:t>fitness for purpose</w:t>
            </w:r>
          </w:p>
          <w:p w:rsidR="00000000" w:rsidRPr="001E6AAA" w:rsidP="001E6AAA">
            <w:pPr>
              <w:pStyle w:val="ListBullet"/>
            </w:pPr>
            <w:r w:rsidRPr="001E6AAA">
              <w:t>whole-of-life costs, including maintenance, warranty and operating costs</w:t>
            </w:r>
          </w:p>
          <w:p w:rsidR="00000000" w:rsidRPr="001E6AAA" w:rsidP="001E6AAA">
            <w:pPr>
              <w:pStyle w:val="ListBullet"/>
            </w:pPr>
            <w:r w:rsidRPr="001E6AAA">
              <w:t xml:space="preserve">market considerations </w:t>
            </w:r>
          </w:p>
          <w:p w:rsidR="00000000" w:rsidRPr="001E6AAA" w:rsidP="001E6AAA">
            <w:pPr>
              <w:pStyle w:val="ListBullet"/>
            </w:pPr>
            <w:r w:rsidRPr="001E6AAA">
              <w:t xml:space="preserve">government policy objectives, e.g. industry development and employment creation </w:t>
            </w:r>
          </w:p>
          <w:p w:rsidR="00000000" w:rsidRPr="001E6AAA" w:rsidP="001E6AAA">
            <w:pPr>
              <w:pStyle w:val="ListBullet"/>
            </w:pPr>
            <w:r w:rsidRPr="001E6AAA">
              <w:t xml:space="preserve">strategic partnerships </w:t>
            </w:r>
          </w:p>
          <w:p w:rsidR="00000000" w:rsidRPr="001E6AAA" w:rsidP="001E6AAA">
            <w:pPr>
              <w:pStyle w:val="ListBullet"/>
            </w:pPr>
            <w:r w:rsidRPr="001E6AAA">
              <w:t xml:space="preserve">quality </w:t>
            </w:r>
          </w:p>
          <w:p w:rsidR="00000000" w:rsidRPr="001E6AAA" w:rsidP="001E6AAA">
            <w:pPr>
              <w:pStyle w:val="ListBullet"/>
            </w:pPr>
            <w:r w:rsidRPr="001E6AAA">
              <w:t xml:space="preserve">risks </w:t>
            </w:r>
          </w:p>
          <w:p w:rsidR="00000000" w:rsidRPr="001E6AAA" w:rsidP="001E6AAA">
            <w:pPr>
              <w:pStyle w:val="ListBullet"/>
            </w:pPr>
            <w:r w:rsidRPr="001E6AAA">
              <w:t>supplier capacity</w:t>
            </w:r>
          </w:p>
          <w:p w:rsidR="00000000" w:rsidRPr="001E6AAA" w:rsidP="001E6AAA">
            <w:pPr>
              <w:pStyle w:val="ListBullet"/>
            </w:pPr>
            <w:r w:rsidRPr="001E6AAA">
              <w:t xml:space="preserve">climate change, environmental considerations and energy conservation </w:t>
            </w:r>
          </w:p>
          <w:p w:rsidR="00000000" w:rsidP="001E6AAA">
            <w:pPr>
              <w:pStyle w:val="ListBullet"/>
              <w:rPr>
                <w:lang w:val="en-NZ"/>
              </w:rPr>
            </w:pPr>
            <w:r w:rsidRPr="001E6AAA">
              <w:t>disposal value.</w:t>
            </w:r>
          </w:p>
        </w:tc>
      </w:tr>
      <w:tr w:rsidTr="001C5948">
        <w:tblPrEx>
          <w:tblW w:w="0" w:type="auto"/>
          <w:tblLayout w:type="fixed"/>
          <w:tblCellMar>
            <w:left w:w="62" w:type="dxa"/>
            <w:right w:w="62" w:type="dxa"/>
          </w:tblCellMar>
          <w:tblLook w:val="0000"/>
        </w:tblPrEx>
        <w:tc>
          <w:tcPr>
            <w:tcW w:w="2441" w:type="dxa"/>
            <w:tcBorders>
              <w:top w:val="nil"/>
              <w:left w:val="nil"/>
              <w:bottom w:val="nil"/>
              <w:right w:val="nil"/>
            </w:tcBorders>
            <w:tcMar>
              <w:top w:w="0" w:type="dxa"/>
              <w:left w:w="62" w:type="dxa"/>
              <w:bottom w:w="0" w:type="dxa"/>
              <w:right w:w="62" w:type="dxa"/>
            </w:tcMar>
          </w:tcPr>
          <w:p w:rsidR="00000000" w:rsidP="001E6AAA">
            <w:pPr>
              <w:pStyle w:val="BodyText"/>
              <w:rPr>
                <w:lang w:val="en-NZ"/>
              </w:rPr>
            </w:pPr>
            <w:r w:rsidRPr="001E6AAA">
              <w:rPr>
                <w:rStyle w:val="BoldandItalics"/>
              </w:rPr>
              <w:t>Tender evaluation panel</w:t>
            </w:r>
            <w:r w:rsidRPr="001E6AAA">
              <w:t xml:space="preserve"> may include:</w:t>
            </w:r>
          </w:p>
        </w:tc>
        <w:tc>
          <w:tcPr>
            <w:tcW w:w="6081" w:type="dxa"/>
            <w:tcBorders>
              <w:top w:val="nil"/>
              <w:left w:val="nil"/>
              <w:bottom w:val="nil"/>
              <w:right w:val="nil"/>
            </w:tcBorders>
            <w:tcMar>
              <w:top w:w="0" w:type="dxa"/>
              <w:left w:w="62" w:type="dxa"/>
              <w:bottom w:w="0" w:type="dxa"/>
              <w:right w:w="62" w:type="dxa"/>
            </w:tcMar>
          </w:tcPr>
          <w:p w:rsidR="00000000" w:rsidRPr="001E6AAA" w:rsidP="001E6AAA">
            <w:pPr>
              <w:pStyle w:val="ListBullet"/>
            </w:pPr>
            <w:r w:rsidRPr="001E6AAA">
              <w:t>tender evaluation working groups</w:t>
            </w:r>
          </w:p>
          <w:p w:rsidR="00000000" w:rsidRPr="001E6AAA" w:rsidP="001E6AAA">
            <w:pPr>
              <w:pStyle w:val="ListBullet"/>
            </w:pPr>
            <w:r w:rsidRPr="001E6AAA">
              <w:t>selection panels</w:t>
            </w:r>
          </w:p>
          <w:p w:rsidR="00000000" w:rsidRPr="001E6AAA" w:rsidP="001E6AAA">
            <w:pPr>
              <w:pStyle w:val="ListBullet"/>
            </w:pPr>
            <w:r w:rsidRPr="001E6AAA">
              <w:t>expert advisory sub-panels</w:t>
            </w:r>
          </w:p>
          <w:p w:rsidR="00000000" w:rsidRPr="001E6AAA" w:rsidP="001E6AAA">
            <w:pPr>
              <w:pStyle w:val="ListBullet"/>
            </w:pPr>
            <w:r w:rsidRPr="001E6AAA">
              <w:t>subject and technica</w:t>
            </w:r>
            <w:r w:rsidRPr="001E6AAA">
              <w:t>l experts</w:t>
            </w:r>
          </w:p>
          <w:p w:rsidR="00000000" w:rsidRPr="001E6AAA" w:rsidP="001E6AAA">
            <w:pPr>
              <w:pStyle w:val="ListBullet"/>
            </w:pPr>
            <w:r w:rsidRPr="001E6AAA">
              <w:t>users</w:t>
            </w:r>
          </w:p>
          <w:p w:rsidR="00000000" w:rsidRPr="001E6AAA" w:rsidP="001E6AAA">
            <w:pPr>
              <w:pStyle w:val="ListBullet"/>
            </w:pPr>
            <w:r w:rsidRPr="001E6AAA">
              <w:t>past and present contract managers</w:t>
            </w:r>
          </w:p>
          <w:p w:rsidR="00000000" w:rsidP="001E6AAA">
            <w:pPr>
              <w:pStyle w:val="ListBullet"/>
              <w:rPr>
                <w:lang w:val="en-NZ"/>
              </w:rPr>
            </w:pPr>
            <w:r w:rsidRPr="001E6AAA">
              <w:t>probity experts.</w:t>
            </w:r>
          </w:p>
        </w:tc>
      </w:tr>
      <w:tr w:rsidTr="001C5948">
        <w:tblPrEx>
          <w:tblW w:w="0" w:type="auto"/>
          <w:tblLayout w:type="fixed"/>
          <w:tblCellMar>
            <w:left w:w="62" w:type="dxa"/>
            <w:right w:w="62" w:type="dxa"/>
          </w:tblCellMar>
          <w:tblLook w:val="0000"/>
        </w:tblPrEx>
        <w:tc>
          <w:tcPr>
            <w:tcW w:w="2441" w:type="dxa"/>
            <w:tcBorders>
              <w:top w:val="nil"/>
              <w:left w:val="nil"/>
              <w:bottom w:val="nil"/>
              <w:right w:val="nil"/>
            </w:tcBorders>
            <w:tcMar>
              <w:top w:w="0" w:type="dxa"/>
              <w:left w:w="62" w:type="dxa"/>
              <w:bottom w:w="0" w:type="dxa"/>
              <w:right w:w="62" w:type="dxa"/>
            </w:tcMar>
          </w:tcPr>
          <w:p w:rsidR="00000000" w:rsidP="001E6AAA">
            <w:pPr>
              <w:pStyle w:val="BodyText"/>
              <w:rPr>
                <w:lang w:val="en-NZ"/>
              </w:rPr>
            </w:pPr>
            <w:r w:rsidRPr="001E6AAA">
              <w:rPr>
                <w:rStyle w:val="BoldandItalics"/>
              </w:rPr>
              <w:t>Issues</w:t>
            </w:r>
            <w:r w:rsidRPr="001E6AAA">
              <w:t xml:space="preserve"> may include:</w:t>
            </w:r>
          </w:p>
        </w:tc>
        <w:tc>
          <w:tcPr>
            <w:tcW w:w="6081" w:type="dxa"/>
            <w:tcBorders>
              <w:top w:val="nil"/>
              <w:left w:val="nil"/>
              <w:bottom w:val="nil"/>
              <w:right w:val="nil"/>
            </w:tcBorders>
            <w:tcMar>
              <w:top w:w="0" w:type="dxa"/>
              <w:left w:w="62" w:type="dxa"/>
              <w:bottom w:w="0" w:type="dxa"/>
              <w:right w:w="62" w:type="dxa"/>
            </w:tcMar>
          </w:tcPr>
          <w:p w:rsidR="00000000" w:rsidRPr="001E6AAA" w:rsidP="001E6AAA">
            <w:pPr>
              <w:pStyle w:val="ListBullet"/>
            </w:pPr>
            <w:r w:rsidRPr="001E6AAA">
              <w:t>differences of opinion between panel members about:</w:t>
            </w:r>
          </w:p>
          <w:p w:rsidR="00000000" w:rsidRPr="001E6AAA" w:rsidP="001E6AAA">
            <w:pPr>
              <w:pStyle w:val="ListBullet2"/>
            </w:pPr>
            <w:r w:rsidRPr="001E6AAA">
              <w:t>processes or technical content</w:t>
            </w:r>
          </w:p>
          <w:p w:rsidR="00000000" w:rsidRPr="001E6AAA" w:rsidP="001E6AAA">
            <w:pPr>
              <w:pStyle w:val="ListBullet2"/>
            </w:pPr>
            <w:r w:rsidRPr="001E6AAA">
              <w:t>business needs or intentions of their organisation</w:t>
            </w:r>
          </w:p>
          <w:p w:rsidR="00000000" w:rsidRPr="001E6AAA" w:rsidP="001E6AAA">
            <w:pPr>
              <w:pStyle w:val="ListBullet"/>
            </w:pPr>
            <w:r w:rsidRPr="001E6AAA">
              <w:t>attempted influence by suppliers</w:t>
            </w:r>
          </w:p>
          <w:p w:rsidR="00000000" w:rsidRPr="001E6AAA" w:rsidP="001E6AAA">
            <w:pPr>
              <w:pStyle w:val="ListBullet"/>
            </w:pPr>
            <w:r w:rsidRPr="001E6AAA">
              <w:t>scope creep by clients</w:t>
            </w:r>
          </w:p>
          <w:p w:rsidR="00000000" w:rsidP="001E6AAA">
            <w:pPr>
              <w:pStyle w:val="ListBullet"/>
              <w:rPr>
                <w:lang w:val="en-NZ"/>
              </w:rPr>
            </w:pPr>
            <w:r w:rsidRPr="001E6AAA">
              <w:t>lack of familiarity with software or other tools.</w:t>
            </w:r>
          </w:p>
        </w:tc>
      </w:tr>
      <w:tr w:rsidTr="001C5948">
        <w:tblPrEx>
          <w:tblW w:w="0" w:type="auto"/>
          <w:tblLayout w:type="fixed"/>
          <w:tblCellMar>
            <w:left w:w="62" w:type="dxa"/>
            <w:right w:w="62" w:type="dxa"/>
          </w:tblCellMar>
          <w:tblLook w:val="0000"/>
        </w:tblPrEx>
        <w:tc>
          <w:tcPr>
            <w:tcW w:w="2441" w:type="dxa"/>
            <w:tcBorders>
              <w:top w:val="nil"/>
              <w:left w:val="nil"/>
              <w:bottom w:val="nil"/>
              <w:right w:val="nil"/>
            </w:tcBorders>
            <w:tcMar>
              <w:top w:w="0" w:type="dxa"/>
              <w:left w:w="62" w:type="dxa"/>
              <w:bottom w:w="0" w:type="dxa"/>
              <w:right w:w="62" w:type="dxa"/>
            </w:tcMar>
          </w:tcPr>
          <w:p w:rsidR="00000000" w:rsidP="001E6AAA">
            <w:pPr>
              <w:pStyle w:val="BodyText"/>
              <w:rPr>
                <w:lang w:val="en-NZ"/>
              </w:rPr>
            </w:pPr>
            <w:r w:rsidRPr="001E6AAA">
              <w:rPr>
                <w:rStyle w:val="BoldandItalics"/>
              </w:rPr>
              <w:t>Plans and sub</w:t>
            </w:r>
            <w:r w:rsidRPr="001E6AAA">
              <w:t>-</w:t>
            </w:r>
            <w:r w:rsidRPr="001E6AAA">
              <w:rPr>
                <w:rStyle w:val="BoldandItalics"/>
              </w:rPr>
              <w:t>plans</w:t>
            </w:r>
            <w:r w:rsidRPr="001E6AAA">
              <w:t xml:space="preserve"> may include:</w:t>
            </w:r>
          </w:p>
        </w:tc>
        <w:tc>
          <w:tcPr>
            <w:tcW w:w="6081" w:type="dxa"/>
            <w:tcBorders>
              <w:top w:val="nil"/>
              <w:left w:val="nil"/>
              <w:bottom w:val="nil"/>
              <w:right w:val="nil"/>
            </w:tcBorders>
            <w:tcMar>
              <w:top w:w="0" w:type="dxa"/>
              <w:left w:w="62" w:type="dxa"/>
              <w:bottom w:w="0" w:type="dxa"/>
              <w:right w:w="62" w:type="dxa"/>
            </w:tcMar>
          </w:tcPr>
          <w:p w:rsidR="00000000" w:rsidRPr="001E6AAA" w:rsidP="001E6AAA">
            <w:pPr>
              <w:pStyle w:val="ListBullet"/>
            </w:pPr>
            <w:r w:rsidRPr="001E6AAA">
              <w:t>procurement plan</w:t>
            </w:r>
          </w:p>
          <w:p w:rsidR="00000000" w:rsidRPr="001E6AAA" w:rsidP="001E6AAA">
            <w:pPr>
              <w:pStyle w:val="ListBullet"/>
            </w:pPr>
            <w:r w:rsidRPr="001E6AAA">
              <w:t>bid evaluation plan</w:t>
            </w:r>
          </w:p>
          <w:p w:rsidR="00000000" w:rsidRPr="001E6AAA" w:rsidP="001E6AAA">
            <w:pPr>
              <w:pStyle w:val="ListBullet"/>
            </w:pPr>
            <w:r w:rsidRPr="001E6AAA">
              <w:t>contract negotiation plan</w:t>
            </w:r>
          </w:p>
          <w:p w:rsidR="00000000" w:rsidRPr="001E6AAA" w:rsidP="001E6AAA">
            <w:pPr>
              <w:pStyle w:val="ListBullet"/>
            </w:pPr>
            <w:r w:rsidRPr="001E6AAA">
              <w:t>contract management plan</w:t>
            </w:r>
          </w:p>
          <w:p w:rsidR="00000000" w:rsidRPr="001E6AAA" w:rsidP="001E6AAA">
            <w:pPr>
              <w:pStyle w:val="ListBullet"/>
            </w:pPr>
            <w:r w:rsidRPr="001E6AAA">
              <w:t>risk management plan</w:t>
            </w:r>
          </w:p>
          <w:p w:rsidR="00000000" w:rsidRPr="001E6AAA" w:rsidP="001E6AAA">
            <w:pPr>
              <w:pStyle w:val="ListBullet"/>
            </w:pPr>
            <w:r w:rsidRPr="001E6AAA">
              <w:t>contingency plan</w:t>
            </w:r>
          </w:p>
          <w:p w:rsidR="00000000" w:rsidRPr="001E6AAA" w:rsidP="001E6AAA">
            <w:pPr>
              <w:pStyle w:val="ListBullet"/>
            </w:pPr>
            <w:r w:rsidRPr="001E6AAA">
              <w:t>probity plan</w:t>
            </w:r>
          </w:p>
          <w:p w:rsidR="00000000" w:rsidRPr="001E6AAA" w:rsidP="001E6AAA">
            <w:pPr>
              <w:pStyle w:val="ListBullet"/>
            </w:pPr>
            <w:r w:rsidRPr="001E6AAA">
              <w:t>communication and public relations plan</w:t>
            </w:r>
          </w:p>
          <w:p w:rsidR="00000000" w:rsidRPr="001E6AAA" w:rsidP="001E6AAA">
            <w:pPr>
              <w:pStyle w:val="ListBullet"/>
            </w:pPr>
            <w:r w:rsidRPr="001E6AAA">
              <w:t>human resource management plan</w:t>
            </w:r>
          </w:p>
          <w:p w:rsidR="00000000" w:rsidRPr="001E6AAA" w:rsidP="001E6AAA">
            <w:pPr>
              <w:pStyle w:val="ListBullet"/>
            </w:pPr>
            <w:r w:rsidRPr="001E6AAA">
              <w:t>disposal plan</w:t>
            </w:r>
          </w:p>
          <w:p w:rsidR="00000000" w:rsidRPr="001E6AAA" w:rsidP="001E6AAA">
            <w:pPr>
              <w:pStyle w:val="ListBullet"/>
            </w:pPr>
            <w:r w:rsidRPr="001E6AAA">
              <w:t>contract review plan</w:t>
            </w:r>
          </w:p>
          <w:p w:rsidR="00000000" w:rsidRPr="001E6AAA" w:rsidP="001E6AAA">
            <w:pPr>
              <w:pStyle w:val="ListBullet"/>
            </w:pPr>
            <w:r w:rsidRPr="001E6AAA">
              <w:t>environmental sustainability plan</w:t>
            </w:r>
          </w:p>
          <w:p w:rsidR="00000000" w:rsidRPr="001E6AAA" w:rsidP="001E6AAA">
            <w:pPr>
              <w:pStyle w:val="ListBullet"/>
            </w:pPr>
            <w:r w:rsidRPr="001E6AAA">
              <w:t>industry policy plan</w:t>
            </w:r>
          </w:p>
          <w:p w:rsidR="00000000" w:rsidP="001E6AAA">
            <w:pPr>
              <w:pStyle w:val="ListBullet"/>
              <w:rPr>
                <w:lang w:val="en-NZ"/>
              </w:rPr>
            </w:pPr>
            <w:r w:rsidRPr="001E6AAA">
              <w:t>business continuity plan.</w:t>
            </w:r>
          </w:p>
        </w:tc>
      </w:tr>
      <w:tr w:rsidTr="001C5948">
        <w:tblPrEx>
          <w:tblW w:w="0" w:type="auto"/>
          <w:tblLayout w:type="fixed"/>
          <w:tblCellMar>
            <w:left w:w="62" w:type="dxa"/>
            <w:right w:w="62" w:type="dxa"/>
          </w:tblCellMar>
          <w:tblLook w:val="0000"/>
        </w:tblPrEx>
        <w:tc>
          <w:tcPr>
            <w:tcW w:w="2441" w:type="dxa"/>
            <w:tcBorders>
              <w:top w:val="nil"/>
              <w:left w:val="nil"/>
              <w:bottom w:val="nil"/>
              <w:right w:val="nil"/>
            </w:tcBorders>
            <w:tcMar>
              <w:top w:w="0" w:type="dxa"/>
              <w:left w:w="62" w:type="dxa"/>
              <w:bottom w:w="0" w:type="dxa"/>
              <w:right w:w="62" w:type="dxa"/>
            </w:tcMar>
          </w:tcPr>
          <w:p w:rsidR="00000000" w:rsidP="001E6AAA">
            <w:pPr>
              <w:pStyle w:val="BodyText"/>
              <w:rPr>
                <w:lang w:val="en-NZ"/>
              </w:rPr>
            </w:pPr>
            <w:r w:rsidRPr="001E6AAA">
              <w:rPr>
                <w:rStyle w:val="BoldandItalics"/>
              </w:rPr>
              <w:t>Procurement reporting requirements</w:t>
            </w:r>
            <w:r w:rsidRPr="001E6AAA">
              <w:t xml:space="preserve"> may include:</w:t>
            </w:r>
          </w:p>
        </w:tc>
        <w:tc>
          <w:tcPr>
            <w:tcW w:w="6081" w:type="dxa"/>
            <w:tcBorders>
              <w:top w:val="nil"/>
              <w:left w:val="nil"/>
              <w:bottom w:val="nil"/>
              <w:right w:val="nil"/>
            </w:tcBorders>
            <w:tcMar>
              <w:top w:w="0" w:type="dxa"/>
              <w:left w:w="62" w:type="dxa"/>
              <w:bottom w:w="0" w:type="dxa"/>
              <w:right w:w="62" w:type="dxa"/>
            </w:tcMar>
          </w:tcPr>
          <w:p w:rsidR="00000000" w:rsidRPr="001E6AAA" w:rsidP="001E6AAA">
            <w:pPr>
              <w:pStyle w:val="ListBullet"/>
            </w:pPr>
            <w:r w:rsidRPr="001E6AAA">
              <w:t>public notification of:</w:t>
            </w:r>
          </w:p>
          <w:p w:rsidR="00000000" w:rsidRPr="001E6AAA" w:rsidP="001E6AAA">
            <w:pPr>
              <w:pStyle w:val="ListBullet2"/>
            </w:pPr>
            <w:r w:rsidRPr="001E6AAA">
              <w:t>business opportunities</w:t>
            </w:r>
          </w:p>
          <w:p w:rsidR="00000000" w:rsidRPr="001E6AAA" w:rsidP="001E6AAA">
            <w:pPr>
              <w:pStyle w:val="ListBullet2"/>
            </w:pPr>
            <w:r w:rsidRPr="001E6AAA">
              <w:t>contracts and other agreements to supply (e.g. AusTender or similar system)</w:t>
            </w:r>
          </w:p>
          <w:p w:rsidR="00000000" w:rsidRPr="001E6AAA" w:rsidP="001E6AAA">
            <w:pPr>
              <w:pStyle w:val="ListBullet"/>
            </w:pPr>
            <w:r w:rsidRPr="001E6AAA">
              <w:t>annual or other forward procurement plans</w:t>
            </w:r>
          </w:p>
          <w:p w:rsidR="00000000" w:rsidRPr="001E6AAA" w:rsidP="001E6AAA">
            <w:pPr>
              <w:pStyle w:val="ListBullet"/>
            </w:pPr>
            <w:r w:rsidRPr="001E6AAA">
              <w:t>annual reports</w:t>
            </w:r>
          </w:p>
          <w:p w:rsidR="00000000" w:rsidRPr="001E6AAA" w:rsidP="001E6AAA">
            <w:pPr>
              <w:pStyle w:val="ListBullet"/>
            </w:pPr>
            <w:r w:rsidRPr="001E6AAA">
              <w:t>senate/parliament reports</w:t>
            </w:r>
          </w:p>
          <w:p w:rsidR="00000000" w:rsidP="001E6AAA">
            <w:pPr>
              <w:pStyle w:val="ListBullet"/>
              <w:rPr>
                <w:lang w:val="en-NZ"/>
              </w:rPr>
            </w:pPr>
            <w:r w:rsidRPr="001E6AAA">
              <w:t>internal reports.</w:t>
            </w:r>
          </w:p>
        </w:tc>
      </w:tr>
      <w:tr w:rsidTr="001C5948">
        <w:tblPrEx>
          <w:tblW w:w="0" w:type="auto"/>
          <w:tblLayout w:type="fixed"/>
          <w:tblCellMar>
            <w:left w:w="62" w:type="dxa"/>
            <w:right w:w="62" w:type="dxa"/>
          </w:tblCellMar>
          <w:tblLook w:val="0000"/>
        </w:tblPrEx>
        <w:tc>
          <w:tcPr>
            <w:tcW w:w="2441" w:type="dxa"/>
            <w:tcBorders>
              <w:top w:val="nil"/>
              <w:left w:val="nil"/>
              <w:bottom w:val="nil"/>
              <w:right w:val="nil"/>
            </w:tcBorders>
            <w:tcMar>
              <w:top w:w="0" w:type="dxa"/>
              <w:left w:w="62" w:type="dxa"/>
              <w:bottom w:w="0" w:type="dxa"/>
              <w:right w:w="62" w:type="dxa"/>
            </w:tcMar>
          </w:tcPr>
          <w:p w:rsidR="00000000" w:rsidP="001E6AAA">
            <w:pPr>
              <w:pStyle w:val="BodyText"/>
              <w:rPr>
                <w:lang w:val="en-NZ"/>
              </w:rPr>
            </w:pPr>
            <w:r w:rsidRPr="001E6AAA">
              <w:rPr>
                <w:rStyle w:val="BoldandItalics"/>
              </w:rPr>
              <w:t>Records</w:t>
            </w:r>
            <w:r w:rsidRPr="001E6AAA">
              <w:t xml:space="preserve"> may include entries into:</w:t>
            </w:r>
          </w:p>
        </w:tc>
        <w:tc>
          <w:tcPr>
            <w:tcW w:w="6081" w:type="dxa"/>
            <w:tcBorders>
              <w:top w:val="nil"/>
              <w:left w:val="nil"/>
              <w:bottom w:val="nil"/>
              <w:right w:val="nil"/>
            </w:tcBorders>
            <w:tcMar>
              <w:top w:w="0" w:type="dxa"/>
              <w:left w:w="62" w:type="dxa"/>
              <w:bottom w:w="0" w:type="dxa"/>
              <w:right w:w="62" w:type="dxa"/>
            </w:tcMar>
          </w:tcPr>
          <w:p w:rsidR="00000000" w:rsidRPr="001E6AAA" w:rsidP="001E6AAA">
            <w:pPr>
              <w:pStyle w:val="ListBullet"/>
            </w:pPr>
            <w:r w:rsidRPr="001E6AAA">
              <w:t>financial management systems</w:t>
            </w:r>
          </w:p>
          <w:p w:rsidR="00000000" w:rsidRPr="001E6AAA" w:rsidP="001E6AAA">
            <w:pPr>
              <w:pStyle w:val="ListBullet"/>
            </w:pPr>
            <w:r w:rsidRPr="001E6AAA">
              <w:t>reporting systems</w:t>
            </w:r>
          </w:p>
          <w:p w:rsidR="00000000" w:rsidRPr="001E6AAA" w:rsidP="001E6AAA">
            <w:pPr>
              <w:pStyle w:val="ListBullet"/>
            </w:pPr>
            <w:r w:rsidRPr="001E6AAA">
              <w:t>database systems</w:t>
            </w:r>
          </w:p>
          <w:p w:rsidR="00000000" w:rsidRPr="001E6AAA" w:rsidP="001E6AAA">
            <w:pPr>
              <w:pStyle w:val="ListBullet"/>
            </w:pPr>
            <w:r w:rsidRPr="001E6AAA">
              <w:t>central registers and repositories.</w:t>
            </w:r>
          </w:p>
        </w:tc>
      </w:tr>
    </w:tbl>
    <w:p w:rsidR="001C5948" w:rsidP="001E6AAA">
      <w:pPr>
        <w:pStyle w:val="BodyText"/>
      </w:pPr>
    </w:p>
    <w:p w:rsidR="001C5948" w:rsidP="001E6AAA">
      <w:pPr>
        <w:pStyle w:val="BodyText"/>
      </w:pPr>
    </w:p>
    <w:p w:rsidR="00000000" w:rsidRPr="001E6AAA" w:rsidP="001E6AAA">
      <w:pPr>
        <w:pStyle w:val="Heading1"/>
      </w:pPr>
      <w:bookmarkStart w:id="12" w:name="O_411056"/>
      <w:bookmarkEnd w:id="12"/>
      <w:r w:rsidRPr="001E6AAA">
        <w:t>Unit Sector(s)</w:t>
      </w:r>
    </w:p>
    <w:p w:rsidR="00000000" w:rsidRPr="001E6AAA" w:rsidP="001E6AAA">
      <w:pPr>
        <w:pStyle w:val="BodyText"/>
      </w:pPr>
      <w:r w:rsidRPr="001E6AAA">
        <w:t>Not applicable.</w:t>
      </w:r>
    </w:p>
    <w:p w:rsidR="00000000" w:rsidRPr="001E6AAA" w:rsidP="001E6AAA">
      <w:pPr>
        <w:pStyle w:val="AllowPageBreak"/>
      </w:pPr>
    </w:p>
    <w:p w:rsidR="00000000" w:rsidRPr="001E6AAA" w:rsidP="001E6AAA">
      <w:pPr>
        <w:pStyle w:val="Heading1"/>
      </w:pPr>
      <w:bookmarkStart w:id="13" w:name="O_411069"/>
      <w:bookmarkEnd w:id="13"/>
      <w:r w:rsidRPr="001E6AAA">
        <w:t>Competency field</w:t>
      </w:r>
    </w:p>
    <w:p w:rsidR="00000000" w:rsidRPr="001E6AAA" w:rsidP="001E6AAA">
      <w:pPr>
        <w:pStyle w:val="BodyText"/>
      </w:pPr>
      <w:r w:rsidRPr="001E6AAA">
        <w:t>Procurement and Contract Management.</w:t>
      </w:r>
    </w:p>
    <w:p w:rsidR="00000000" w:rsidRPr="001E6AAA" w:rsidP="001E6AAA">
      <w:pPr>
        <w:pStyle w:val="AllowPageBreak"/>
      </w:pPr>
    </w:p>
    <w:p w:rsidR="00000000" w:rsidRPr="001E6AAA" w:rsidP="001E6AAA">
      <w:pPr>
        <w:pStyle w:val="Heading1"/>
      </w:pPr>
      <w:bookmarkStart w:id="14" w:name="O_411068"/>
      <w:bookmarkEnd w:id="14"/>
      <w:r w:rsidRPr="001E6AAA">
        <w:t>Co-requisite units</w:t>
      </w:r>
    </w:p>
    <w:tbl>
      <w:tblPr>
        <w:tblW w:w="0" w:type="auto"/>
        <w:tblLayout w:type="fixed"/>
        <w:tblCellMar>
          <w:left w:w="62" w:type="dxa"/>
          <w:right w:w="62" w:type="dxa"/>
        </w:tblCellMar>
        <w:tblLook w:val="0000"/>
      </w:tblPr>
      <w:tblGrid>
        <w:gridCol w:w="2635"/>
        <w:gridCol w:w="5887"/>
      </w:tblGrid>
      <w:tr w:rsidTr="001C5948">
        <w:tblPrEx>
          <w:tblW w:w="0" w:type="auto"/>
          <w:tblLayout w:type="fixed"/>
          <w:tblCellMar>
            <w:left w:w="62" w:type="dxa"/>
            <w:right w:w="62" w:type="dxa"/>
          </w:tblCellMar>
          <w:tblLook w:val="0000"/>
        </w:tblPrEx>
        <w:trPr>
          <w:tblHeader/>
        </w:trPr>
        <w:tc>
          <w:tcPr>
            <w:tcW w:w="26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6AAA">
            <w:pPr>
              <w:pStyle w:val="BodyText"/>
              <w:rPr>
                <w:lang w:val="en-NZ"/>
              </w:rPr>
            </w:pPr>
            <w:r w:rsidRPr="001E6AAA">
              <w:rPr>
                <w:rStyle w:val="SpecialBold"/>
              </w:rPr>
              <w:t>Co-requisite units</w:t>
            </w:r>
          </w:p>
        </w:tc>
        <w:tc>
          <w:tcPr>
            <w:tcW w:w="58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6AAA" w:rsidP="001E6AAA">
            <w:pPr>
              <w:pStyle w:val="BodyText"/>
            </w:pPr>
          </w:p>
        </w:tc>
      </w:tr>
    </w:tbl>
    <w:p w:rsidR="00000000" w:rsidRPr="001E6AAA" w:rsidP="001E6AAA">
      <w:pPr>
        <w:pStyle w:val="BodyText"/>
      </w:pPr>
    </w:p>
    <w:p w:rsidR="00000000" w:rsidRPr="001E6AAA" w:rsidP="001E6AAA"/>
    <w:sectPr w:rsidSect="001E6AA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6AA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C5948" w:rsidP="001C594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6AA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5948" w:rsidP="001E6AA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1C5948" w:rsidP="001E6AA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1C5948" w:rsidP="001E6AA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6AA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C5948" w:rsidP="001C594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6AA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5948" w:rsidP="001E6AAA">
    <w:pPr>
      <w:pStyle w:val="Header"/>
      <w:framePr w:wrap="around"/>
    </w:pPr>
    <w:r>
      <w:fldChar w:fldCharType="begin"/>
    </w:r>
    <w:r>
      <w:instrText xml:space="preserve"> TITLE   \* MERGEFORMAT </w:instrText>
    </w:r>
    <w:r>
      <w:fldChar w:fldCharType="separate"/>
    </w:r>
    <w:r>
      <w:t>PSPPROC508A Make procurement decisions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1C5948" w:rsidP="001E6AA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6F676F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9AE9DD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AA811E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6AA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E6AAA"/>
    <w:pPr>
      <w:spacing w:before="360" w:after="60"/>
      <w:outlineLvl w:val="0"/>
    </w:pPr>
    <w:rPr>
      <w:sz w:val="32"/>
    </w:rPr>
  </w:style>
  <w:style w:type="paragraph" w:styleId="Heading2">
    <w:name w:val="heading 2"/>
    <w:basedOn w:val="HeadingBase"/>
    <w:next w:val="BodyText"/>
    <w:link w:val="Heading2Char"/>
    <w:qFormat/>
    <w:rsid w:val="001E6AAA"/>
    <w:pPr>
      <w:keepLines/>
      <w:spacing w:before="240" w:after="120"/>
      <w:outlineLvl w:val="1"/>
    </w:pPr>
    <w:rPr>
      <w:sz w:val="28"/>
      <w:szCs w:val="40"/>
    </w:rPr>
  </w:style>
  <w:style w:type="paragraph" w:styleId="Heading3">
    <w:name w:val="heading 3"/>
    <w:basedOn w:val="HeadingBase"/>
    <w:next w:val="BodyText"/>
    <w:link w:val="Heading3Char"/>
    <w:qFormat/>
    <w:rsid w:val="001E6AAA"/>
    <w:pPr>
      <w:spacing w:before="180" w:after="120"/>
      <w:outlineLvl w:val="2"/>
    </w:pPr>
    <w:rPr>
      <w:spacing w:val="-10"/>
      <w:kern w:val="32"/>
    </w:rPr>
  </w:style>
  <w:style w:type="paragraph" w:styleId="Heading4">
    <w:name w:val="heading 4"/>
    <w:basedOn w:val="HeadingBase"/>
    <w:next w:val="BodyText"/>
    <w:link w:val="Heading4Char"/>
    <w:qFormat/>
    <w:rsid w:val="001E6AAA"/>
    <w:pPr>
      <w:spacing w:before="160" w:after="120"/>
      <w:outlineLvl w:val="3"/>
    </w:pPr>
    <w:rPr>
      <w:sz w:val="22"/>
    </w:rPr>
  </w:style>
  <w:style w:type="paragraph" w:styleId="Heading5">
    <w:name w:val="heading 5"/>
    <w:basedOn w:val="HeadingBase"/>
    <w:next w:val="Normal"/>
    <w:link w:val="Heading5Char"/>
    <w:qFormat/>
    <w:rsid w:val="001E6AAA"/>
    <w:pPr>
      <w:spacing w:before="80"/>
      <w:outlineLvl w:val="4"/>
    </w:pPr>
    <w:rPr>
      <w:color w:val="918585"/>
      <w:sz w:val="20"/>
    </w:rPr>
  </w:style>
  <w:style w:type="paragraph" w:styleId="Heading6">
    <w:name w:val="heading 6"/>
    <w:basedOn w:val="HeadingBase"/>
    <w:next w:val="Normal"/>
    <w:link w:val="Heading6Char"/>
    <w:qFormat/>
    <w:rsid w:val="001E6AAA"/>
    <w:pPr>
      <w:spacing w:before="60"/>
      <w:outlineLvl w:val="5"/>
    </w:pPr>
    <w:rPr>
      <w:color w:val="918585"/>
      <w:sz w:val="20"/>
    </w:rPr>
  </w:style>
  <w:style w:type="paragraph" w:styleId="Heading7">
    <w:name w:val="heading 7"/>
    <w:basedOn w:val="Normal"/>
    <w:next w:val="Normal"/>
    <w:link w:val="Heading7Char"/>
    <w:qFormat/>
    <w:rsid w:val="001E6AAA"/>
    <w:pPr>
      <w:ind w:left="720"/>
      <w:outlineLvl w:val="6"/>
    </w:pPr>
    <w:rPr>
      <w:i/>
    </w:rPr>
  </w:style>
  <w:style w:type="paragraph" w:styleId="Heading8">
    <w:name w:val="heading 8"/>
    <w:basedOn w:val="Normal"/>
    <w:next w:val="Normal"/>
    <w:link w:val="Heading8Char"/>
    <w:qFormat/>
    <w:rsid w:val="001E6AAA"/>
    <w:pPr>
      <w:ind w:left="720"/>
      <w:outlineLvl w:val="7"/>
    </w:pPr>
    <w:rPr>
      <w:i/>
    </w:rPr>
  </w:style>
  <w:style w:type="paragraph" w:styleId="Heading9">
    <w:name w:val="heading 9"/>
    <w:basedOn w:val="Normal"/>
    <w:next w:val="Normal"/>
    <w:link w:val="Heading9Char"/>
    <w:qFormat/>
    <w:rsid w:val="001E6AAA"/>
    <w:pPr>
      <w:ind w:left="720"/>
      <w:outlineLvl w:val="8"/>
    </w:pPr>
    <w:rPr>
      <w:i/>
    </w:rPr>
  </w:style>
  <w:style w:type="character" w:default="1" w:styleId="DefaultParagraphFont">
    <w:name w:val="Default Paragraph Font"/>
    <w:uiPriority w:val="1"/>
    <w:unhideWhenUsed/>
    <w:rsid w:val="001E6AA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E6AAA"/>
  </w:style>
  <w:style w:type="character" w:customStyle="1" w:styleId="Heading1Char">
    <w:name w:val="Heading 1 Char"/>
    <w:basedOn w:val="DefaultParagraphFont"/>
    <w:link w:val="Heading1"/>
    <w:rsid w:val="001E6AAA"/>
    <w:rPr>
      <w:rFonts w:ascii="Times New Roman" w:eastAsia="Times New Roman" w:hAnsi="Times New Roman" w:cs="Times New Roman"/>
      <w:b/>
      <w:sz w:val="32"/>
      <w:szCs w:val="20"/>
      <w:lang w:eastAsia="en-US"/>
    </w:rPr>
  </w:style>
  <w:style w:type="paragraph" w:styleId="BodyText">
    <w:name w:val="Body Text"/>
    <w:basedOn w:val="Normal"/>
    <w:link w:val="BodyTextChar"/>
    <w:rsid w:val="001E6AA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E6AAA"/>
    <w:rPr>
      <w:rFonts w:ascii="Times New Roman" w:eastAsia="Times New Roman" w:hAnsi="Times New Roman" w:cs="Times New Roman"/>
      <w:sz w:val="24"/>
      <w:lang w:val="en-US" w:eastAsia="en-US"/>
    </w:rPr>
  </w:style>
  <w:style w:type="paragraph" w:styleId="Footer">
    <w:name w:val="footer"/>
    <w:basedOn w:val="Normal"/>
    <w:link w:val="FooterChar"/>
    <w:rsid w:val="001E6AA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E6AAA"/>
    <w:rPr>
      <w:rFonts w:ascii="Times New Roman" w:eastAsia="Times New Roman" w:hAnsi="Times New Roman" w:cs="Times New Roman"/>
      <w:sz w:val="16"/>
      <w:lang w:val="en-US" w:eastAsia="en-US"/>
    </w:rPr>
  </w:style>
  <w:style w:type="paragraph" w:styleId="List">
    <w:name w:val="List"/>
    <w:basedOn w:val="BodyText"/>
    <w:next w:val="BodyText"/>
    <w:rsid w:val="001E6AAA"/>
    <w:pPr>
      <w:tabs>
        <w:tab w:val="left" w:pos="340"/>
      </w:tabs>
      <w:spacing w:before="60" w:after="60"/>
      <w:ind w:left="340" w:hanging="340"/>
    </w:pPr>
  </w:style>
  <w:style w:type="paragraph" w:styleId="ListBullet">
    <w:name w:val="List Bullet"/>
    <w:basedOn w:val="List"/>
    <w:rsid w:val="001E6AAA"/>
    <w:pPr>
      <w:numPr>
        <w:numId w:val="13"/>
      </w:numPr>
      <w:tabs>
        <w:tab w:val="clear" w:pos="340"/>
      </w:tabs>
      <w:spacing w:before="40" w:after="40"/>
    </w:pPr>
  </w:style>
  <w:style w:type="character" w:customStyle="1" w:styleId="SpecialBold">
    <w:name w:val="Special Bold"/>
    <w:basedOn w:val="DefaultParagraphFont"/>
    <w:rsid w:val="001E6AAA"/>
    <w:rPr>
      <w:b/>
      <w:spacing w:val="0"/>
    </w:rPr>
  </w:style>
  <w:style w:type="paragraph" w:styleId="ListBullet2">
    <w:name w:val="List Bullet 2"/>
    <w:basedOn w:val="List2"/>
    <w:rsid w:val="001E6AAA"/>
    <w:pPr>
      <w:numPr>
        <w:numId w:val="14"/>
      </w:numPr>
      <w:tabs>
        <w:tab w:val="clear" w:pos="680"/>
      </w:tabs>
    </w:pPr>
  </w:style>
  <w:style w:type="paragraph" w:styleId="Header">
    <w:name w:val="header"/>
    <w:basedOn w:val="Normal"/>
    <w:link w:val="HeaderChar"/>
    <w:rsid w:val="001E6AA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E6AA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E6AAA"/>
    <w:pPr>
      <w:spacing w:before="240" w:after="120"/>
      <w:outlineLvl w:val="0"/>
    </w:pPr>
    <w:rPr>
      <w:rFonts w:ascii="Times New Roman" w:hAnsi="Times New Roman"/>
      <w:b/>
      <w:sz w:val="28"/>
    </w:rPr>
  </w:style>
  <w:style w:type="paragraph" w:customStyle="1" w:styleId="AllowPageBreak">
    <w:name w:val="AllowPageBreak"/>
    <w:rsid w:val="001E6AA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E6AAA"/>
    <w:rPr>
      <w:b/>
      <w:i/>
      <w:u w:val="none"/>
    </w:rPr>
  </w:style>
  <w:style w:type="character" w:customStyle="1" w:styleId="Heading2Char">
    <w:name w:val="Heading 2 Char"/>
    <w:basedOn w:val="DefaultParagraphFont"/>
    <w:link w:val="Heading2"/>
    <w:rsid w:val="001E6AA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E6AA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E6AA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E6AA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E6AA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E6AA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E6AA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E6AAA"/>
    <w:rPr>
      <w:rFonts w:ascii="Courier New" w:eastAsia="Times New Roman" w:hAnsi="Courier New" w:cs="Times New Roman"/>
      <w:i/>
      <w:szCs w:val="20"/>
      <w:lang w:val="en-US" w:eastAsia="en-US"/>
    </w:rPr>
  </w:style>
  <w:style w:type="paragraph" w:customStyle="1" w:styleId="HeadingBase">
    <w:name w:val="Heading Base"/>
    <w:rsid w:val="001E6AA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E6AAA"/>
    <w:pPr>
      <w:tabs>
        <w:tab w:val="right" w:leader="dot" w:pos="9072"/>
      </w:tabs>
      <w:ind w:left="567"/>
    </w:pPr>
    <w:rPr>
      <w:szCs w:val="22"/>
    </w:rPr>
  </w:style>
  <w:style w:type="paragraph" w:customStyle="1" w:styleId="TOCBase">
    <w:name w:val="TOC Base"/>
    <w:rsid w:val="001E6AA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E6AAA"/>
    <w:pPr>
      <w:tabs>
        <w:tab w:val="right" w:leader="dot" w:pos="9072"/>
      </w:tabs>
      <w:spacing w:before="40" w:after="40"/>
      <w:ind w:left="284"/>
    </w:pPr>
    <w:rPr>
      <w:rFonts w:ascii="Times New Roman" w:hAnsi="Times New Roman"/>
    </w:rPr>
  </w:style>
  <w:style w:type="paragraph" w:styleId="TOC1">
    <w:name w:val="toc 1"/>
    <w:basedOn w:val="TOCBase"/>
    <w:next w:val="Normal"/>
    <w:rsid w:val="001E6AA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E6AAA"/>
    <w:pPr>
      <w:spacing w:before="5040"/>
      <w:jc w:val="center"/>
    </w:pPr>
    <w:rPr>
      <w:sz w:val="48"/>
      <w:szCs w:val="72"/>
      <w:lang w:val="en-US"/>
    </w:rPr>
  </w:style>
  <w:style w:type="character" w:customStyle="1" w:styleId="TitleChar">
    <w:name w:val="Title Char"/>
    <w:basedOn w:val="DefaultParagraphFont"/>
    <w:link w:val="Title"/>
    <w:rsid w:val="001E6AA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E6AAA"/>
    <w:pPr>
      <w:tabs>
        <w:tab w:val="left" w:pos="3600"/>
        <w:tab w:val="left" w:pos="3958"/>
      </w:tabs>
    </w:pPr>
  </w:style>
  <w:style w:type="paragraph" w:customStyle="1" w:styleId="Note">
    <w:name w:val="Note"/>
    <w:basedOn w:val="BodyText"/>
    <w:rsid w:val="001E6AA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E6AAA"/>
    <w:pPr>
      <w:framePr w:wrap="auto" w:hAnchor="text" w:y="6049"/>
    </w:pPr>
    <w:rPr>
      <w:color w:val="000000"/>
      <w:sz w:val="40"/>
    </w:rPr>
  </w:style>
  <w:style w:type="paragraph" w:customStyle="1" w:styleId="TOCTitle">
    <w:name w:val="TOCTitle"/>
    <w:basedOn w:val="Heading1"/>
    <w:rsid w:val="001E6AAA"/>
    <w:pPr>
      <w:spacing w:after="240"/>
      <w:jc w:val="center"/>
      <w:outlineLvl w:val="9"/>
    </w:pPr>
    <w:rPr>
      <w:caps/>
    </w:rPr>
  </w:style>
  <w:style w:type="paragraph" w:customStyle="1" w:styleId="Version">
    <w:name w:val="Version"/>
    <w:rsid w:val="001E6AA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E6AAA"/>
    <w:pPr>
      <w:keepNext w:val="0"/>
      <w:tabs>
        <w:tab w:val="right" w:pos="4176"/>
      </w:tabs>
      <w:ind w:left="198" w:hanging="198"/>
    </w:pPr>
    <w:rPr>
      <w:rFonts w:ascii="Garamond" w:hAnsi="Garamond"/>
    </w:rPr>
  </w:style>
  <w:style w:type="paragraph" w:styleId="IndexHeading">
    <w:name w:val="index heading"/>
    <w:basedOn w:val="Normal"/>
    <w:next w:val="Index1"/>
    <w:semiHidden/>
    <w:rsid w:val="001E6AAA"/>
    <w:pPr>
      <w:spacing w:before="120" w:after="120"/>
    </w:pPr>
    <w:rPr>
      <w:rFonts w:ascii="Arial" w:hAnsi="Arial"/>
      <w:b/>
      <w:color w:val="918585"/>
      <w:sz w:val="24"/>
    </w:rPr>
  </w:style>
  <w:style w:type="paragraph" w:customStyle="1" w:styleId="Chapter">
    <w:name w:val="Chapter"/>
    <w:basedOn w:val="Normal"/>
    <w:rsid w:val="001E6AAA"/>
    <w:pPr>
      <w:spacing w:before="240"/>
    </w:pPr>
    <w:rPr>
      <w:rFonts w:ascii="Times New Roman" w:hAnsi="Times New Roman"/>
      <w:smallCaps/>
      <w:spacing w:val="80"/>
      <w:sz w:val="28"/>
    </w:rPr>
  </w:style>
  <w:style w:type="paragraph" w:customStyle="1" w:styleId="InChapter">
    <w:name w:val="InChapter"/>
    <w:basedOn w:val="Heading3"/>
    <w:rsid w:val="001E6AAA"/>
    <w:pPr>
      <w:spacing w:after="240"/>
      <w:outlineLvl w:val="9"/>
    </w:pPr>
    <w:rPr>
      <w:noProof/>
    </w:rPr>
  </w:style>
  <w:style w:type="paragraph" w:styleId="Index2">
    <w:name w:val="index 2"/>
    <w:basedOn w:val="Normal"/>
    <w:next w:val="Normal"/>
    <w:semiHidden/>
    <w:rsid w:val="001E6AAA"/>
    <w:pPr>
      <w:tabs>
        <w:tab w:val="right" w:pos="4176"/>
      </w:tabs>
      <w:ind w:left="568" w:hanging="284"/>
    </w:pPr>
    <w:rPr>
      <w:rFonts w:ascii="Garamond" w:hAnsi="Garamond"/>
    </w:rPr>
  </w:style>
  <w:style w:type="paragraph" w:customStyle="1" w:styleId="Byline">
    <w:name w:val="Byline"/>
    <w:rsid w:val="001E6AA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E6AAA"/>
    <w:pPr>
      <w:tabs>
        <w:tab w:val="clear" w:pos="3600"/>
        <w:tab w:val="clear" w:pos="3958"/>
      </w:tabs>
      <w:jc w:val="right"/>
    </w:pPr>
  </w:style>
  <w:style w:type="character" w:styleId="Emphasis">
    <w:name w:val="Emphasis"/>
    <w:basedOn w:val="DefaultParagraphFont"/>
    <w:qFormat/>
    <w:rsid w:val="001E6AAA"/>
    <w:rPr>
      <w:i/>
    </w:rPr>
  </w:style>
  <w:style w:type="paragraph" w:styleId="Caption">
    <w:name w:val="caption"/>
    <w:basedOn w:val="BodyText"/>
    <w:next w:val="Normal"/>
    <w:qFormat/>
    <w:rsid w:val="001E6AAA"/>
    <w:pPr>
      <w:framePr w:w="2268" w:hSpace="181" w:vSpace="181" w:wrap="around" w:vAnchor="text" w:hAnchor="page" w:x="1135" w:y="285" w:anchorLock="1"/>
    </w:pPr>
    <w:rPr>
      <w:i/>
    </w:rPr>
  </w:style>
  <w:style w:type="paragraph" w:customStyle="1" w:styleId="MiniTOCTitle">
    <w:name w:val="MiniTOCTitle"/>
    <w:basedOn w:val="Heading4"/>
    <w:rsid w:val="001E6AAA"/>
    <w:pPr>
      <w:spacing w:before="240"/>
      <w:outlineLvl w:val="9"/>
    </w:pPr>
    <w:rPr>
      <w:noProof/>
      <w:sz w:val="24"/>
    </w:rPr>
  </w:style>
  <w:style w:type="paragraph" w:customStyle="1" w:styleId="MiniTOCItem">
    <w:name w:val="MiniTOCItem"/>
    <w:basedOn w:val="ListBullet"/>
    <w:rsid w:val="001E6AAA"/>
    <w:pPr>
      <w:numPr>
        <w:numId w:val="0"/>
      </w:numPr>
      <w:tabs>
        <w:tab w:val="right" w:leader="dot" w:pos="6521"/>
      </w:tabs>
      <w:spacing w:before="0" w:after="0"/>
    </w:pPr>
  </w:style>
  <w:style w:type="paragraph" w:customStyle="1" w:styleId="TOFTitle">
    <w:name w:val="TOFTitle"/>
    <w:basedOn w:val="TOCTitle"/>
    <w:rsid w:val="001E6AAA"/>
  </w:style>
  <w:style w:type="paragraph" w:styleId="TableofFigures">
    <w:name w:val="table of figures"/>
    <w:basedOn w:val="Normal"/>
    <w:next w:val="Normal"/>
    <w:semiHidden/>
    <w:rsid w:val="001E6AAA"/>
    <w:pPr>
      <w:tabs>
        <w:tab w:val="right" w:leader="dot" w:pos="9072"/>
      </w:tabs>
      <w:ind w:left="970" w:hanging="403"/>
    </w:pPr>
    <w:rPr>
      <w:rFonts w:ascii="Times New Roman" w:hAnsi="Times New Roman"/>
      <w:b/>
    </w:rPr>
  </w:style>
  <w:style w:type="paragraph" w:styleId="ListNumber">
    <w:name w:val="List Number"/>
    <w:basedOn w:val="List"/>
    <w:rsid w:val="001E6AAA"/>
    <w:pPr>
      <w:numPr>
        <w:numId w:val="11"/>
      </w:numPr>
    </w:pPr>
  </w:style>
  <w:style w:type="character" w:customStyle="1" w:styleId="WingdingSymbols">
    <w:name w:val="Wingding Symbols"/>
    <w:rsid w:val="001E6AAA"/>
    <w:rPr>
      <w:rFonts w:ascii="Wingdings" w:hAnsi="Wingdings"/>
    </w:rPr>
  </w:style>
  <w:style w:type="paragraph" w:customStyle="1" w:styleId="TableHeading">
    <w:name w:val="Table Heading"/>
    <w:basedOn w:val="HeadingBase"/>
    <w:rsid w:val="001E6AAA"/>
    <w:pPr>
      <w:keepLines/>
      <w:pBdr>
        <w:bottom w:val="single" w:sz="6" w:space="1" w:color="918585"/>
      </w:pBdr>
      <w:spacing w:before="240"/>
    </w:pPr>
  </w:style>
  <w:style w:type="character" w:customStyle="1" w:styleId="HotSpot">
    <w:name w:val="HotSpot"/>
    <w:rsid w:val="001E6AAA"/>
    <w:rPr>
      <w:color w:val="0033CC"/>
      <w:u w:val="none"/>
    </w:rPr>
  </w:style>
  <w:style w:type="paragraph" w:customStyle="1" w:styleId="BodyTextRight">
    <w:name w:val="Body Text Right"/>
    <w:basedOn w:val="BodyText"/>
    <w:rsid w:val="001E6AAA"/>
    <w:pPr>
      <w:spacing w:before="0" w:after="0"/>
      <w:jc w:val="right"/>
    </w:pPr>
  </w:style>
  <w:style w:type="paragraph" w:styleId="Index3">
    <w:name w:val="index 3"/>
    <w:basedOn w:val="ListNumber2"/>
    <w:next w:val="Normal"/>
    <w:semiHidden/>
    <w:rsid w:val="001E6AAA"/>
    <w:pPr>
      <w:numPr>
        <w:numId w:val="0"/>
      </w:numPr>
      <w:tabs>
        <w:tab w:val="right" w:leader="dot" w:pos="4176"/>
      </w:tabs>
    </w:pPr>
  </w:style>
  <w:style w:type="paragraph" w:styleId="ListNumber2">
    <w:name w:val="List Number 2"/>
    <w:basedOn w:val="List2"/>
    <w:rsid w:val="001E6AAA"/>
    <w:pPr>
      <w:numPr>
        <w:numId w:val="10"/>
      </w:numPr>
      <w:tabs>
        <w:tab w:val="clear" w:pos="1060"/>
      </w:tabs>
    </w:pPr>
  </w:style>
  <w:style w:type="paragraph" w:customStyle="1" w:styleId="MarginNote">
    <w:name w:val="Margin Note"/>
    <w:basedOn w:val="BodyText"/>
    <w:rsid w:val="001E6AA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E6AA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E6AA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E6AAA"/>
    <w:rPr>
      <w:sz w:val="32"/>
    </w:rPr>
  </w:style>
  <w:style w:type="paragraph" w:customStyle="1" w:styleId="HeadingProcedure">
    <w:name w:val="Heading Procedure"/>
    <w:basedOn w:val="HeadingBase"/>
    <w:next w:val="Normal"/>
    <w:rsid w:val="001E6AAA"/>
    <w:pPr>
      <w:tabs>
        <w:tab w:val="left" w:pos="0"/>
      </w:tabs>
      <w:spacing w:before="120" w:after="60"/>
    </w:pPr>
    <w:rPr>
      <w:i/>
      <w:color w:val="918585"/>
      <w:sz w:val="22"/>
    </w:rPr>
  </w:style>
  <w:style w:type="paragraph" w:customStyle="1" w:styleId="TableBodyText">
    <w:name w:val="Table Body Text"/>
    <w:basedOn w:val="BodyText"/>
    <w:rsid w:val="001E6AAA"/>
    <w:pPr>
      <w:spacing w:before="60" w:after="60"/>
    </w:pPr>
  </w:style>
  <w:style w:type="paragraph" w:styleId="ListContinue">
    <w:name w:val="List Continue"/>
    <w:basedOn w:val="List"/>
    <w:rsid w:val="001E6AAA"/>
    <w:pPr>
      <w:ind w:firstLine="0"/>
    </w:pPr>
  </w:style>
  <w:style w:type="paragraph" w:customStyle="1" w:styleId="ListNote">
    <w:name w:val="List Note"/>
    <w:basedOn w:val="List"/>
    <w:rsid w:val="001E6AAA"/>
    <w:pPr>
      <w:pBdr>
        <w:top w:val="single" w:sz="6" w:space="2" w:color="918585"/>
        <w:bottom w:val="single" w:sz="6" w:space="2" w:color="918585"/>
      </w:pBdr>
      <w:tabs>
        <w:tab w:val="left" w:pos="1021"/>
      </w:tabs>
      <w:ind w:firstLine="0"/>
    </w:pPr>
  </w:style>
  <w:style w:type="paragraph" w:customStyle="1" w:styleId="Warning">
    <w:name w:val="Warning"/>
    <w:basedOn w:val="BodyText"/>
    <w:rsid w:val="001E6AAA"/>
    <w:pPr>
      <w:shd w:val="clear" w:color="auto" w:fill="D9D9D9"/>
      <w:tabs>
        <w:tab w:val="left" w:pos="992"/>
      </w:tabs>
      <w:ind w:left="119" w:right="119"/>
    </w:pPr>
    <w:rPr>
      <w:sz w:val="20"/>
    </w:rPr>
  </w:style>
  <w:style w:type="paragraph" w:customStyle="1" w:styleId="MarginIcons">
    <w:name w:val="Margin Icons"/>
    <w:basedOn w:val="BodyText"/>
    <w:rsid w:val="001E6AA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E6AAA"/>
    <w:rPr>
      <w:rFonts w:ascii="Courier New" w:hAnsi="Courier New"/>
    </w:rPr>
  </w:style>
  <w:style w:type="paragraph" w:customStyle="1" w:styleId="NoteBullet">
    <w:name w:val="Note Bullet"/>
    <w:basedOn w:val="Note"/>
    <w:rsid w:val="001E6AAA"/>
    <w:pPr>
      <w:tabs>
        <w:tab w:val="clear" w:pos="680"/>
      </w:tabs>
      <w:spacing w:before="60" w:after="60"/>
    </w:pPr>
  </w:style>
  <w:style w:type="paragraph" w:customStyle="1" w:styleId="SubHeading2">
    <w:name w:val="SubHeading2"/>
    <w:basedOn w:val="HeadingBase"/>
    <w:rsid w:val="001E6AAA"/>
    <w:pPr>
      <w:spacing w:before="240" w:after="60"/>
    </w:pPr>
    <w:rPr>
      <w:sz w:val="20"/>
    </w:rPr>
  </w:style>
  <w:style w:type="paragraph" w:customStyle="1" w:styleId="SubHeading1">
    <w:name w:val="SubHeading1"/>
    <w:basedOn w:val="HeadingBase"/>
    <w:rsid w:val="001E6AAA"/>
    <w:pPr>
      <w:spacing w:before="240" w:after="60"/>
    </w:pPr>
    <w:rPr>
      <w:color w:val="918585"/>
      <w:sz w:val="22"/>
    </w:rPr>
  </w:style>
  <w:style w:type="paragraph" w:customStyle="1" w:styleId="SideHeading">
    <w:name w:val="Side Heading"/>
    <w:basedOn w:val="HeadingBase"/>
    <w:rsid w:val="001E6AA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E6AAA"/>
    <w:pPr>
      <w:numPr>
        <w:numId w:val="12"/>
      </w:numPr>
    </w:pPr>
  </w:style>
  <w:style w:type="paragraph" w:styleId="PlainText">
    <w:name w:val="Plain Text"/>
    <w:basedOn w:val="Normal"/>
    <w:link w:val="PlainTextChar"/>
    <w:rsid w:val="001E6AAA"/>
    <w:rPr>
      <w:sz w:val="20"/>
    </w:rPr>
  </w:style>
  <w:style w:type="character" w:customStyle="1" w:styleId="PlainTextChar">
    <w:name w:val="Plain Text Char"/>
    <w:basedOn w:val="DefaultParagraphFont"/>
    <w:link w:val="PlainText"/>
    <w:rsid w:val="001E6AA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E6AAA"/>
    <w:rPr>
      <w:b/>
      <w:smallCaps/>
    </w:rPr>
  </w:style>
  <w:style w:type="paragraph" w:customStyle="1" w:styleId="TableListNumber">
    <w:name w:val="Table List Number"/>
    <w:basedOn w:val="ListNumber"/>
    <w:rsid w:val="001E6AAA"/>
    <w:pPr>
      <w:numPr>
        <w:numId w:val="0"/>
      </w:numPr>
    </w:pPr>
  </w:style>
  <w:style w:type="paragraph" w:styleId="TOC4">
    <w:name w:val="toc 4"/>
    <w:basedOn w:val="TOCBase"/>
    <w:next w:val="Normal"/>
    <w:semiHidden/>
    <w:rsid w:val="001E6AAA"/>
    <w:pPr>
      <w:tabs>
        <w:tab w:val="right" w:leader="dot" w:pos="9071"/>
      </w:tabs>
      <w:ind w:left="1701"/>
    </w:pPr>
  </w:style>
  <w:style w:type="paragraph" w:customStyle="1" w:styleId="ListAlpha">
    <w:name w:val="List Alpha"/>
    <w:basedOn w:val="List"/>
    <w:rsid w:val="001E6AAA"/>
    <w:pPr>
      <w:numPr>
        <w:numId w:val="9"/>
      </w:numPr>
    </w:pPr>
  </w:style>
  <w:style w:type="paragraph" w:customStyle="1" w:styleId="ListAlpha2">
    <w:name w:val="List Alpha 2"/>
    <w:basedOn w:val="List2"/>
    <w:rsid w:val="001E6AAA"/>
    <w:pPr>
      <w:numPr>
        <w:numId w:val="8"/>
      </w:numPr>
    </w:pPr>
  </w:style>
  <w:style w:type="paragraph" w:styleId="List2">
    <w:name w:val="List 2"/>
    <w:basedOn w:val="BodyText"/>
    <w:rsid w:val="001E6AAA"/>
    <w:pPr>
      <w:tabs>
        <w:tab w:val="left" w:pos="680"/>
      </w:tabs>
      <w:spacing w:before="60" w:after="60"/>
      <w:ind w:left="680" w:hanging="340"/>
    </w:pPr>
  </w:style>
  <w:style w:type="paragraph" w:styleId="List3">
    <w:name w:val="List 3"/>
    <w:basedOn w:val="BodyText"/>
    <w:rsid w:val="001E6AAA"/>
    <w:pPr>
      <w:tabs>
        <w:tab w:val="left" w:pos="1021"/>
      </w:tabs>
      <w:spacing w:before="60" w:after="60"/>
      <w:ind w:left="1020" w:hanging="340"/>
    </w:pPr>
  </w:style>
  <w:style w:type="paragraph" w:styleId="List4">
    <w:name w:val="List 4"/>
    <w:basedOn w:val="BodyText"/>
    <w:rsid w:val="001E6AAA"/>
    <w:pPr>
      <w:tabs>
        <w:tab w:val="left" w:pos="1361"/>
      </w:tabs>
      <w:spacing w:before="60" w:after="60"/>
      <w:ind w:left="1361" w:hanging="340"/>
    </w:pPr>
  </w:style>
  <w:style w:type="paragraph" w:styleId="List5">
    <w:name w:val="List 5"/>
    <w:basedOn w:val="BodyText"/>
    <w:rsid w:val="001E6AAA"/>
    <w:pPr>
      <w:tabs>
        <w:tab w:val="left" w:pos="1701"/>
      </w:tabs>
      <w:spacing w:before="60" w:after="60"/>
      <w:ind w:left="1701" w:hanging="340"/>
    </w:pPr>
  </w:style>
  <w:style w:type="paragraph" w:styleId="ListBullet3">
    <w:name w:val="List Bullet 3"/>
    <w:basedOn w:val="List3"/>
    <w:rsid w:val="001E6AAA"/>
    <w:pPr>
      <w:numPr>
        <w:numId w:val="15"/>
      </w:numPr>
      <w:tabs>
        <w:tab w:val="clear" w:pos="1021"/>
      </w:tabs>
      <w:ind w:left="1037" w:hanging="357"/>
    </w:pPr>
  </w:style>
  <w:style w:type="paragraph" w:styleId="ListBullet4">
    <w:name w:val="List Bullet 4"/>
    <w:basedOn w:val="List4"/>
    <w:rsid w:val="001E6AAA"/>
    <w:pPr>
      <w:numPr>
        <w:numId w:val="3"/>
      </w:numPr>
    </w:pPr>
  </w:style>
  <w:style w:type="paragraph" w:styleId="ListBullet5">
    <w:name w:val="List Bullet 5"/>
    <w:basedOn w:val="List5"/>
    <w:rsid w:val="001E6AAA"/>
    <w:pPr>
      <w:numPr>
        <w:numId w:val="4"/>
      </w:numPr>
    </w:pPr>
  </w:style>
  <w:style w:type="paragraph" w:styleId="ListContinue2">
    <w:name w:val="List Continue 2"/>
    <w:basedOn w:val="List2"/>
    <w:rsid w:val="001E6AAA"/>
    <w:pPr>
      <w:ind w:firstLine="0"/>
    </w:pPr>
  </w:style>
  <w:style w:type="paragraph" w:styleId="ListContinue3">
    <w:name w:val="List Continue 3"/>
    <w:basedOn w:val="List3"/>
    <w:rsid w:val="001E6AAA"/>
    <w:pPr>
      <w:ind w:left="1021" w:firstLine="0"/>
    </w:pPr>
  </w:style>
  <w:style w:type="paragraph" w:styleId="ListContinue4">
    <w:name w:val="List Continue 4"/>
    <w:basedOn w:val="List4"/>
    <w:rsid w:val="001E6AAA"/>
    <w:pPr>
      <w:ind w:firstLine="0"/>
    </w:pPr>
  </w:style>
  <w:style w:type="paragraph" w:styleId="ListContinue5">
    <w:name w:val="List Continue 5"/>
    <w:basedOn w:val="List5"/>
    <w:rsid w:val="001E6AAA"/>
    <w:pPr>
      <w:ind w:firstLine="0"/>
    </w:pPr>
  </w:style>
  <w:style w:type="paragraph" w:styleId="ListNumber3">
    <w:name w:val="List Number 3"/>
    <w:basedOn w:val="List3"/>
    <w:rsid w:val="001E6AAA"/>
    <w:pPr>
      <w:numPr>
        <w:numId w:val="5"/>
      </w:numPr>
    </w:pPr>
  </w:style>
  <w:style w:type="paragraph" w:styleId="ListNumber4">
    <w:name w:val="List Number 4"/>
    <w:basedOn w:val="List4"/>
    <w:rsid w:val="001E6AAA"/>
    <w:pPr>
      <w:numPr>
        <w:numId w:val="6"/>
      </w:numPr>
    </w:pPr>
  </w:style>
  <w:style w:type="paragraph" w:styleId="ListNumber5">
    <w:name w:val="List Number 5"/>
    <w:basedOn w:val="List5"/>
    <w:rsid w:val="001E6AAA"/>
    <w:pPr>
      <w:numPr>
        <w:numId w:val="7"/>
      </w:numPr>
    </w:pPr>
  </w:style>
  <w:style w:type="paragraph" w:styleId="BlockText">
    <w:name w:val="Block Text"/>
    <w:basedOn w:val="Normal"/>
    <w:rsid w:val="001E6AAA"/>
    <w:pPr>
      <w:spacing w:after="120"/>
      <w:ind w:left="1440" w:right="1440"/>
    </w:pPr>
  </w:style>
  <w:style w:type="character" w:customStyle="1" w:styleId="Subscript">
    <w:name w:val="Subscript"/>
    <w:basedOn w:val="DefaultParagraphFont"/>
    <w:rsid w:val="001E6AAA"/>
    <w:rPr>
      <w:sz w:val="16"/>
      <w:vertAlign w:val="subscript"/>
    </w:rPr>
  </w:style>
  <w:style w:type="character" w:customStyle="1" w:styleId="Superscript">
    <w:name w:val="Superscript"/>
    <w:basedOn w:val="DefaultParagraphFont"/>
    <w:rsid w:val="001E6AAA"/>
    <w:rPr>
      <w:sz w:val="16"/>
      <w:vertAlign w:val="superscript"/>
    </w:rPr>
  </w:style>
  <w:style w:type="character" w:customStyle="1" w:styleId="Symbols">
    <w:name w:val="Symbols"/>
    <w:basedOn w:val="DefaultParagraphFont"/>
    <w:rsid w:val="001E6AAA"/>
    <w:rPr>
      <w:rFonts w:ascii="Symbol" w:hAnsi="Symbol"/>
    </w:rPr>
  </w:style>
  <w:style w:type="character" w:customStyle="1" w:styleId="MenuOptions">
    <w:name w:val="Menu Options"/>
    <w:basedOn w:val="DefaultParagraphFont"/>
    <w:rsid w:val="001E6AAA"/>
    <w:rPr>
      <w:rFonts w:ascii="Arial Narrow" w:hAnsi="Arial Narrow"/>
      <w:smallCaps/>
    </w:rPr>
  </w:style>
  <w:style w:type="character" w:customStyle="1" w:styleId="Buttons">
    <w:name w:val="Buttons"/>
    <w:basedOn w:val="DefaultParagraphFont"/>
    <w:rsid w:val="001E6AAA"/>
    <w:rPr>
      <w:b/>
    </w:rPr>
  </w:style>
  <w:style w:type="character" w:customStyle="1" w:styleId="Underlined">
    <w:name w:val="Underlined"/>
    <w:basedOn w:val="DefaultParagraphFont"/>
    <w:rsid w:val="001E6AAA"/>
    <w:rPr>
      <w:u w:val="single"/>
    </w:rPr>
  </w:style>
  <w:style w:type="paragraph" w:customStyle="1" w:styleId="TableBodyTextRight">
    <w:name w:val="Table Body Text Right"/>
    <w:basedOn w:val="TableBodyText"/>
    <w:rsid w:val="001E6AAA"/>
    <w:pPr>
      <w:widowControl w:val="0"/>
      <w:autoSpaceDE w:val="0"/>
      <w:autoSpaceDN w:val="0"/>
      <w:adjustRightInd w:val="0"/>
      <w:jc w:val="right"/>
    </w:pPr>
    <w:rPr>
      <w:rFonts w:cs="Arial"/>
      <w:szCs w:val="18"/>
    </w:rPr>
  </w:style>
  <w:style w:type="paragraph" w:customStyle="1" w:styleId="CopyrightText">
    <w:name w:val="Copyright Text"/>
    <w:basedOn w:val="BodyText"/>
    <w:rsid w:val="001E6AAA"/>
    <w:rPr>
      <w:sz w:val="18"/>
    </w:rPr>
  </w:style>
  <w:style w:type="paragraph" w:customStyle="1" w:styleId="BodySmallRight">
    <w:name w:val="Body Small Right"/>
    <w:basedOn w:val="BodyTextRight"/>
    <w:rsid w:val="001E6AAA"/>
    <w:rPr>
      <w:sz w:val="18"/>
      <w:szCs w:val="18"/>
    </w:rPr>
  </w:style>
  <w:style w:type="paragraph" w:customStyle="1" w:styleId="MarginEdition">
    <w:name w:val="Margin Edition"/>
    <w:basedOn w:val="MarginNote"/>
    <w:rsid w:val="001E6AAA"/>
    <w:pPr>
      <w:spacing w:before="0" w:after="0"/>
    </w:pPr>
    <w:rPr>
      <w:rFonts w:ascii="Times New Roman" w:hAnsi="Times New Roman"/>
      <w:color w:val="999999"/>
    </w:rPr>
  </w:style>
  <w:style w:type="paragraph" w:customStyle="1" w:styleId="Spacer">
    <w:name w:val="Spacer"/>
    <w:basedOn w:val="Normal"/>
    <w:rsid w:val="001E6AAA"/>
    <w:rPr>
      <w:sz w:val="2"/>
      <w:szCs w:val="2"/>
    </w:rPr>
  </w:style>
  <w:style w:type="character" w:customStyle="1" w:styleId="Small">
    <w:name w:val="Small"/>
    <w:basedOn w:val="DefaultParagraphFont"/>
    <w:rsid w:val="001E6AAA"/>
    <w:rPr>
      <w:sz w:val="16"/>
    </w:rPr>
  </w:style>
  <w:style w:type="paragraph" w:customStyle="1" w:styleId="WideTable">
    <w:name w:val="Wide Table"/>
    <w:basedOn w:val="Normal"/>
    <w:rsid w:val="001E6AAA"/>
    <w:pPr>
      <w:ind w:left="-1418"/>
    </w:pPr>
    <w:rPr>
      <w:sz w:val="2"/>
      <w:szCs w:val="2"/>
    </w:rPr>
  </w:style>
  <w:style w:type="character" w:styleId="PageNumber">
    <w:name w:val="page number"/>
    <w:basedOn w:val="DefaultParagraphFont"/>
    <w:rsid w:val="001E6AAA"/>
  </w:style>
  <w:style w:type="paragraph" w:styleId="Quote">
    <w:name w:val="Quote"/>
    <w:basedOn w:val="Heading1"/>
    <w:link w:val="QuoteChar"/>
    <w:qFormat/>
    <w:rsid w:val="001E6AAA"/>
    <w:rPr>
      <w:b w:val="0"/>
      <w:sz w:val="72"/>
      <w:szCs w:val="72"/>
      <w:lang w:val="en-NZ"/>
    </w:rPr>
  </w:style>
  <w:style w:type="character" w:customStyle="1" w:styleId="QuoteChar">
    <w:name w:val="Quote Char"/>
    <w:basedOn w:val="DefaultParagraphFont"/>
    <w:link w:val="Quote"/>
    <w:rsid w:val="001E6AA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E6AAA"/>
    <w:pPr>
      <w:pageBreakBefore/>
    </w:pPr>
  </w:style>
  <w:style w:type="paragraph" w:customStyle="1" w:styleId="Border">
    <w:name w:val="Border"/>
    <w:basedOn w:val="Normal"/>
    <w:qFormat/>
    <w:rsid w:val="001E6AA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E6AAA"/>
    <w:rPr>
      <w:b/>
      <w:bCs/>
      <w:i/>
      <w:iCs/>
      <w:color w:val="auto"/>
    </w:rPr>
  </w:style>
  <w:style w:type="paragraph" w:styleId="IntenseQuote">
    <w:name w:val="Intense Quote"/>
    <w:basedOn w:val="Normal"/>
    <w:next w:val="Normal"/>
    <w:link w:val="IntenseQuoteChar"/>
    <w:uiPriority w:val="30"/>
    <w:qFormat/>
    <w:rsid w:val="001E6AA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E6AA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E6AAA"/>
    <w:rPr>
      <w:smallCaps/>
      <w:color w:val="auto"/>
      <w:u w:val="single"/>
    </w:rPr>
  </w:style>
  <w:style w:type="character" w:styleId="IntenseReference">
    <w:name w:val="Intense Reference"/>
    <w:basedOn w:val="DefaultParagraphFont"/>
    <w:uiPriority w:val="32"/>
    <w:qFormat/>
    <w:rsid w:val="001E6AAA"/>
    <w:rPr>
      <w:b/>
      <w:bCs/>
      <w:smallCaps/>
      <w:color w:val="auto"/>
      <w:spacing w:val="5"/>
      <w:u w:val="single"/>
    </w:rPr>
  </w:style>
  <w:style w:type="paragraph" w:customStyle="1" w:styleId="2ColumnHeading">
    <w:name w:val="2Column Heading"/>
    <w:basedOn w:val="BodyText"/>
    <w:qFormat/>
    <w:rsid w:val="001E6AAA"/>
    <w:pPr>
      <w:spacing w:after="60"/>
      <w:ind w:left="-2268"/>
    </w:pPr>
    <w:rPr>
      <w:b/>
    </w:rPr>
  </w:style>
  <w:style w:type="paragraph" w:customStyle="1" w:styleId="Heading1TOC">
    <w:name w:val="Heading1 TOC"/>
    <w:basedOn w:val="Normal"/>
    <w:qFormat/>
    <w:rsid w:val="001E6AAA"/>
    <w:pPr>
      <w:spacing w:before="240" w:after="120"/>
    </w:pPr>
    <w:rPr>
      <w:rFonts w:ascii="Times New Roman" w:hAnsi="Times New Roman"/>
      <w:b/>
      <w:sz w:val="32"/>
    </w:rPr>
  </w:style>
  <w:style w:type="paragraph" w:customStyle="1" w:styleId="Heading2TOC">
    <w:name w:val="Heading2 TOC"/>
    <w:basedOn w:val="Normal"/>
    <w:qFormat/>
    <w:rsid w:val="001E6AAA"/>
    <w:pPr>
      <w:spacing w:before="240" w:after="60"/>
    </w:pPr>
    <w:rPr>
      <w:rFonts w:ascii="Times New Roman" w:hAnsi="Times New Roman"/>
      <w:b/>
      <w:sz w:val="28"/>
    </w:rPr>
  </w:style>
  <w:style w:type="character" w:customStyle="1" w:styleId="Underline">
    <w:name w:val="Underline"/>
    <w:basedOn w:val="DefaultParagraphFont"/>
    <w:qFormat/>
    <w:rsid w:val="001E6AAA"/>
    <w:rPr>
      <w:u w:val="single"/>
    </w:rPr>
  </w:style>
  <w:style w:type="paragraph" w:styleId="BalloonText">
    <w:name w:val="Balloon Text"/>
    <w:basedOn w:val="Normal"/>
    <w:link w:val="BalloonTextChar"/>
    <w:rsid w:val="001E6AAA"/>
    <w:rPr>
      <w:rFonts w:ascii="Tahoma" w:hAnsi="Tahoma" w:cs="Tahoma"/>
      <w:sz w:val="16"/>
      <w:szCs w:val="16"/>
    </w:rPr>
  </w:style>
  <w:style w:type="character" w:customStyle="1" w:styleId="BalloonTextChar">
    <w:name w:val="Balloon Text Char"/>
    <w:basedOn w:val="DefaultParagraphFont"/>
    <w:link w:val="BalloonText"/>
    <w:rsid w:val="001E6AA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E6AA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E6AA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2284</Words>
  <Characters>15596</Characters>
  <Application>Microsoft Office Word</Application>
  <DocSecurity>0</DocSecurity>
  <Lines>519</Lines>
  <Paragraphs>329</Paragraphs>
  <ScaleCrop>false</ScaleCrop>
  <Company>Author-it Software Corporation Ltd.</Company>
  <LinksUpToDate>false</LinksUpToDate>
  <CharactersWithSpaces>17789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PSPPROC508A Make procurement decisions</dc:title>
  <dc:subject>Approved</dc:subject>
  <dc:creator>Government Skills Australia</dc:creator>
  <cp:keywords>Revision Number: 2</cp:keywords>
  <dc:description>Copyright © 1996-2007 Author-it Software Corporation Ltd., all rights reserved.</dc:description>
  <cp:lastModifiedBy>Windows User</cp:lastModifiedBy>
  <cp:revision>3</cp:revision>
  <dcterms:created xsi:type="dcterms:W3CDTF">2012-05-26T08:23:00Z</dcterms:created>
  <dcterms:modified xsi:type="dcterms:W3CDTF">2012-05-26T08:23:00Z</dcterms:modified>
</cp:coreProperties>
</file>