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5A9F" w:rsidP="00685A9F">
      <w:pPr>
        <w:pStyle w:val="Title"/>
      </w:pPr>
      <w:r>
        <w:fldChar w:fldCharType="begin"/>
      </w:r>
      <w:r>
        <w:instrText xml:space="preserve"> TITLE   \* MERGEFORMAT </w:instrText>
      </w:r>
      <w:r>
        <w:fldChar w:fldCharType="separate"/>
      </w:r>
      <w:r>
        <w:t>PSPPROC507A Plan for procurement outcomes</w:t>
      </w:r>
      <w:r>
        <w:fldChar w:fldCharType="end"/>
      </w:r>
    </w:p>
    <w:p w:rsidR="00685A9F" w:rsidP="00685A9F">
      <w:pPr>
        <w:pStyle w:val="Version"/>
        <w:sectPr w:rsidSect="007409E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7409EC" w:rsidP="007409EC">
      <w:pPr>
        <w:pStyle w:val="SuperHeading"/>
      </w:pPr>
      <w:r w:rsidRPr="007409EC">
        <w:t>PSPPROC507A Plan for procurement outcomes</w:t>
      </w:r>
    </w:p>
    <w:p w:rsidR="00000000" w:rsidRPr="007409EC" w:rsidP="007409EC">
      <w:pPr>
        <w:pStyle w:val="SuperHeading"/>
      </w:pPr>
    </w:p>
    <w:p w:rsidR="00000000" w:rsidRPr="007409EC" w:rsidP="007409EC">
      <w:pPr>
        <w:pStyle w:val="Heading1"/>
      </w:pPr>
      <w:bookmarkStart w:id="1" w:name="O_411045"/>
      <w:bookmarkEnd w:id="1"/>
      <w:r w:rsidRPr="007409EC">
        <w:t>Modification History</w:t>
      </w:r>
    </w:p>
    <w:p w:rsidR="00000000" w:rsidRPr="007409EC" w:rsidP="007409EC">
      <w:pPr>
        <w:pStyle w:val="BodyText"/>
      </w:pPr>
      <w:r w:rsidRPr="007409EC">
        <w:t>PSPPROC507A Release 2:</w:t>
      </w:r>
      <w:r w:rsidRPr="007409EC">
        <w:tab/>
        <w:t>Layout adjusted. No changes to content.</w:t>
      </w:r>
    </w:p>
    <w:p w:rsidR="00000000" w:rsidRPr="007409EC" w:rsidP="007409EC">
      <w:pPr>
        <w:pStyle w:val="BodyText"/>
      </w:pPr>
      <w:r w:rsidRPr="007409EC">
        <w:t>PSPPROC507A Release 1:</w:t>
      </w:r>
      <w:r w:rsidRPr="007409EC">
        <w:tab/>
        <w:t>Primary release.</w:t>
      </w:r>
    </w:p>
    <w:p w:rsidR="00000000" w:rsidRPr="007409EC" w:rsidP="007409EC">
      <w:pPr>
        <w:pStyle w:val="AllowPageBreak"/>
      </w:pPr>
    </w:p>
    <w:p w:rsidR="00000000" w:rsidRPr="007409EC" w:rsidP="007409EC">
      <w:pPr>
        <w:pStyle w:val="Heading1"/>
      </w:pPr>
      <w:bookmarkStart w:id="2" w:name="O_411041"/>
      <w:bookmarkEnd w:id="2"/>
      <w:r w:rsidRPr="007409EC">
        <w:t>Unit Descriptor</w:t>
      </w:r>
    </w:p>
    <w:p w:rsidR="00000000" w:rsidRPr="007409EC" w:rsidP="007409EC">
      <w:pPr>
        <w:pStyle w:val="BodyText"/>
      </w:pPr>
      <w:r w:rsidRPr="007409EC">
        <w:t xml:space="preserve">This unit covers advanced planning for </w:t>
      </w:r>
      <w:r w:rsidRPr="007409EC">
        <w:t xml:space="preserve">complex procurement within established guidelines, policies and procedures. It includes applying and managing procurement governance arrangements, developing procurement and market strategies, and undertaking analysis to support achievement of procurement </w:t>
      </w:r>
      <w:r w:rsidRPr="007409EC">
        <w:t xml:space="preserve">outcomes through definition of requirements aligned to business needs, consultation with stakeholders, establishment of tender evaluation panels, and documentation of detailed procurement planning. </w:t>
      </w:r>
    </w:p>
    <w:p w:rsidR="00000000" w:rsidRPr="007409EC" w:rsidP="007409EC">
      <w:pPr>
        <w:pStyle w:val="BodyText"/>
      </w:pPr>
      <w:r w:rsidRPr="007409EC">
        <w:t>In practice, planning for procurement outcomes may overla</w:t>
      </w:r>
      <w:r w:rsidRPr="007409EC">
        <w:t>p with other public sector and local government generalist and specialist work activities, such as acting ethically, complying with legislation, providing client service, providing leadership, developing policy, and undertaking negotiations.</w:t>
      </w:r>
    </w:p>
    <w:p w:rsidR="00000000" w:rsidRPr="007409EC" w:rsidP="007409EC">
      <w:pPr>
        <w:pStyle w:val="BodyText"/>
      </w:pPr>
      <w:r w:rsidRPr="007409EC">
        <w:t xml:space="preserve">No licensing, </w:t>
      </w:r>
      <w:r w:rsidRPr="007409EC">
        <w:t>legislative, regulatory or certification requirements apply to this unit at the time of endorsement.</w:t>
      </w:r>
    </w:p>
    <w:p w:rsidR="00000000" w:rsidRPr="007409EC" w:rsidP="007409EC">
      <w:pPr>
        <w:pStyle w:val="AllowPageBreak"/>
      </w:pPr>
    </w:p>
    <w:p w:rsidR="00000000" w:rsidRPr="007409EC" w:rsidP="007409EC">
      <w:pPr>
        <w:pStyle w:val="Heading1"/>
      </w:pPr>
      <w:bookmarkStart w:id="3" w:name="O_411054"/>
      <w:bookmarkEnd w:id="3"/>
      <w:r w:rsidRPr="007409EC">
        <w:t>Application of the Unit</w:t>
      </w:r>
    </w:p>
    <w:p w:rsidR="00000000" w:rsidRPr="007409EC" w:rsidP="007409EC">
      <w:pPr>
        <w:pStyle w:val="BodyText"/>
      </w:pPr>
      <w:r w:rsidRPr="007409EC">
        <w:t>This unit applies to those in specialist procurement and contracting.</w:t>
      </w:r>
    </w:p>
    <w:p w:rsidR="00000000" w:rsidRPr="007409EC" w:rsidP="007409EC">
      <w:pPr>
        <w:pStyle w:val="AllowPageBreak"/>
      </w:pPr>
    </w:p>
    <w:p w:rsidR="00000000" w:rsidRPr="007409EC" w:rsidP="007409EC">
      <w:pPr>
        <w:pStyle w:val="Heading1"/>
      </w:pPr>
      <w:bookmarkStart w:id="4" w:name="O_411046"/>
      <w:bookmarkEnd w:id="4"/>
      <w:r w:rsidRPr="007409EC">
        <w:t>Licensing/Regulatory Information</w:t>
      </w:r>
    </w:p>
    <w:p w:rsidR="00000000" w:rsidRPr="007409EC" w:rsidP="007409EC">
      <w:pPr>
        <w:pStyle w:val="BodyText"/>
      </w:pPr>
      <w:r w:rsidRPr="007409EC">
        <w:t>Not applicable.</w:t>
      </w:r>
    </w:p>
    <w:p w:rsidR="00000000" w:rsidRPr="007409EC" w:rsidP="007409EC">
      <w:pPr>
        <w:pStyle w:val="AllowPageBreak"/>
      </w:pPr>
    </w:p>
    <w:p w:rsidR="00000000" w:rsidRPr="007409EC" w:rsidP="007409EC">
      <w:pPr>
        <w:pStyle w:val="Heading1"/>
      </w:pPr>
      <w:bookmarkStart w:id="5" w:name="O_411044"/>
      <w:bookmarkEnd w:id="5"/>
      <w:r w:rsidRPr="007409EC">
        <w:t>Pre-Requisites</w:t>
      </w:r>
    </w:p>
    <w:p w:rsidR="00000000" w:rsidRPr="007409EC" w:rsidP="007409EC">
      <w:pPr>
        <w:pStyle w:val="BodyText"/>
      </w:pPr>
      <w:r w:rsidRPr="007409EC">
        <w:t>Not applicable.</w:t>
      </w:r>
    </w:p>
    <w:p w:rsidR="00000000" w:rsidRPr="007409EC" w:rsidP="007409EC">
      <w:pPr>
        <w:pStyle w:val="AllowPageBreak"/>
      </w:pPr>
    </w:p>
    <w:p w:rsidR="00000000" w:rsidRPr="007409EC" w:rsidP="007409EC">
      <w:pPr>
        <w:pStyle w:val="Heading1"/>
      </w:pPr>
      <w:bookmarkStart w:id="6" w:name="O_411049"/>
      <w:bookmarkEnd w:id="6"/>
      <w:r w:rsidRPr="007409EC">
        <w:t>Employability Skills Information</w:t>
      </w:r>
    </w:p>
    <w:p w:rsidR="00000000" w:rsidRPr="007409EC" w:rsidP="007409EC">
      <w:pPr>
        <w:pStyle w:val="BodyText"/>
      </w:pPr>
      <w:r w:rsidRPr="007409EC">
        <w:t>This unit contains employability skills.</w:t>
      </w:r>
    </w:p>
    <w:p w:rsidR="00000000" w:rsidRPr="007409EC" w:rsidP="007409EC">
      <w:pPr>
        <w:pStyle w:val="AllowPageBreak"/>
      </w:pPr>
    </w:p>
    <w:p w:rsidR="00000000" w:rsidRPr="007409EC" w:rsidP="007409EC">
      <w:pPr>
        <w:pStyle w:val="Heading1"/>
      </w:pPr>
      <w:bookmarkStart w:id="7" w:name="O_411050"/>
      <w:bookmarkEnd w:id="7"/>
      <w:r w:rsidRPr="007409EC">
        <w:t>Elements and Performance Criteria Pre-Content</w:t>
      </w:r>
    </w:p>
    <w:tbl>
      <w:tblPr>
        <w:tblW w:w="0" w:type="auto"/>
        <w:tblLayout w:type="fixed"/>
        <w:tblCellMar>
          <w:left w:w="62" w:type="dxa"/>
          <w:right w:w="62" w:type="dxa"/>
        </w:tblCellMar>
        <w:tblLook w:val="0000"/>
      </w:tblPr>
      <w:tblGrid>
        <w:gridCol w:w="2579"/>
        <w:gridCol w:w="5943"/>
      </w:tblGrid>
      <w:tr w:rsidTr="00685A9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t>Elements describe the essential outcomes of a unit of competency.</w:t>
            </w:r>
          </w:p>
        </w:tc>
        <w:tc>
          <w:tcPr>
            <w:tcW w:w="5943" w:type="dxa"/>
            <w:tcBorders>
              <w:top w:val="nil"/>
              <w:left w:val="nil"/>
              <w:bottom w:val="nil"/>
              <w:right w:val="nil"/>
            </w:tcBorders>
            <w:tcMar>
              <w:top w:w="0" w:type="dxa"/>
              <w:left w:w="62" w:type="dxa"/>
              <w:bottom w:w="0" w:type="dxa"/>
              <w:right w:w="62" w:type="dxa"/>
            </w:tcMar>
          </w:tcPr>
          <w:p w:rsidR="00000000" w:rsidRPr="007409EC" w:rsidP="007409EC">
            <w:pPr>
              <w:pStyle w:val="BodyText"/>
            </w:pPr>
            <w:r w:rsidRPr="007409EC">
              <w:t>Performance criteria describe the performance needed to demonstrate achievement of the element. Where</w:t>
            </w:r>
            <w:r w:rsidRPr="007409EC">
              <w:rPr>
                <w:rStyle w:val="BoldandItalics"/>
              </w:rPr>
              <w:t xml:space="preserve"> bold italicised</w:t>
            </w:r>
            <w:r w:rsidRPr="007409EC">
              <w:t xml:space="preserve"> text is used, further information is detailed in the range statement. As</w:t>
            </w:r>
            <w:r w:rsidRPr="007409EC">
              <w:t>sessment of performance is to be consistent with the evidence guide.</w:t>
            </w:r>
          </w:p>
        </w:tc>
      </w:tr>
    </w:tbl>
    <w:p w:rsidR="00000000" w:rsidRPr="007409EC" w:rsidP="007409EC">
      <w:pPr>
        <w:pStyle w:val="BodyText"/>
      </w:pPr>
    </w:p>
    <w:p w:rsidR="00000000" w:rsidRPr="007409EC" w:rsidP="007409EC">
      <w:pPr>
        <w:pStyle w:val="AllowPageBreak"/>
      </w:pPr>
    </w:p>
    <w:p w:rsidR="00000000" w:rsidRPr="007409EC" w:rsidP="007409EC">
      <w:pPr>
        <w:pStyle w:val="Heading1"/>
      </w:pPr>
      <w:bookmarkStart w:id="8" w:name="O_411051"/>
      <w:bookmarkEnd w:id="8"/>
      <w:r w:rsidRPr="007409EC">
        <w:t>Elements and Performance Criteria</w:t>
      </w:r>
    </w:p>
    <w:tbl>
      <w:tblPr>
        <w:tblW w:w="0" w:type="auto"/>
        <w:tblLayout w:type="fixed"/>
        <w:tblCellMar>
          <w:left w:w="62" w:type="dxa"/>
          <w:right w:w="62" w:type="dxa"/>
        </w:tblCellMar>
        <w:tblLook w:val="0000"/>
      </w:tblPr>
      <w:tblGrid>
        <w:gridCol w:w="2579"/>
        <w:gridCol w:w="5943"/>
      </w:tblGrid>
      <w:tr w:rsidTr="00685A9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409EC">
            <w:pPr>
              <w:pStyle w:val="List"/>
              <w:rPr>
                <w:lang w:val="en-NZ"/>
              </w:rPr>
            </w:pPr>
            <w:r w:rsidRPr="007409EC">
              <w:rPr>
                <w:rStyle w:val="SpecialBold"/>
              </w:rPr>
              <w:t>1.</w:t>
            </w:r>
            <w:r w:rsidRPr="007409EC">
              <w:rPr>
                <w:rStyle w:val="SpecialBold"/>
              </w:rPr>
              <w:tab/>
              <w:t>Establish, apply and manage procurement governance arrangements</w:t>
            </w:r>
          </w:p>
        </w:tc>
        <w:tc>
          <w:tcPr>
            <w:tcW w:w="5943" w:type="dxa"/>
            <w:tcBorders>
              <w:top w:val="nil"/>
              <w:left w:val="nil"/>
              <w:bottom w:val="nil"/>
              <w:right w:val="nil"/>
            </w:tcBorders>
            <w:tcMar>
              <w:top w:w="0" w:type="dxa"/>
              <w:left w:w="62" w:type="dxa"/>
              <w:bottom w:w="0" w:type="dxa"/>
              <w:right w:w="62" w:type="dxa"/>
            </w:tcMar>
          </w:tcPr>
          <w:p w:rsidR="00000000" w:rsidRPr="007409EC" w:rsidP="007409EC">
            <w:pPr>
              <w:pStyle w:val="List"/>
            </w:pPr>
            <w:r w:rsidRPr="007409EC">
              <w:t>1.1.</w:t>
            </w:r>
            <w:r w:rsidRPr="007409EC">
              <w:tab/>
              <w:t xml:space="preserve">Contribution is made to </w:t>
            </w:r>
            <w:r w:rsidRPr="007409EC">
              <w:rPr>
                <w:rStyle w:val="BoldandItalics"/>
              </w:rPr>
              <w:t>forward procurement planning</w:t>
            </w:r>
            <w:r w:rsidRPr="007409EC">
              <w:t xml:space="preserve"> in accordance with jurisdictional requirements and in alignment with organisational goals and objectives.</w:t>
            </w:r>
          </w:p>
          <w:p w:rsidR="00000000" w:rsidRPr="007409EC" w:rsidP="007409EC">
            <w:pPr>
              <w:pStyle w:val="List"/>
            </w:pPr>
            <w:r w:rsidRPr="007409EC">
              <w:t>1.2.</w:t>
            </w:r>
            <w:r w:rsidRPr="007409EC">
              <w:tab/>
              <w:t xml:space="preserve">Organisational </w:t>
            </w:r>
            <w:r w:rsidRPr="007409EC">
              <w:rPr>
                <w:rStyle w:val="BoldandItalics"/>
              </w:rPr>
              <w:t>financial and budgetary framework</w:t>
            </w:r>
            <w:r w:rsidRPr="007409EC">
              <w:t xml:space="preserve"> is effectively applied to procurement.</w:t>
            </w:r>
          </w:p>
          <w:p w:rsidR="00000000" w:rsidRPr="007409EC" w:rsidP="007409EC">
            <w:pPr>
              <w:pStyle w:val="List"/>
            </w:pPr>
            <w:r w:rsidRPr="007409EC">
              <w:t>1.3.</w:t>
            </w:r>
            <w:r w:rsidRPr="007409EC">
              <w:tab/>
            </w:r>
            <w:r w:rsidRPr="007409EC">
              <w:rPr>
                <w:rStyle w:val="BoldandItalics"/>
              </w:rPr>
              <w:t>Organisational objectives</w:t>
            </w:r>
            <w:r w:rsidRPr="007409EC">
              <w:t>, policies and goals are r</w:t>
            </w:r>
            <w:r w:rsidRPr="007409EC">
              <w:t>esearched and applied.</w:t>
            </w:r>
          </w:p>
          <w:p w:rsidR="00000000" w:rsidRPr="007409EC" w:rsidP="007409EC">
            <w:pPr>
              <w:pStyle w:val="List"/>
            </w:pPr>
            <w:r w:rsidRPr="007409EC">
              <w:t>1.4.</w:t>
            </w:r>
            <w:r w:rsidRPr="007409EC">
              <w:tab/>
              <w:t xml:space="preserve">Relevant interacting </w:t>
            </w:r>
            <w:r w:rsidRPr="007409EC">
              <w:rPr>
                <w:rStyle w:val="BoldandItalics"/>
              </w:rPr>
              <w:t>legislative</w:t>
            </w:r>
            <w:r w:rsidRPr="007409EC">
              <w:t xml:space="preserve">, </w:t>
            </w:r>
            <w:r w:rsidRPr="007409EC">
              <w:rPr>
                <w:rStyle w:val="BoldandItalics"/>
              </w:rPr>
              <w:t>policy and probity requirements</w:t>
            </w:r>
            <w:r w:rsidRPr="007409EC">
              <w:t xml:space="preserve"> are identified and applied to the proposed procurement activity.</w:t>
            </w:r>
          </w:p>
          <w:p w:rsidR="00000000" w:rsidRPr="007409EC" w:rsidP="007409EC">
            <w:pPr>
              <w:pStyle w:val="List"/>
            </w:pPr>
            <w:r w:rsidRPr="007409EC">
              <w:t>1.5.</w:t>
            </w:r>
            <w:r w:rsidRPr="007409EC">
              <w:tab/>
              <w:t>Procurement needs are developed and/or assessed, aligned to organisational objectives, busin</w:t>
            </w:r>
            <w:r w:rsidRPr="007409EC">
              <w:t>ess plan and appropriate justification of estimated procurement expenditure.</w:t>
            </w:r>
          </w:p>
          <w:p w:rsidR="00000000" w:rsidRPr="007409EC" w:rsidP="007409EC">
            <w:pPr>
              <w:pStyle w:val="List"/>
            </w:pPr>
            <w:r w:rsidRPr="007409EC">
              <w:t>1.6.</w:t>
            </w:r>
            <w:r w:rsidRPr="007409EC">
              <w:tab/>
            </w:r>
            <w:r w:rsidRPr="007409EC">
              <w:rPr>
                <w:rStyle w:val="BoldandItalics"/>
              </w:rPr>
              <w:t>Alternatives</w:t>
            </w:r>
            <w:r w:rsidRPr="007409EC">
              <w:t xml:space="preserve"> to procurement action are proposed where appropriate.</w:t>
            </w:r>
          </w:p>
          <w:p w:rsidR="00000000" w:rsidP="007409EC">
            <w:pPr>
              <w:pStyle w:val="List"/>
              <w:rPr>
                <w:lang w:val="en-NZ"/>
              </w:rPr>
            </w:pPr>
            <w:r w:rsidRPr="007409EC">
              <w:t>1.7.</w:t>
            </w:r>
            <w:r w:rsidRPr="007409EC">
              <w:tab/>
            </w:r>
            <w:r w:rsidRPr="007409EC">
              <w:rPr>
                <w:rStyle w:val="BoldandItalics"/>
              </w:rPr>
              <w:t>Probity principles</w:t>
            </w:r>
            <w:r w:rsidRPr="007409EC">
              <w:t xml:space="preserve"> are applied and managed when planning procurement activities.</w:t>
            </w:r>
          </w:p>
        </w:tc>
      </w:tr>
      <w:tr w:rsidTr="00685A9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409EC">
            <w:pPr>
              <w:pStyle w:val="List"/>
              <w:rPr>
                <w:lang w:val="en-NZ"/>
              </w:rPr>
            </w:pPr>
            <w:r w:rsidRPr="007409EC">
              <w:rPr>
                <w:rStyle w:val="SpecialBold"/>
              </w:rPr>
              <w:t>2.</w:t>
            </w:r>
            <w:r w:rsidRPr="007409EC">
              <w:rPr>
                <w:rStyle w:val="SpecialBold"/>
              </w:rPr>
              <w:tab/>
              <w:t>Identify, consult</w:t>
            </w:r>
            <w:r w:rsidRPr="007409EC">
              <w:rPr>
                <w:rStyle w:val="SpecialBold"/>
              </w:rPr>
              <w:t xml:space="preserve"> with and manage procurement stakeholders</w:t>
            </w:r>
          </w:p>
        </w:tc>
        <w:tc>
          <w:tcPr>
            <w:tcW w:w="5943" w:type="dxa"/>
            <w:tcBorders>
              <w:top w:val="nil"/>
              <w:left w:val="nil"/>
              <w:bottom w:val="nil"/>
              <w:right w:val="nil"/>
            </w:tcBorders>
            <w:tcMar>
              <w:top w:w="0" w:type="dxa"/>
              <w:left w:w="62" w:type="dxa"/>
              <w:bottom w:w="0" w:type="dxa"/>
              <w:right w:w="62" w:type="dxa"/>
            </w:tcMar>
          </w:tcPr>
          <w:p w:rsidR="00000000" w:rsidRPr="007409EC" w:rsidP="007409EC">
            <w:pPr>
              <w:pStyle w:val="List"/>
            </w:pPr>
            <w:r w:rsidRPr="007409EC">
              <w:t>2.1.</w:t>
            </w:r>
            <w:r w:rsidRPr="007409EC">
              <w:tab/>
              <w:t xml:space="preserve">Internal and external </w:t>
            </w:r>
            <w:r w:rsidRPr="007409EC">
              <w:rPr>
                <w:rStyle w:val="BoldandItalics"/>
              </w:rPr>
              <w:t>stakeholders</w:t>
            </w:r>
            <w:r w:rsidRPr="007409EC">
              <w:t xml:space="preserve"> for procurement activities are identified.</w:t>
            </w:r>
          </w:p>
          <w:p w:rsidR="00000000" w:rsidRPr="007409EC" w:rsidP="007409EC">
            <w:pPr>
              <w:pStyle w:val="List"/>
            </w:pPr>
            <w:r w:rsidRPr="007409EC">
              <w:t>2.2.</w:t>
            </w:r>
            <w:r w:rsidRPr="007409EC">
              <w:tab/>
              <w:t>Strategies are developed to effectively gather information from and distribute information to procurement stakeholders through</w:t>
            </w:r>
            <w:r w:rsidRPr="007409EC">
              <w:t>out the procurement process.</w:t>
            </w:r>
          </w:p>
          <w:p w:rsidR="00000000" w:rsidRPr="007409EC" w:rsidP="007409EC">
            <w:pPr>
              <w:pStyle w:val="List"/>
            </w:pPr>
            <w:r w:rsidRPr="007409EC">
              <w:t>2.3.</w:t>
            </w:r>
            <w:r w:rsidRPr="007409EC">
              <w:tab/>
              <w:t xml:space="preserve">Stakeholders are informed and educated on the concept of </w:t>
            </w:r>
            <w:r w:rsidRPr="007409EC">
              <w:rPr>
                <w:rStyle w:val="BoldandItalics"/>
              </w:rPr>
              <w:t>value for money</w:t>
            </w:r>
            <w:r w:rsidRPr="007409EC">
              <w:t>.</w:t>
            </w:r>
          </w:p>
          <w:p w:rsidR="00000000" w:rsidP="007409EC">
            <w:pPr>
              <w:pStyle w:val="List"/>
              <w:rPr>
                <w:lang w:val="en-NZ"/>
              </w:rPr>
            </w:pPr>
            <w:r w:rsidRPr="007409EC">
              <w:t>2.4.</w:t>
            </w:r>
            <w:r w:rsidRPr="007409EC">
              <w:tab/>
              <w:t>Strategies are developed for the ongoing consideration and management of key stakeholders.</w:t>
            </w:r>
          </w:p>
        </w:tc>
      </w:tr>
      <w:tr w:rsidTr="00685A9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409EC">
            <w:pPr>
              <w:pStyle w:val="List"/>
              <w:rPr>
                <w:lang w:val="en-NZ"/>
              </w:rPr>
            </w:pPr>
            <w:r w:rsidRPr="007409EC">
              <w:rPr>
                <w:rStyle w:val="SpecialBold"/>
              </w:rPr>
              <w:t>3.</w:t>
            </w:r>
            <w:r w:rsidRPr="007409EC">
              <w:rPr>
                <w:rStyle w:val="SpecialBold"/>
              </w:rPr>
              <w:tab/>
              <w:t xml:space="preserve">Conduct market research and develop appropriate </w:t>
            </w:r>
            <w:r w:rsidRPr="007409EC">
              <w:rPr>
                <w:rStyle w:val="SpecialBold"/>
              </w:rPr>
              <w:t>strategies to approach the market</w:t>
            </w:r>
          </w:p>
        </w:tc>
        <w:tc>
          <w:tcPr>
            <w:tcW w:w="5943" w:type="dxa"/>
            <w:tcBorders>
              <w:top w:val="nil"/>
              <w:left w:val="nil"/>
              <w:bottom w:val="nil"/>
              <w:right w:val="nil"/>
            </w:tcBorders>
            <w:tcMar>
              <w:top w:w="0" w:type="dxa"/>
              <w:left w:w="62" w:type="dxa"/>
              <w:bottom w:w="0" w:type="dxa"/>
              <w:right w:w="62" w:type="dxa"/>
            </w:tcMar>
          </w:tcPr>
          <w:p w:rsidR="00000000" w:rsidRPr="007409EC" w:rsidP="007409EC">
            <w:pPr>
              <w:pStyle w:val="List"/>
            </w:pPr>
            <w:r w:rsidRPr="007409EC">
              <w:t>3.1.</w:t>
            </w:r>
            <w:r w:rsidRPr="007409EC">
              <w:tab/>
            </w:r>
            <w:r w:rsidRPr="007409EC">
              <w:rPr>
                <w:rStyle w:val="BoldandItalics"/>
              </w:rPr>
              <w:t>Market research and analysis</w:t>
            </w:r>
            <w:r w:rsidRPr="007409EC">
              <w:t xml:space="preserve"> are conducted.</w:t>
            </w:r>
          </w:p>
          <w:p w:rsidR="00000000" w:rsidRPr="007409EC" w:rsidP="007409EC">
            <w:pPr>
              <w:pStyle w:val="List"/>
            </w:pPr>
            <w:r w:rsidRPr="007409EC">
              <w:t>3.2.</w:t>
            </w:r>
            <w:r w:rsidRPr="007409EC">
              <w:tab/>
              <w:t>Strengths and weaknesses of the market are identified.</w:t>
            </w:r>
          </w:p>
          <w:p w:rsidR="00000000" w:rsidP="007409EC">
            <w:pPr>
              <w:pStyle w:val="List"/>
              <w:rPr>
                <w:lang w:val="en-NZ"/>
              </w:rPr>
            </w:pPr>
            <w:r w:rsidRPr="007409EC">
              <w:t>3.3.</w:t>
            </w:r>
            <w:r w:rsidRPr="007409EC">
              <w:tab/>
              <w:t xml:space="preserve">Appropriate </w:t>
            </w:r>
            <w:r w:rsidRPr="007409EC">
              <w:rPr>
                <w:rStyle w:val="BoldandItalics"/>
              </w:rPr>
              <w:t>procurement options</w:t>
            </w:r>
            <w:r w:rsidRPr="007409EC">
              <w:t xml:space="preserve"> and </w:t>
            </w:r>
            <w:r w:rsidRPr="007409EC">
              <w:rPr>
                <w:rStyle w:val="BoldandItalics"/>
              </w:rPr>
              <w:t>procurement methods</w:t>
            </w:r>
            <w:r w:rsidRPr="007409EC">
              <w:t xml:space="preserve"> are determined for approaching the market, taking in</w:t>
            </w:r>
            <w:r w:rsidRPr="007409EC">
              <w:t>to account relevant jurisdictional and organisational policy requirements.</w:t>
            </w:r>
          </w:p>
        </w:tc>
      </w:tr>
      <w:tr w:rsidTr="00685A9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409EC">
            <w:pPr>
              <w:pStyle w:val="List"/>
              <w:rPr>
                <w:lang w:val="en-NZ"/>
              </w:rPr>
            </w:pPr>
            <w:r w:rsidRPr="007409EC">
              <w:rPr>
                <w:rStyle w:val="SpecialBold"/>
              </w:rPr>
              <w:t>4.</w:t>
            </w:r>
            <w:r w:rsidRPr="007409EC">
              <w:rPr>
                <w:rStyle w:val="SpecialBold"/>
              </w:rPr>
              <w:tab/>
              <w:t>Identify, source and manage resources to conduct procurement processes</w:t>
            </w:r>
          </w:p>
        </w:tc>
        <w:tc>
          <w:tcPr>
            <w:tcW w:w="5943" w:type="dxa"/>
            <w:tcBorders>
              <w:top w:val="nil"/>
              <w:left w:val="nil"/>
              <w:bottom w:val="nil"/>
              <w:right w:val="nil"/>
            </w:tcBorders>
            <w:tcMar>
              <w:top w:w="0" w:type="dxa"/>
              <w:left w:w="62" w:type="dxa"/>
              <w:bottom w:w="0" w:type="dxa"/>
              <w:right w:w="62" w:type="dxa"/>
            </w:tcMar>
          </w:tcPr>
          <w:p w:rsidR="00000000" w:rsidRPr="007409EC" w:rsidP="007409EC">
            <w:pPr>
              <w:pStyle w:val="List"/>
            </w:pPr>
            <w:r w:rsidRPr="007409EC">
              <w:t>4.1.</w:t>
            </w:r>
            <w:r w:rsidRPr="007409EC">
              <w:tab/>
              <w:t>Financial and budgetary resources required to effectively conduct procurement processes are identifie</w:t>
            </w:r>
            <w:r w:rsidRPr="007409EC">
              <w:t>d, sourced and managed.</w:t>
            </w:r>
          </w:p>
          <w:p w:rsidR="00000000" w:rsidRPr="007409EC" w:rsidP="007409EC">
            <w:pPr>
              <w:pStyle w:val="List"/>
            </w:pPr>
            <w:r w:rsidRPr="007409EC">
              <w:t>4.2.</w:t>
            </w:r>
            <w:r w:rsidRPr="007409EC">
              <w:tab/>
              <w:t xml:space="preserve">Technical and procurement expertise required to effectively conduct procurement processes is identified, sourced and managed, including the establishment of </w:t>
            </w:r>
            <w:r w:rsidRPr="007409EC">
              <w:rPr>
                <w:rStyle w:val="BoldandItalics"/>
              </w:rPr>
              <w:t>tender evaluation panel</w:t>
            </w:r>
            <w:r w:rsidRPr="007409EC">
              <w:t xml:space="preserve"> or working group.</w:t>
            </w:r>
          </w:p>
          <w:p w:rsidR="00000000" w:rsidRPr="007409EC" w:rsidP="007409EC">
            <w:pPr>
              <w:pStyle w:val="List"/>
            </w:pPr>
            <w:r w:rsidRPr="007409EC">
              <w:t>4.3.</w:t>
            </w:r>
            <w:r w:rsidRPr="007409EC">
              <w:tab/>
            </w:r>
            <w:r w:rsidRPr="007409EC">
              <w:t>Appropriate structures and processes to the conduct of the procurement are determined and applied, including operation of the tender evaluation panel or working group.</w:t>
            </w:r>
          </w:p>
          <w:p w:rsidR="00000000" w:rsidP="007409EC">
            <w:pPr>
              <w:pStyle w:val="List"/>
              <w:rPr>
                <w:lang w:val="en-NZ"/>
              </w:rPr>
            </w:pPr>
            <w:r w:rsidRPr="007409EC">
              <w:t>4.4.</w:t>
            </w:r>
            <w:r w:rsidRPr="007409EC">
              <w:tab/>
              <w:t>Appropriate lead times for conducting procurement processes are planned and communi</w:t>
            </w:r>
            <w:r w:rsidRPr="007409EC">
              <w:t>cated to stakeholders.</w:t>
            </w:r>
          </w:p>
        </w:tc>
      </w:tr>
      <w:tr w:rsidTr="00685A9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409EC">
            <w:pPr>
              <w:pStyle w:val="List"/>
              <w:rPr>
                <w:lang w:val="en-NZ"/>
              </w:rPr>
            </w:pPr>
            <w:r w:rsidRPr="007409EC">
              <w:rPr>
                <w:rStyle w:val="SpecialBold"/>
              </w:rPr>
              <w:t>5.</w:t>
            </w:r>
            <w:r w:rsidRPr="007409EC">
              <w:rPr>
                <w:rStyle w:val="SpecialBold"/>
              </w:rPr>
              <w:tab/>
              <w:t>Define procurement specifications and requirements</w:t>
            </w:r>
          </w:p>
        </w:tc>
        <w:tc>
          <w:tcPr>
            <w:tcW w:w="5943" w:type="dxa"/>
            <w:tcBorders>
              <w:top w:val="nil"/>
              <w:left w:val="nil"/>
              <w:bottom w:val="nil"/>
              <w:right w:val="nil"/>
            </w:tcBorders>
            <w:tcMar>
              <w:top w:w="0" w:type="dxa"/>
              <w:left w:w="62" w:type="dxa"/>
              <w:bottom w:w="0" w:type="dxa"/>
              <w:right w:w="62" w:type="dxa"/>
            </w:tcMar>
          </w:tcPr>
          <w:p w:rsidR="00000000" w:rsidRPr="007409EC" w:rsidP="007409EC">
            <w:pPr>
              <w:pStyle w:val="List"/>
            </w:pPr>
            <w:r w:rsidRPr="007409EC">
              <w:t>5.1.</w:t>
            </w:r>
            <w:r w:rsidRPr="007409EC">
              <w:tab/>
              <w:t>Procurement requirements are aligned with organisational objectives and business plans and are realistic in terms of the capacity of the market to supply.</w:t>
            </w:r>
          </w:p>
          <w:p w:rsidR="00000000" w:rsidRPr="007409EC" w:rsidP="007409EC">
            <w:pPr>
              <w:pStyle w:val="List"/>
            </w:pPr>
            <w:r w:rsidRPr="007409EC">
              <w:t>5.2.</w:t>
            </w:r>
            <w:r w:rsidRPr="007409EC">
              <w:tab/>
              <w:t>Statements of</w:t>
            </w:r>
            <w:r w:rsidRPr="007409EC">
              <w:t xml:space="preserve"> requirements and specifications that meet business needs of the organisation are developed and/or critically assessed.</w:t>
            </w:r>
          </w:p>
          <w:p w:rsidR="00000000" w:rsidRPr="007409EC" w:rsidP="007409EC">
            <w:pPr>
              <w:pStyle w:val="List"/>
            </w:pPr>
            <w:r w:rsidRPr="007409EC">
              <w:t>5.3.</w:t>
            </w:r>
            <w:r w:rsidRPr="007409EC">
              <w:tab/>
              <w:t>Previous procurements are reviewed and stakeholders consulted to inform and define the specifications.</w:t>
            </w:r>
          </w:p>
          <w:p w:rsidR="00000000" w:rsidP="007409EC">
            <w:pPr>
              <w:pStyle w:val="List"/>
              <w:rPr>
                <w:lang w:val="en-NZ"/>
              </w:rPr>
            </w:pPr>
            <w:r w:rsidRPr="007409EC">
              <w:t>5.4.</w:t>
            </w:r>
            <w:r w:rsidRPr="007409EC">
              <w:tab/>
              <w:t>Viability of specificat</w:t>
            </w:r>
            <w:r w:rsidRPr="007409EC">
              <w:t xml:space="preserve">ions are explored to ensure </w:t>
            </w:r>
            <w:r w:rsidRPr="007409EC">
              <w:rPr>
                <w:rStyle w:val="BoldandItalics"/>
              </w:rPr>
              <w:t>risks</w:t>
            </w:r>
            <w:r w:rsidRPr="007409EC">
              <w:t xml:space="preserve"> and </w:t>
            </w:r>
            <w:r w:rsidRPr="007409EC">
              <w:rPr>
                <w:rStyle w:val="BoldandItalics"/>
              </w:rPr>
              <w:t>whole</w:t>
            </w:r>
            <w:r w:rsidRPr="007409EC">
              <w:t>-</w:t>
            </w:r>
            <w:r w:rsidRPr="007409EC">
              <w:rPr>
                <w:rStyle w:val="BoldandItalics"/>
              </w:rPr>
              <w:t>of</w:t>
            </w:r>
            <w:r w:rsidRPr="007409EC">
              <w:t>-</w:t>
            </w:r>
            <w:r w:rsidRPr="007409EC">
              <w:rPr>
                <w:rStyle w:val="BoldandItalics"/>
              </w:rPr>
              <w:t>life costs and benefits</w:t>
            </w:r>
            <w:r w:rsidRPr="007409EC">
              <w:t xml:space="preserve"> are identified and to support value for money.</w:t>
            </w:r>
          </w:p>
        </w:tc>
      </w:tr>
      <w:tr w:rsidTr="00685A9F">
        <w:tblPrEx>
          <w:tblW w:w="0" w:type="auto"/>
          <w:tblLayout w:type="fixed"/>
          <w:tblCellMar>
            <w:left w:w="62" w:type="dxa"/>
            <w:right w:w="62" w:type="dxa"/>
          </w:tblCellMar>
          <w:tblLook w:val="0000"/>
        </w:tblPrEx>
        <w:tc>
          <w:tcPr>
            <w:tcW w:w="2579" w:type="dxa"/>
            <w:tcBorders>
              <w:top w:val="nil"/>
              <w:left w:val="nil"/>
              <w:bottom w:val="nil"/>
              <w:right w:val="nil"/>
            </w:tcBorders>
            <w:tcMar>
              <w:top w:w="0" w:type="dxa"/>
              <w:left w:w="62" w:type="dxa"/>
              <w:bottom w:w="0" w:type="dxa"/>
              <w:right w:w="62" w:type="dxa"/>
            </w:tcMar>
          </w:tcPr>
          <w:p w:rsidR="00000000" w:rsidP="007409EC">
            <w:pPr>
              <w:pStyle w:val="List"/>
              <w:rPr>
                <w:lang w:val="en-NZ"/>
              </w:rPr>
            </w:pPr>
            <w:r w:rsidRPr="007409EC">
              <w:rPr>
                <w:rStyle w:val="SpecialBold"/>
              </w:rPr>
              <w:t>6.</w:t>
            </w:r>
            <w:r w:rsidRPr="007409EC">
              <w:rPr>
                <w:rStyle w:val="SpecialBold"/>
              </w:rPr>
              <w:tab/>
              <w:t>Undertake detailed procurement planning</w:t>
            </w:r>
          </w:p>
        </w:tc>
        <w:tc>
          <w:tcPr>
            <w:tcW w:w="5943" w:type="dxa"/>
            <w:tcBorders>
              <w:top w:val="nil"/>
              <w:left w:val="nil"/>
              <w:bottom w:val="nil"/>
              <w:right w:val="nil"/>
            </w:tcBorders>
            <w:tcMar>
              <w:top w:w="0" w:type="dxa"/>
              <w:left w:w="62" w:type="dxa"/>
              <w:bottom w:w="0" w:type="dxa"/>
              <w:right w:w="62" w:type="dxa"/>
            </w:tcMar>
          </w:tcPr>
          <w:p w:rsidR="00000000" w:rsidRPr="007409EC" w:rsidP="007409EC">
            <w:pPr>
              <w:pStyle w:val="List"/>
            </w:pPr>
            <w:r w:rsidRPr="007409EC">
              <w:t>6.1.</w:t>
            </w:r>
            <w:r w:rsidRPr="007409EC">
              <w:tab/>
              <w:t>Stakeholders are assisted to make meaningful contributions to procurement plans.</w:t>
            </w:r>
          </w:p>
          <w:p w:rsidR="00000000" w:rsidRPr="007409EC" w:rsidP="007409EC">
            <w:pPr>
              <w:pStyle w:val="List"/>
            </w:pPr>
            <w:r w:rsidRPr="007409EC">
              <w:t>6.2.</w:t>
            </w:r>
            <w:r w:rsidRPr="007409EC">
              <w:tab/>
              <w:t>Pro</w:t>
            </w:r>
            <w:r w:rsidRPr="007409EC">
              <w:t xml:space="preserve">curement </w:t>
            </w:r>
            <w:r w:rsidRPr="007409EC">
              <w:rPr>
                <w:rStyle w:val="BoldandItalics"/>
              </w:rPr>
              <w:t>risk</w:t>
            </w:r>
            <w:r w:rsidRPr="007409EC">
              <w:t xml:space="preserve"> assessments are conducted and appropriate risk management strategies determined.</w:t>
            </w:r>
          </w:p>
          <w:p w:rsidR="00000000" w:rsidRPr="007409EC" w:rsidP="007409EC">
            <w:pPr>
              <w:pStyle w:val="List"/>
            </w:pPr>
            <w:r w:rsidRPr="007409EC">
              <w:t>6.3.</w:t>
            </w:r>
            <w:r w:rsidRPr="007409EC">
              <w:tab/>
              <w:t xml:space="preserve">Jurisdictional and organisational </w:t>
            </w:r>
            <w:r w:rsidRPr="007409EC">
              <w:rPr>
                <w:rStyle w:val="BoldandItalics"/>
              </w:rPr>
              <w:t>legislative</w:t>
            </w:r>
            <w:r w:rsidRPr="007409EC">
              <w:t xml:space="preserve">, </w:t>
            </w:r>
            <w:r w:rsidRPr="007409EC">
              <w:rPr>
                <w:rStyle w:val="BoldandItalics"/>
              </w:rPr>
              <w:t>policy and probity requirements</w:t>
            </w:r>
            <w:r w:rsidRPr="007409EC">
              <w:t xml:space="preserve"> are addressed.</w:t>
            </w:r>
          </w:p>
          <w:p w:rsidR="00000000" w:rsidRPr="007409EC" w:rsidP="007409EC">
            <w:pPr>
              <w:pStyle w:val="List"/>
            </w:pPr>
            <w:r w:rsidRPr="007409EC">
              <w:t>6.4.</w:t>
            </w:r>
            <w:r w:rsidRPr="007409EC">
              <w:tab/>
              <w:t>Procurement process is designed that achieves a value for</w:t>
            </w:r>
            <w:r w:rsidRPr="007409EC">
              <w:t xml:space="preserve"> money outcome, including consideration of </w:t>
            </w:r>
            <w:r w:rsidRPr="007409EC">
              <w:rPr>
                <w:rStyle w:val="BoldandItalics"/>
              </w:rPr>
              <w:t>whole</w:t>
            </w:r>
            <w:r w:rsidRPr="007409EC">
              <w:t>-</w:t>
            </w:r>
            <w:r w:rsidRPr="007409EC">
              <w:rPr>
                <w:rStyle w:val="BoldandItalics"/>
              </w:rPr>
              <w:t>of</w:t>
            </w:r>
            <w:r w:rsidRPr="007409EC">
              <w:t>-</w:t>
            </w:r>
            <w:r w:rsidRPr="007409EC">
              <w:rPr>
                <w:rStyle w:val="BoldandItalics"/>
              </w:rPr>
              <w:t>life costs and benefits</w:t>
            </w:r>
            <w:r w:rsidRPr="007409EC">
              <w:t>.</w:t>
            </w:r>
          </w:p>
          <w:p w:rsidR="00000000" w:rsidRPr="007409EC" w:rsidP="007409EC">
            <w:pPr>
              <w:pStyle w:val="List"/>
            </w:pPr>
            <w:r w:rsidRPr="007409EC">
              <w:t>6.5.</w:t>
            </w:r>
            <w:r w:rsidRPr="007409EC">
              <w:tab/>
              <w:t xml:space="preserve">Detailed procurement </w:t>
            </w:r>
            <w:r w:rsidRPr="007409EC">
              <w:rPr>
                <w:rStyle w:val="BoldandItalics"/>
              </w:rPr>
              <w:t>plans and sub</w:t>
            </w:r>
            <w:r w:rsidRPr="007409EC">
              <w:t>-</w:t>
            </w:r>
            <w:r w:rsidRPr="007409EC">
              <w:rPr>
                <w:rStyle w:val="BoldandItalics"/>
              </w:rPr>
              <w:t>plans</w:t>
            </w:r>
            <w:r w:rsidRPr="007409EC">
              <w:t xml:space="preserve"> are documented for the various activities that will be conducted throughout the procurement process, including evaluation and </w:t>
            </w:r>
            <w:r w:rsidRPr="007409EC">
              <w:rPr>
                <w:rStyle w:val="BoldandItalics"/>
              </w:rPr>
              <w:t>reporting requirements</w:t>
            </w:r>
            <w:r w:rsidRPr="007409EC">
              <w:t>.</w:t>
            </w:r>
          </w:p>
          <w:p w:rsidR="00000000" w:rsidRPr="007409EC" w:rsidP="007409EC">
            <w:pPr>
              <w:pStyle w:val="List"/>
            </w:pPr>
            <w:r w:rsidRPr="007409EC">
              <w:t>6.6.</w:t>
            </w:r>
            <w:r w:rsidRPr="007409EC">
              <w:tab/>
              <w:t>Timely execution of financial delegations and other approvals are planned in accordance with legislation and jurisdictional and organisational policy and procedures.</w:t>
            </w:r>
          </w:p>
          <w:p w:rsidR="00000000" w:rsidRPr="007409EC" w:rsidP="007409EC">
            <w:pPr>
              <w:pStyle w:val="List"/>
            </w:pPr>
            <w:r w:rsidRPr="007409EC">
              <w:t>6.7.</w:t>
            </w:r>
            <w:r w:rsidRPr="007409EC">
              <w:tab/>
              <w:t>Procurement activity is undertaken in line with jurisdic</w:t>
            </w:r>
            <w:r w:rsidRPr="007409EC">
              <w:t>tional, organisational and best practice requirements for accountability and transparency, including record keeping and reporting regimes.</w:t>
            </w:r>
          </w:p>
        </w:tc>
      </w:tr>
    </w:tbl>
    <w:p w:rsidR="00000000" w:rsidRPr="007409EC" w:rsidP="007409EC">
      <w:pPr>
        <w:pStyle w:val="BodyText"/>
      </w:pPr>
    </w:p>
    <w:p w:rsidR="00000000" w:rsidRPr="007409EC" w:rsidP="007409EC">
      <w:pPr>
        <w:pStyle w:val="AllowPageBreak"/>
      </w:pPr>
    </w:p>
    <w:p w:rsidR="00000000" w:rsidRPr="007409EC" w:rsidP="007409EC">
      <w:pPr>
        <w:pStyle w:val="Heading1"/>
      </w:pPr>
      <w:bookmarkStart w:id="9" w:name="O_411042"/>
      <w:bookmarkEnd w:id="9"/>
      <w:r w:rsidRPr="007409EC">
        <w:t>Required Skills and Knowledge</w:t>
      </w:r>
    </w:p>
    <w:tbl>
      <w:tblPr>
        <w:tblW w:w="0" w:type="auto"/>
        <w:tblLayout w:type="fixed"/>
        <w:tblCellMar>
          <w:left w:w="62" w:type="dxa"/>
          <w:right w:w="62" w:type="dxa"/>
        </w:tblCellMar>
        <w:tblLook w:val="0000"/>
      </w:tblPr>
      <w:tblGrid>
        <w:gridCol w:w="8522"/>
      </w:tblGrid>
      <w:tr w:rsidTr="00685A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t>This section describes the skills and knowledge required f</w:t>
            </w:r>
            <w:r w:rsidRPr="007409EC">
              <w:t>or this unit.</w:t>
            </w:r>
          </w:p>
        </w:tc>
      </w:tr>
      <w:tr w:rsidTr="00685A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SpecialBold"/>
              </w:rPr>
              <w:t>Required skills</w:t>
            </w:r>
          </w:p>
        </w:tc>
      </w:tr>
      <w:tr w:rsidTr="00685A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communication skills to:</w:t>
            </w:r>
          </w:p>
          <w:p w:rsidR="00000000" w:rsidRPr="007409EC" w:rsidP="007409EC">
            <w:pPr>
              <w:pStyle w:val="ListBullet2"/>
            </w:pPr>
            <w:r w:rsidRPr="007409EC">
              <w:t>consult and negotiate with contractors and stakeholders</w:t>
            </w:r>
          </w:p>
          <w:p w:rsidR="00000000" w:rsidRPr="007409EC" w:rsidP="007409EC">
            <w:pPr>
              <w:pStyle w:val="ListBullet2"/>
            </w:pPr>
            <w:r w:rsidRPr="007409EC">
              <w:t>network, within probity boundaries, with contractors and stakeholders</w:t>
            </w:r>
          </w:p>
          <w:p w:rsidR="00000000" w:rsidRPr="007409EC" w:rsidP="007409EC">
            <w:pPr>
              <w:pStyle w:val="ListBullet2"/>
            </w:pPr>
            <w:r w:rsidRPr="007409EC">
              <w:t>write a business case</w:t>
            </w:r>
          </w:p>
          <w:p w:rsidR="00000000" w:rsidRPr="007409EC" w:rsidP="007409EC">
            <w:pPr>
              <w:pStyle w:val="ListBullet2"/>
            </w:pPr>
            <w:r w:rsidRPr="007409EC">
              <w:t>read complex documents, such as contracts, legislation and guidelines</w:t>
            </w:r>
          </w:p>
          <w:p w:rsidR="00000000" w:rsidRPr="007409EC" w:rsidP="007409EC">
            <w:pPr>
              <w:pStyle w:val="ListBullet2"/>
            </w:pPr>
            <w:r w:rsidRPr="007409EC">
              <w:t>provide feedback</w:t>
            </w:r>
          </w:p>
          <w:p w:rsidR="00000000" w:rsidRPr="007409EC" w:rsidP="007409EC">
            <w:pPr>
              <w:pStyle w:val="ListBullet"/>
            </w:pPr>
            <w:r w:rsidRPr="007409EC">
              <w:t>teamwork skills to:</w:t>
            </w:r>
          </w:p>
          <w:p w:rsidR="00000000" w:rsidRPr="007409EC" w:rsidP="007409EC">
            <w:pPr>
              <w:pStyle w:val="ListBullet2"/>
            </w:pPr>
            <w:r w:rsidRPr="007409EC">
              <w:t xml:space="preserve">model effective team management approaches </w:t>
            </w:r>
          </w:p>
          <w:p w:rsidR="00000000" w:rsidRPr="007409EC" w:rsidP="007409EC">
            <w:pPr>
              <w:pStyle w:val="ListBullet2"/>
            </w:pPr>
            <w:r w:rsidRPr="007409EC">
              <w:t>respond to diversity</w:t>
            </w:r>
          </w:p>
          <w:p w:rsidR="00000000" w:rsidRPr="007409EC" w:rsidP="007409EC">
            <w:pPr>
              <w:pStyle w:val="ListBullet2"/>
            </w:pPr>
            <w:r w:rsidRPr="007409EC">
              <w:t>refer issues to the correct person</w:t>
            </w:r>
          </w:p>
          <w:p w:rsidR="00000000" w:rsidRPr="007409EC" w:rsidP="007409EC">
            <w:pPr>
              <w:pStyle w:val="ListBullet"/>
            </w:pPr>
            <w:r w:rsidRPr="007409EC">
              <w:t xml:space="preserve">problem-solving skills to: </w:t>
            </w:r>
          </w:p>
          <w:p w:rsidR="00000000" w:rsidRPr="007409EC" w:rsidP="007409EC">
            <w:pPr>
              <w:pStyle w:val="ListBullet2"/>
            </w:pPr>
            <w:r w:rsidRPr="007409EC">
              <w:t>resolve complicat</w:t>
            </w:r>
            <w:r w:rsidRPr="007409EC">
              <w:t>ed procurement issues</w:t>
            </w:r>
          </w:p>
          <w:p w:rsidR="00000000" w:rsidRPr="007409EC" w:rsidP="007409EC">
            <w:pPr>
              <w:pStyle w:val="ListBullet2"/>
            </w:pPr>
            <w:r w:rsidRPr="007409EC">
              <w:t>develop options for inclusion in a business case</w:t>
            </w:r>
          </w:p>
          <w:p w:rsidR="00000000" w:rsidRPr="007409EC" w:rsidP="007409EC">
            <w:pPr>
              <w:pStyle w:val="ListBullet"/>
            </w:pPr>
            <w:r w:rsidRPr="007409EC">
              <w:t>initiative and enterprise skills to:</w:t>
            </w:r>
          </w:p>
          <w:p w:rsidR="00000000" w:rsidRPr="007409EC" w:rsidP="007409EC">
            <w:pPr>
              <w:pStyle w:val="ListBullet2"/>
            </w:pPr>
            <w:r w:rsidRPr="007409EC">
              <w:t xml:space="preserve">apply the content of complex documents, such as contracts, legislation and guidelines </w:t>
            </w:r>
          </w:p>
          <w:p w:rsidR="00000000" w:rsidRPr="007409EC" w:rsidP="007409EC">
            <w:pPr>
              <w:pStyle w:val="ListBullet2"/>
            </w:pPr>
            <w:r w:rsidRPr="007409EC">
              <w:t>apply OHS, environmental, sustainability and corporate social responsibility practices in the context of planning for procurement outcomes</w:t>
            </w:r>
          </w:p>
          <w:p w:rsidR="00000000" w:rsidRPr="007409EC" w:rsidP="007409EC">
            <w:pPr>
              <w:pStyle w:val="ListBullet"/>
            </w:pPr>
            <w:r w:rsidRPr="007409EC">
              <w:t>planning and organising skills to:</w:t>
            </w:r>
          </w:p>
          <w:p w:rsidR="00000000" w:rsidRPr="007409EC" w:rsidP="007409EC">
            <w:pPr>
              <w:pStyle w:val="ListBullet2"/>
            </w:pPr>
            <w:r w:rsidRPr="007409EC">
              <w:t>undertake research and business analysis</w:t>
            </w:r>
          </w:p>
          <w:p w:rsidR="00000000" w:rsidRPr="007409EC" w:rsidP="007409EC">
            <w:pPr>
              <w:pStyle w:val="ListBullet2"/>
            </w:pPr>
            <w:r w:rsidRPr="007409EC">
              <w:t>plan procurement processes in alignment</w:t>
            </w:r>
            <w:r w:rsidRPr="007409EC">
              <w:t xml:space="preserve"> with business and organisational goals</w:t>
            </w:r>
          </w:p>
          <w:p w:rsidR="00000000" w:rsidRPr="007409EC" w:rsidP="007409EC">
            <w:pPr>
              <w:pStyle w:val="ListBullet2"/>
            </w:pPr>
            <w:r w:rsidRPr="007409EC">
              <w:t>document procurement planning decisions and expected outcomes</w:t>
            </w:r>
          </w:p>
          <w:p w:rsidR="00000000" w:rsidRPr="007409EC" w:rsidP="007409EC">
            <w:pPr>
              <w:pStyle w:val="ListBullet2"/>
            </w:pPr>
            <w:r w:rsidRPr="007409EC">
              <w:t>manage and update the procurement plan and sub-plans</w:t>
            </w:r>
          </w:p>
          <w:p w:rsidR="00000000" w:rsidRPr="007409EC" w:rsidP="007409EC">
            <w:pPr>
              <w:pStyle w:val="ListBullet"/>
            </w:pPr>
            <w:r w:rsidRPr="007409EC">
              <w:t>learning skills to keep up-to-date with:</w:t>
            </w:r>
          </w:p>
          <w:p w:rsidR="00000000" w:rsidRPr="007409EC" w:rsidP="007409EC">
            <w:pPr>
              <w:pStyle w:val="ListBullet2"/>
            </w:pPr>
            <w:r w:rsidRPr="007409EC">
              <w:t xml:space="preserve">best practice examples in procurement practice </w:t>
            </w:r>
          </w:p>
          <w:p w:rsidR="00000000" w:rsidRPr="007409EC" w:rsidP="007409EC">
            <w:pPr>
              <w:pStyle w:val="ListBullet2"/>
            </w:pPr>
            <w:r w:rsidRPr="007409EC">
              <w:t>relevant p</w:t>
            </w:r>
            <w:r w:rsidRPr="007409EC">
              <w:t>rocurement legislation, policies and procedures</w:t>
            </w:r>
          </w:p>
          <w:p w:rsidR="00000000" w:rsidRPr="007409EC" w:rsidP="007409EC">
            <w:pPr>
              <w:pStyle w:val="ListBullet"/>
            </w:pPr>
            <w:r w:rsidRPr="007409EC">
              <w:t>technology skills to:</w:t>
            </w:r>
          </w:p>
          <w:p w:rsidR="00000000" w:rsidRPr="007409EC" w:rsidP="007409EC">
            <w:pPr>
              <w:pStyle w:val="ListBullet2"/>
            </w:pPr>
            <w:r w:rsidRPr="007409EC">
              <w:t>operate organisational IT systems</w:t>
            </w:r>
          </w:p>
          <w:p w:rsidR="00000000" w:rsidP="007409EC">
            <w:pPr>
              <w:pStyle w:val="ListBullet2"/>
              <w:rPr>
                <w:lang w:val="en-NZ"/>
              </w:rPr>
            </w:pPr>
            <w:r w:rsidRPr="007409EC">
              <w:t>use electronic procurement templates</w:t>
            </w:r>
          </w:p>
        </w:tc>
      </w:tr>
      <w:tr w:rsidTr="00685A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SpecialBold"/>
              </w:rPr>
              <w:t>Required knowledge</w:t>
            </w:r>
          </w:p>
        </w:tc>
      </w:tr>
      <w:tr w:rsidTr="00685A9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 xml:space="preserve">commonwealth, state or territory, and local government legislation, policies, practices </w:t>
            </w:r>
            <w:r w:rsidRPr="007409EC">
              <w:t>and guidelines:</w:t>
            </w:r>
          </w:p>
          <w:p w:rsidR="00000000" w:rsidRPr="007409EC" w:rsidP="007409EC">
            <w:pPr>
              <w:pStyle w:val="ListBullet2"/>
            </w:pPr>
            <w:r w:rsidRPr="007409EC">
              <w:t>relating to contract management, including environmental purchasing and corporate social responsibility guidance</w:t>
            </w:r>
          </w:p>
          <w:p w:rsidR="00000000" w:rsidRPr="007409EC" w:rsidP="007409EC">
            <w:pPr>
              <w:pStyle w:val="ListBullet2"/>
            </w:pPr>
            <w:r w:rsidRPr="007409EC">
              <w:t>such as OHS and equity and diversity</w:t>
            </w:r>
          </w:p>
          <w:p w:rsidR="00000000" w:rsidRPr="007409EC" w:rsidP="007409EC">
            <w:pPr>
              <w:pStyle w:val="ListBullet"/>
            </w:pPr>
            <w:r w:rsidRPr="007409EC">
              <w:t>organisational procurement policies, practices and approval processes</w:t>
            </w:r>
          </w:p>
          <w:p w:rsidR="00000000" w:rsidRPr="007409EC" w:rsidP="007409EC">
            <w:pPr>
              <w:pStyle w:val="ListBullet"/>
            </w:pPr>
            <w:r w:rsidRPr="007409EC">
              <w:t>procurement planni</w:t>
            </w:r>
            <w:r w:rsidRPr="007409EC">
              <w:t>ng for a range of complex procurement requirements/outcomes in alignment with business and organisational goals</w:t>
            </w:r>
          </w:p>
          <w:p w:rsidR="00000000" w:rsidRPr="007409EC" w:rsidP="007409EC">
            <w:pPr>
              <w:pStyle w:val="ListBullet"/>
            </w:pPr>
            <w:r w:rsidRPr="007409EC">
              <w:t>probity principles and issues</w:t>
            </w:r>
          </w:p>
          <w:p w:rsidR="00000000" w:rsidRPr="007409EC" w:rsidP="007409EC">
            <w:pPr>
              <w:pStyle w:val="ListBullet"/>
            </w:pPr>
            <w:r w:rsidRPr="007409EC">
              <w:t>codes of conduct, codes of practice and standards of individual behaviour relating to the procurement process</w:t>
            </w:r>
          </w:p>
          <w:p w:rsidR="00000000" w:rsidRPr="007409EC" w:rsidP="007409EC">
            <w:pPr>
              <w:pStyle w:val="ListBullet"/>
            </w:pPr>
            <w:r w:rsidRPr="007409EC">
              <w:t>government procurement environment</w:t>
            </w:r>
          </w:p>
          <w:p w:rsidR="00000000" w:rsidRPr="007409EC" w:rsidP="007409EC">
            <w:pPr>
              <w:pStyle w:val="ListBullet"/>
            </w:pPr>
            <w:r w:rsidRPr="007409EC">
              <w:t>legal requirements of government procurement</w:t>
            </w:r>
          </w:p>
          <w:p w:rsidR="00000000" w:rsidRPr="007409EC" w:rsidP="007409EC">
            <w:pPr>
              <w:pStyle w:val="ListBullet"/>
            </w:pPr>
            <w:r w:rsidRPr="007409EC">
              <w:t>implications of particular procurement arrangements</w:t>
            </w:r>
          </w:p>
          <w:p w:rsidR="00000000" w:rsidRPr="007409EC" w:rsidP="007409EC">
            <w:pPr>
              <w:pStyle w:val="ListBullet"/>
            </w:pPr>
            <w:r w:rsidRPr="007409EC">
              <w:t>whole-of-life considerations</w:t>
            </w:r>
          </w:p>
          <w:p w:rsidR="00000000" w:rsidRPr="007409EC" w:rsidP="007409EC">
            <w:pPr>
              <w:pStyle w:val="ListBullet"/>
            </w:pPr>
            <w:r w:rsidRPr="007409EC">
              <w:t>financial and accounting issues relevant to the procurement</w:t>
            </w:r>
          </w:p>
          <w:p w:rsidR="00000000" w:rsidRPr="007409EC" w:rsidP="007409EC">
            <w:pPr>
              <w:pStyle w:val="ListBullet"/>
            </w:pPr>
            <w:r w:rsidRPr="007409EC">
              <w:t>cultural issues relating to complex</w:t>
            </w:r>
            <w:r w:rsidRPr="007409EC">
              <w:t xml:space="preserve"> procurement and industry development in certain industry sectors</w:t>
            </w:r>
          </w:p>
          <w:p w:rsidR="00000000" w:rsidRPr="007409EC" w:rsidP="007409EC">
            <w:pPr>
              <w:pStyle w:val="ListBullet"/>
            </w:pPr>
            <w:r w:rsidRPr="007409EC">
              <w:t>relationship management</w:t>
            </w:r>
          </w:p>
          <w:p w:rsidR="00000000" w:rsidRPr="007409EC" w:rsidP="007409EC">
            <w:pPr>
              <w:pStyle w:val="ListBullet"/>
            </w:pPr>
            <w:r w:rsidRPr="007409EC">
              <w:t>equal employment opportunity relevant to the procurement</w:t>
            </w:r>
          </w:p>
          <w:p w:rsidR="00000000" w:rsidRPr="007409EC" w:rsidP="007409EC">
            <w:pPr>
              <w:pStyle w:val="ListBullet"/>
            </w:pPr>
            <w:r w:rsidRPr="007409EC">
              <w:t>OHS requirements relevant to the procurement</w:t>
            </w:r>
          </w:p>
          <w:p w:rsidR="00000000" w:rsidRPr="007409EC" w:rsidP="007409EC">
            <w:pPr>
              <w:pStyle w:val="ListBullet"/>
            </w:pPr>
            <w:r w:rsidRPr="007409EC">
              <w:t>environmental, sustainability and corporate social responsibilit</w:t>
            </w:r>
            <w:r w:rsidRPr="007409EC">
              <w:t>y principles relevant to the procurement</w:t>
            </w:r>
          </w:p>
        </w:tc>
      </w:tr>
    </w:tbl>
    <w:p w:rsidR="00000000" w:rsidRPr="007409EC" w:rsidP="007409EC">
      <w:pPr>
        <w:pStyle w:val="BodyText"/>
      </w:pPr>
    </w:p>
    <w:p w:rsidR="00000000" w:rsidRPr="007409EC" w:rsidP="007409EC">
      <w:pPr>
        <w:pStyle w:val="AllowPageBreak"/>
      </w:pPr>
    </w:p>
    <w:p w:rsidR="00000000" w:rsidRPr="007409EC" w:rsidP="007409EC">
      <w:pPr>
        <w:pStyle w:val="Heading1"/>
      </w:pPr>
      <w:bookmarkStart w:id="10" w:name="O_411048"/>
      <w:bookmarkEnd w:id="10"/>
      <w:r w:rsidRPr="007409EC">
        <w:t>Evidence Guide</w:t>
      </w:r>
    </w:p>
    <w:tbl>
      <w:tblPr>
        <w:tblW w:w="9288" w:type="dxa"/>
        <w:tblLayout w:type="fixed"/>
        <w:tblCellMar>
          <w:left w:w="62" w:type="dxa"/>
          <w:right w:w="62" w:type="dxa"/>
        </w:tblCellMar>
        <w:tblLook w:val="0000"/>
      </w:tblPr>
      <w:tblGrid>
        <w:gridCol w:w="2629"/>
        <w:gridCol w:w="6659"/>
      </w:tblGrid>
      <w:tr w:rsidTr="00685A9F">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t xml:space="preserve">The Evidence Guide provides advice on assessment and must be read in conjunction with the performance criteria, required skills and knowledge, </w:t>
            </w:r>
            <w:r w:rsidRPr="007409EC">
              <w:t>range statement and the Assessment Guidelines for the Training Package.</w:t>
            </w:r>
          </w:p>
        </w:tc>
      </w:tr>
      <w:tr w:rsidTr="00685A9F">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SpecialBold"/>
              </w:rPr>
              <w:t>Overview of assessment</w:t>
            </w:r>
          </w:p>
        </w:tc>
        <w:tc>
          <w:tcPr>
            <w:tcW w:w="6659"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t>Competency must be demonstrated in the ability to plan for procurement outcomes consistently in accordance with legislative and organisational requirements.</w:t>
            </w:r>
          </w:p>
        </w:tc>
      </w:tr>
      <w:tr w:rsidTr="00685A9F">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SpecialBold"/>
              </w:rPr>
              <w:t>C</w:t>
            </w:r>
            <w:r w:rsidRPr="007409EC">
              <w:rPr>
                <w:rStyle w:val="SpecialBold"/>
              </w:rPr>
              <w:t>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7409EC" w:rsidP="007409EC">
            <w:pPr>
              <w:pStyle w:val="BodyText"/>
            </w:pPr>
            <w:r w:rsidRPr="007409EC">
              <w:t>Assessment must confirm the ability to:</w:t>
            </w:r>
          </w:p>
          <w:p w:rsidR="00000000" w:rsidRPr="007409EC" w:rsidP="007409EC">
            <w:pPr>
              <w:pStyle w:val="ListBullet"/>
            </w:pPr>
            <w:r w:rsidRPr="007409EC">
              <w:t xml:space="preserve">contribute effectively to forward planning of procurement activities, including developing key documents, such as business </w:t>
            </w:r>
            <w:r w:rsidRPr="007409EC">
              <w:t>case, long-term plans and/or approval documents</w:t>
            </w:r>
          </w:p>
          <w:p w:rsidR="00000000" w:rsidRPr="007409EC" w:rsidP="007409EC">
            <w:pPr>
              <w:pStyle w:val="ListBullet"/>
            </w:pPr>
            <w:r w:rsidRPr="007409EC">
              <w:t>align planned procurement activities with the organisation's business direction</w:t>
            </w:r>
          </w:p>
          <w:p w:rsidR="00000000" w:rsidRPr="007409EC" w:rsidP="007409EC">
            <w:pPr>
              <w:pStyle w:val="ListBullet"/>
            </w:pPr>
            <w:r w:rsidRPr="007409EC">
              <w:t>identify, consult with and manage procurement stakeholders</w:t>
            </w:r>
          </w:p>
          <w:p w:rsidR="00000000" w:rsidRPr="007409EC" w:rsidP="007409EC">
            <w:pPr>
              <w:pStyle w:val="ListBullet"/>
            </w:pPr>
            <w:r w:rsidRPr="007409EC">
              <w:t>plan and conduct market research for procurement activities</w:t>
            </w:r>
          </w:p>
          <w:p w:rsidR="00000000" w:rsidRPr="007409EC" w:rsidP="007409EC">
            <w:pPr>
              <w:pStyle w:val="ListBullet"/>
            </w:pPr>
            <w:r w:rsidRPr="007409EC">
              <w:t>use the results of stakeholder consultation and market research to inform procurement planning</w:t>
            </w:r>
          </w:p>
          <w:p w:rsidR="00000000" w:rsidRPr="007409EC" w:rsidP="007409EC">
            <w:pPr>
              <w:pStyle w:val="ListBullet"/>
            </w:pPr>
            <w:r w:rsidRPr="007409EC">
              <w:t>define more complex procurement specifications and requirements to satisfy stakeholder needs</w:t>
            </w:r>
          </w:p>
          <w:p w:rsidR="00000000" w:rsidRPr="007409EC" w:rsidP="007409EC">
            <w:pPr>
              <w:pStyle w:val="ListBullet"/>
            </w:pPr>
            <w:r w:rsidRPr="007409EC">
              <w:t xml:space="preserve">work within organisational processes to secure the resources needed </w:t>
            </w:r>
            <w:r w:rsidRPr="007409EC">
              <w:t>to conduct procurement processes</w:t>
            </w:r>
          </w:p>
          <w:p w:rsidR="00000000" w:rsidRPr="007409EC" w:rsidP="007409EC">
            <w:pPr>
              <w:pStyle w:val="ListBullet"/>
            </w:pPr>
            <w:r w:rsidRPr="007409EC">
              <w:t>act within own delegation and promptly refer matters outside own delegation to correct authority</w:t>
            </w:r>
          </w:p>
          <w:p w:rsidR="00000000" w:rsidRPr="007409EC" w:rsidP="007409EC">
            <w:pPr>
              <w:pStyle w:val="ListBullet"/>
            </w:pPr>
            <w:r w:rsidRPr="007409EC">
              <w:t>uphold probity standards applicable to the procurement process.</w:t>
            </w:r>
          </w:p>
          <w:p w:rsidR="00000000" w:rsidRPr="007409EC" w:rsidP="007409EC">
            <w:pPr>
              <w:pStyle w:val="BodyText"/>
            </w:pPr>
            <w:r w:rsidRPr="007409EC">
              <w:rPr>
                <w:rStyle w:val="SpecialBold"/>
              </w:rPr>
              <w:t>Consistency in performance</w:t>
            </w:r>
          </w:p>
          <w:p w:rsidR="00000000" w:rsidP="007409EC">
            <w:pPr>
              <w:pStyle w:val="BodyText"/>
              <w:rPr>
                <w:lang w:val="en-NZ"/>
              </w:rPr>
            </w:pPr>
            <w:r w:rsidRPr="007409EC">
              <w:t>Competency should be demonstrated b</w:t>
            </w:r>
            <w:r w:rsidRPr="007409EC">
              <w:t>y providing evidence of undertaking a range of relevant work tasks in an actual or simulated procurement environment on at least two separate occasions.</w:t>
            </w:r>
          </w:p>
        </w:tc>
      </w:tr>
      <w:tr w:rsidTr="00685A9F">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7409EC" w:rsidP="007409EC">
            <w:pPr>
              <w:pStyle w:val="BodyText"/>
            </w:pPr>
            <w:r w:rsidRPr="007409EC">
              <w:t>The unit of competency is to be assessed in the workp</w:t>
            </w:r>
            <w:r w:rsidRPr="007409EC">
              <w:t>lace or a simulated workplace environment.</w:t>
            </w:r>
          </w:p>
          <w:p w:rsidR="00000000" w:rsidRPr="007409EC" w:rsidP="007409EC">
            <w:pPr>
              <w:pStyle w:val="BodyText"/>
            </w:pPr>
            <w:r w:rsidRPr="007409EC">
              <w:t>Access may be required to:</w:t>
            </w:r>
          </w:p>
          <w:p w:rsidR="00000000" w:rsidRPr="007409EC" w:rsidP="007409EC">
            <w:pPr>
              <w:pStyle w:val="ListBullet"/>
            </w:pPr>
            <w:r w:rsidRPr="007409EC">
              <w:t>legislation, policy, procedures and protocols relating to procuring goods and services and managing contracts</w:t>
            </w:r>
          </w:p>
          <w:p w:rsidR="00000000" w:rsidRPr="007409EC" w:rsidP="007409EC">
            <w:pPr>
              <w:pStyle w:val="ListBullet"/>
            </w:pPr>
            <w:r w:rsidRPr="007409EC">
              <w:t>codes of conduct and codes of practice</w:t>
            </w:r>
          </w:p>
          <w:p w:rsidR="00000000" w:rsidRPr="007409EC" w:rsidP="007409EC">
            <w:pPr>
              <w:pStyle w:val="ListBullet"/>
            </w:pPr>
            <w:r w:rsidRPr="007409EC">
              <w:t>workplace scenarios and case studies relating to a range of procurement activities associated with planning for procurement outcomes</w:t>
            </w:r>
          </w:p>
          <w:p w:rsidR="00000000" w:rsidP="007409EC">
            <w:pPr>
              <w:pStyle w:val="ListBullet"/>
              <w:rPr>
                <w:lang w:val="en-NZ"/>
              </w:rPr>
            </w:pPr>
            <w:r w:rsidRPr="007409EC">
              <w:t>case studies that incorporate dilemmas, and probity requirements relating to planning for procurement outcomes.</w:t>
            </w:r>
          </w:p>
        </w:tc>
      </w:tr>
      <w:tr w:rsidTr="00685A9F">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SpecialBold"/>
              </w:rPr>
              <w:t xml:space="preserve">Method of </w:t>
            </w:r>
            <w:r w:rsidRPr="007409EC">
              <w:rPr>
                <w:rStyle w:val="SpecialBold"/>
              </w:rPr>
              <w:t>assessment</w:t>
            </w:r>
          </w:p>
        </w:tc>
        <w:tc>
          <w:tcPr>
            <w:tcW w:w="6659" w:type="dxa"/>
            <w:tcBorders>
              <w:top w:val="nil"/>
              <w:left w:val="nil"/>
              <w:bottom w:val="nil"/>
              <w:right w:val="nil"/>
            </w:tcBorders>
            <w:tcMar>
              <w:top w:w="0" w:type="dxa"/>
              <w:left w:w="62" w:type="dxa"/>
              <w:bottom w:w="0" w:type="dxa"/>
              <w:right w:w="62" w:type="dxa"/>
            </w:tcMar>
          </w:tcPr>
          <w:p w:rsidR="00000000" w:rsidRPr="007409EC" w:rsidP="007409EC">
            <w:pPr>
              <w:pStyle w:val="BodyText"/>
            </w:pPr>
            <w:r w:rsidRPr="007409EC">
              <w:t>The following assessment methods are suggested:</w:t>
            </w:r>
          </w:p>
          <w:p w:rsidR="00000000" w:rsidRPr="007409EC" w:rsidP="007409EC">
            <w:pPr>
              <w:pStyle w:val="ListBullet"/>
            </w:pPr>
            <w:r w:rsidRPr="007409EC">
              <w:t>questions to assess understanding of relevant legislation and procedures</w:t>
            </w:r>
          </w:p>
          <w:p w:rsidR="00000000" w:rsidRPr="007409EC" w:rsidP="007409EC">
            <w:pPr>
              <w:pStyle w:val="ListBullet"/>
            </w:pPr>
            <w:r w:rsidRPr="007409EC">
              <w:t>review of strategies and approaches adopted for planning for procurement outcomes</w:t>
            </w:r>
          </w:p>
          <w:p w:rsidR="00000000" w:rsidRPr="007409EC" w:rsidP="007409EC">
            <w:pPr>
              <w:pStyle w:val="ListBullet"/>
            </w:pPr>
            <w:r w:rsidRPr="007409EC">
              <w:t>review of business cases, procurement ter</w:t>
            </w:r>
            <w:r w:rsidRPr="007409EC">
              <w:t>ms of reference, procurement plans, market analyses, budgets, resource requests, transition plans, approvals and sign-offs, risk assessments, procurement specifications and other documentation prepared by the candidate in a range of contexts</w:t>
            </w:r>
          </w:p>
          <w:p w:rsidR="00000000" w:rsidRPr="007409EC" w:rsidP="007409EC">
            <w:pPr>
              <w:pStyle w:val="ListBullet"/>
            </w:pPr>
            <w:r w:rsidRPr="007409EC">
              <w:t>review of stak</w:t>
            </w:r>
            <w:r w:rsidRPr="007409EC">
              <w:t>eholder engagement approaches adopted by the candidate.</w:t>
            </w:r>
          </w:p>
          <w:p w:rsidR="00000000" w:rsidP="007409EC">
            <w:pPr>
              <w:pStyle w:val="BodyText"/>
              <w:rPr>
                <w:lang w:val="en-NZ"/>
              </w:rPr>
            </w:pPr>
            <w:r w:rsidRPr="007409EC">
              <w:t>In all cases, practical assessment should be supported by questions to assess underpinning knowledge and those aspects of competency which are difficult to assess directly. Questioning techniques shou</w:t>
            </w:r>
            <w:r w:rsidRPr="007409EC">
              <w:t>ld suit the language and literacy levels of the candidate.</w:t>
            </w:r>
          </w:p>
        </w:tc>
      </w:tr>
      <w:tr w:rsidTr="00685A9F">
        <w:tblPrEx>
          <w:tblW w:w="9288" w:type="dxa"/>
          <w:tblLayout w:type="fixed"/>
          <w:tblCellMar>
            <w:left w:w="62" w:type="dxa"/>
            <w:right w:w="62" w:type="dxa"/>
          </w:tblCellMar>
          <w:tblLook w:val="0000"/>
        </w:tblPrEx>
        <w:tc>
          <w:tcPr>
            <w:tcW w:w="2629"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7409EC" w:rsidP="007409EC">
            <w:pPr>
              <w:pStyle w:val="BodyText"/>
            </w:pPr>
            <w:r w:rsidRPr="007409EC">
              <w:t>Evidence must be gathered over time in a range of contexts to ensure the person can achieve the unit outcome and apply the competency in different situations or</w:t>
            </w:r>
            <w:r w:rsidRPr="007409EC">
              <w:t xml:space="preserve"> environments.</w:t>
            </w:r>
          </w:p>
          <w:p w:rsidR="00000000" w:rsidRPr="007409EC" w:rsidP="007409EC">
            <w:pPr>
              <w:pStyle w:val="BodyText"/>
            </w:pPr>
            <w:r w:rsidRPr="007409EC">
              <w:t>Holistic assessment with other units relevant to the industry sector, workplace and job role is recommended, for example:</w:t>
            </w:r>
          </w:p>
          <w:p w:rsidR="00000000" w:rsidRPr="007409EC" w:rsidP="007409EC">
            <w:pPr>
              <w:pStyle w:val="ListBullet"/>
            </w:pPr>
            <w:r w:rsidRPr="007409EC">
              <w:t>PSPETHC501B Promote the values and ethos of public service</w:t>
            </w:r>
          </w:p>
          <w:p w:rsidR="00000000" w:rsidRPr="007409EC" w:rsidP="007409EC">
            <w:pPr>
              <w:pStyle w:val="ListBullet"/>
            </w:pPr>
            <w:r w:rsidRPr="007409EC">
              <w:t>PSPGOV507A Undertake negotiations</w:t>
            </w:r>
          </w:p>
          <w:p w:rsidR="00000000" w:rsidRPr="007409EC" w:rsidP="007409EC">
            <w:pPr>
              <w:pStyle w:val="ListBullet"/>
            </w:pPr>
            <w:r w:rsidRPr="007409EC">
              <w:t>PSPLEGN501B Promote compliance with legislation in the public sector</w:t>
            </w:r>
          </w:p>
          <w:p w:rsidR="00000000" w:rsidRPr="007409EC" w:rsidP="007409EC">
            <w:pPr>
              <w:pStyle w:val="ListBullet"/>
            </w:pPr>
            <w:r w:rsidRPr="007409EC">
              <w:t>PSPPROC503B Manage contract performance</w:t>
            </w:r>
          </w:p>
          <w:p w:rsidR="00000000" w:rsidRPr="007409EC" w:rsidP="007409EC">
            <w:pPr>
              <w:pStyle w:val="ListBullet"/>
            </w:pPr>
            <w:r w:rsidRPr="007409EC">
              <w:t>PSPPROC504B Finalise contracts</w:t>
            </w:r>
          </w:p>
          <w:p w:rsidR="00000000" w:rsidRPr="007409EC" w:rsidP="007409EC">
            <w:pPr>
              <w:pStyle w:val="ListBullet"/>
            </w:pPr>
            <w:r w:rsidRPr="007409EC">
              <w:t xml:space="preserve">PSPPROC505A Manage procurement risk </w:t>
            </w:r>
          </w:p>
          <w:p w:rsidR="00000000" w:rsidRPr="007409EC" w:rsidP="007409EC">
            <w:pPr>
              <w:pStyle w:val="ListBullet"/>
            </w:pPr>
            <w:r w:rsidRPr="007409EC">
              <w:t>PSPPROC506A Plan to manage a contract</w:t>
            </w:r>
          </w:p>
          <w:p w:rsidR="00000000" w:rsidRPr="007409EC" w:rsidP="007409EC">
            <w:pPr>
              <w:pStyle w:val="ListBullet"/>
            </w:pPr>
            <w:r w:rsidRPr="007409EC">
              <w:t>PSPPROC508A Make procurement decisions.</w:t>
            </w:r>
          </w:p>
        </w:tc>
      </w:tr>
    </w:tbl>
    <w:p w:rsidR="00000000" w:rsidRPr="007409EC" w:rsidP="007409EC">
      <w:pPr>
        <w:pStyle w:val="BodyText"/>
      </w:pPr>
    </w:p>
    <w:p w:rsidR="00000000" w:rsidRPr="007409EC" w:rsidP="007409EC">
      <w:pPr>
        <w:pStyle w:val="AllowPageBreak"/>
      </w:pPr>
    </w:p>
    <w:p w:rsidR="00000000" w:rsidRPr="007409EC" w:rsidP="007409EC">
      <w:pPr>
        <w:pStyle w:val="Heading1"/>
      </w:pPr>
      <w:bookmarkStart w:id="11" w:name="O_411043"/>
      <w:bookmarkEnd w:id="11"/>
      <w:r w:rsidRPr="007409EC">
        <w:t>Range Statement</w:t>
      </w:r>
    </w:p>
    <w:tbl>
      <w:tblPr>
        <w:tblW w:w="0" w:type="auto"/>
        <w:tblLayout w:type="fixed"/>
        <w:tblCellMar>
          <w:left w:w="62" w:type="dxa"/>
          <w:right w:w="62" w:type="dxa"/>
        </w:tblCellMar>
        <w:tblLook w:val="0000"/>
      </w:tblPr>
      <w:tblGrid>
        <w:gridCol w:w="2441"/>
        <w:gridCol w:w="6081"/>
      </w:tblGrid>
      <w:tr w:rsidTr="00685A9F">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t>The range statement relates to the unit of competency as a whole. It allows for different work environments and situations that may affect performance. Bold italicised wording, if used in the performance criteria, is detai</w:t>
            </w:r>
            <w:r w:rsidRPr="007409EC">
              <w:t>led below. Essential operating conditions that may be present with training and assessment (depending on the work situation, needs of the candidate, accessibility of the item, and local industry and regional contexts) may also be included.</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Forward procurement planning</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annual procurement planning</w:t>
            </w:r>
          </w:p>
          <w:p w:rsidR="00000000" w:rsidRPr="007409EC" w:rsidP="007409EC">
            <w:pPr>
              <w:pStyle w:val="ListBullet"/>
            </w:pPr>
            <w:r w:rsidRPr="007409EC">
              <w:t>business plans</w:t>
            </w:r>
          </w:p>
          <w:p w:rsidR="00000000" w:rsidRPr="007409EC" w:rsidP="007409EC">
            <w:pPr>
              <w:pStyle w:val="ListBullet"/>
            </w:pPr>
            <w:r w:rsidRPr="007409EC">
              <w:t>strategic plans</w:t>
            </w:r>
          </w:p>
          <w:p w:rsidR="00000000" w:rsidP="007409EC">
            <w:pPr>
              <w:pStyle w:val="ListBullet"/>
              <w:rPr>
                <w:lang w:val="en-NZ"/>
              </w:rPr>
            </w:pPr>
            <w:r w:rsidRPr="007409EC">
              <w:t>budget plans</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Financial and budgetary framework</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financial management legislation</w:t>
            </w:r>
          </w:p>
          <w:p w:rsidR="00000000" w:rsidRPr="007409EC" w:rsidP="007409EC">
            <w:pPr>
              <w:pStyle w:val="ListBullet"/>
            </w:pPr>
            <w:r w:rsidRPr="007409EC">
              <w:t>chief executive instructions</w:t>
            </w:r>
          </w:p>
          <w:p w:rsidR="00000000" w:rsidRPr="007409EC" w:rsidP="007409EC">
            <w:pPr>
              <w:pStyle w:val="ListBullet"/>
            </w:pPr>
            <w:r w:rsidRPr="007409EC">
              <w:t>financial delegations</w:t>
            </w:r>
          </w:p>
          <w:p w:rsidR="00000000" w:rsidRPr="007409EC" w:rsidP="007409EC">
            <w:pPr>
              <w:pStyle w:val="ListBullet"/>
            </w:pPr>
            <w:r w:rsidRPr="007409EC">
              <w:t>budget cycles and reporting processes</w:t>
            </w:r>
          </w:p>
          <w:p w:rsidR="00000000" w:rsidP="007409EC">
            <w:pPr>
              <w:pStyle w:val="ListBullet"/>
              <w:rPr>
                <w:lang w:val="en-NZ"/>
              </w:rPr>
            </w:pPr>
            <w:r w:rsidRPr="007409EC">
              <w:t>financial management systems</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Organisational objectives</w:t>
            </w:r>
            <w:r w:rsidRPr="007409EC">
              <w:t xml:space="preserve"> may include and be contained in:</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political directives</w:t>
            </w:r>
          </w:p>
          <w:p w:rsidR="00000000" w:rsidRPr="007409EC" w:rsidP="007409EC">
            <w:pPr>
              <w:pStyle w:val="ListBullet"/>
            </w:pPr>
            <w:r w:rsidRPr="007409EC">
              <w:t>commonwealth, and state or territory government needs</w:t>
            </w:r>
          </w:p>
          <w:p w:rsidR="00000000" w:rsidRPr="007409EC" w:rsidP="007409EC">
            <w:pPr>
              <w:pStyle w:val="ListBullet"/>
            </w:pPr>
            <w:r w:rsidRPr="007409EC">
              <w:t>responses to government strategic papers, such as Whi</w:t>
            </w:r>
            <w:r w:rsidRPr="007409EC">
              <w:t>te Papers, for example on long-term capability of the public sector to deliver government policy objectives</w:t>
            </w:r>
          </w:p>
          <w:p w:rsidR="00000000" w:rsidP="007409EC">
            <w:pPr>
              <w:pStyle w:val="ListBullet"/>
              <w:rPr>
                <w:lang w:val="en-NZ"/>
              </w:rPr>
            </w:pPr>
            <w:r w:rsidRPr="007409EC">
              <w:t>organisational strategic and business plans</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Legislative</w:t>
            </w:r>
            <w:r w:rsidRPr="007409EC">
              <w:t xml:space="preserve">, </w:t>
            </w:r>
            <w:r w:rsidRPr="007409EC">
              <w:rPr>
                <w:rStyle w:val="BoldandItalics"/>
              </w:rPr>
              <w:t>policy and probity requirements</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commonwealth or state and territory legislat</w:t>
            </w:r>
            <w:r w:rsidRPr="007409EC">
              <w:t>ion</w:t>
            </w:r>
          </w:p>
          <w:p w:rsidR="00000000" w:rsidRPr="007409EC" w:rsidP="007409EC">
            <w:pPr>
              <w:pStyle w:val="ListBullet"/>
            </w:pPr>
            <w:r w:rsidRPr="007409EC">
              <w:t>equal employment opportunity and anti-discrimination law</w:t>
            </w:r>
          </w:p>
          <w:p w:rsidR="00000000" w:rsidRPr="007409EC" w:rsidP="007409EC">
            <w:pPr>
              <w:pStyle w:val="ListBullet"/>
            </w:pPr>
            <w:r w:rsidRPr="007409EC">
              <w:t>free trade and other international agreements</w:t>
            </w:r>
          </w:p>
          <w:p w:rsidR="00000000" w:rsidRPr="007409EC" w:rsidP="007409EC">
            <w:pPr>
              <w:pStyle w:val="ListBullet"/>
            </w:pPr>
            <w:r w:rsidRPr="007409EC">
              <w:t>commonwealth, state or territory, and local government procurement policy guidelines</w:t>
            </w:r>
          </w:p>
          <w:p w:rsidR="00000000" w:rsidRPr="007409EC" w:rsidP="007409EC">
            <w:pPr>
              <w:pStyle w:val="ListBullet"/>
            </w:pPr>
            <w:r w:rsidRPr="007409EC">
              <w:t>probity principles and issues that relate to procurement processes, systems, structures and delegations</w:t>
            </w:r>
          </w:p>
          <w:p w:rsidR="00000000" w:rsidRPr="007409EC" w:rsidP="007409EC">
            <w:pPr>
              <w:pStyle w:val="ListBullet"/>
            </w:pPr>
            <w:r w:rsidRPr="007409EC">
              <w:t>code of conduct and standards of individual behaviour relating to procurement process and function</w:t>
            </w:r>
          </w:p>
          <w:p w:rsidR="00000000" w:rsidRPr="007409EC" w:rsidP="007409EC">
            <w:pPr>
              <w:pStyle w:val="ListBullet"/>
            </w:pPr>
            <w:r w:rsidRPr="007409EC">
              <w:t>environmental and sustainable procurement</w:t>
            </w:r>
          </w:p>
          <w:p w:rsidR="00000000" w:rsidRPr="007409EC" w:rsidP="007409EC">
            <w:pPr>
              <w:pStyle w:val="ListBullet"/>
            </w:pPr>
            <w:r w:rsidRPr="007409EC">
              <w:t>OHS legisla</w:t>
            </w:r>
            <w:r w:rsidRPr="007409EC">
              <w:t>tion and policies</w:t>
            </w:r>
          </w:p>
          <w:p w:rsidR="00000000" w:rsidRPr="007409EC" w:rsidP="007409EC">
            <w:pPr>
              <w:pStyle w:val="ListBullet"/>
            </w:pPr>
            <w:r w:rsidRPr="007409EC">
              <w:t>corporate social responsibility policies</w:t>
            </w:r>
          </w:p>
          <w:p w:rsidR="00000000" w:rsidP="007409EC">
            <w:pPr>
              <w:pStyle w:val="ListBullet"/>
              <w:rPr>
                <w:lang w:val="en-NZ"/>
              </w:rPr>
            </w:pPr>
            <w:r w:rsidRPr="007409EC">
              <w:t>organisational policies and practices</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Alternatives</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providing services in-house</w:t>
            </w:r>
          </w:p>
          <w:p w:rsidR="00000000" w:rsidRPr="007409EC" w:rsidP="007409EC">
            <w:pPr>
              <w:pStyle w:val="ListBullet"/>
            </w:pPr>
            <w:r w:rsidRPr="007409EC">
              <w:t>leasing</w:t>
            </w:r>
          </w:p>
          <w:p w:rsidR="00000000" w:rsidRPr="007409EC" w:rsidP="007409EC">
            <w:pPr>
              <w:pStyle w:val="ListBullet"/>
            </w:pPr>
            <w:r w:rsidRPr="007409EC">
              <w:t>consolidation services rather than direct purchases (e.g. hotel and rental cars)</w:t>
            </w:r>
          </w:p>
          <w:p w:rsidR="00000000" w:rsidRPr="007409EC" w:rsidP="007409EC">
            <w:pPr>
              <w:pStyle w:val="ListBullet"/>
            </w:pPr>
            <w:r w:rsidRPr="007409EC">
              <w:t>funding arrang</w:t>
            </w:r>
            <w:r w:rsidRPr="007409EC">
              <w:t>ements</w:t>
            </w:r>
          </w:p>
          <w:p w:rsidR="00000000" w:rsidP="007409EC">
            <w:pPr>
              <w:pStyle w:val="ListBullet"/>
              <w:rPr>
                <w:lang w:val="en-NZ"/>
              </w:rPr>
            </w:pPr>
            <w:r w:rsidRPr="007409EC">
              <w:t>public private partnerships</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Probity principles</w:t>
            </w:r>
            <w:r w:rsidRPr="007409EC">
              <w:t>:</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may include:</w:t>
            </w:r>
          </w:p>
          <w:p w:rsidR="00000000" w:rsidRPr="007409EC" w:rsidP="007409EC">
            <w:pPr>
              <w:pStyle w:val="ListBullet2"/>
            </w:pPr>
            <w:r w:rsidRPr="007409EC">
              <w:t>accountability</w:t>
            </w:r>
          </w:p>
          <w:p w:rsidR="00000000" w:rsidRPr="007409EC" w:rsidP="007409EC">
            <w:pPr>
              <w:pStyle w:val="ListBullet2"/>
            </w:pPr>
            <w:r w:rsidRPr="007409EC">
              <w:t>transparency</w:t>
            </w:r>
          </w:p>
          <w:p w:rsidR="00000000" w:rsidRPr="007409EC" w:rsidP="007409EC">
            <w:pPr>
              <w:pStyle w:val="ListBullet2"/>
            </w:pPr>
            <w:r w:rsidRPr="007409EC">
              <w:t>confidentiality</w:t>
            </w:r>
          </w:p>
          <w:p w:rsidR="00000000" w:rsidRPr="007409EC" w:rsidP="007409EC">
            <w:pPr>
              <w:pStyle w:val="ListBullet2"/>
            </w:pPr>
            <w:r w:rsidRPr="007409EC">
              <w:t>management of conflict of interests</w:t>
            </w:r>
          </w:p>
          <w:p w:rsidR="00000000" w:rsidRPr="007409EC" w:rsidP="007409EC">
            <w:pPr>
              <w:pStyle w:val="ListBullet2"/>
            </w:pPr>
            <w:r w:rsidRPr="007409EC">
              <w:t>impartiality</w:t>
            </w:r>
          </w:p>
          <w:p w:rsidR="00000000" w:rsidRPr="007409EC" w:rsidP="007409EC">
            <w:pPr>
              <w:pStyle w:val="ListBullet"/>
            </w:pPr>
            <w:r w:rsidRPr="007409EC">
              <w:t>are maintained to:</w:t>
            </w:r>
          </w:p>
          <w:p w:rsidR="00000000" w:rsidRPr="007409EC" w:rsidP="007409EC">
            <w:pPr>
              <w:pStyle w:val="ListBullet2"/>
            </w:pPr>
            <w:r w:rsidRPr="007409EC">
              <w:t>ensure conformity to processes</w:t>
            </w:r>
          </w:p>
          <w:p w:rsidR="00000000" w:rsidRPr="007409EC" w:rsidP="007409EC">
            <w:pPr>
              <w:pStyle w:val="ListBullet2"/>
            </w:pPr>
            <w:r w:rsidRPr="007409EC">
              <w:t>facilitate accountability</w:t>
            </w:r>
          </w:p>
          <w:p w:rsidR="00000000" w:rsidRPr="007409EC" w:rsidP="007409EC">
            <w:pPr>
              <w:pStyle w:val="ListBullet2"/>
            </w:pPr>
            <w:r w:rsidRPr="007409EC">
              <w:t>ensure proponents are treated in a fair and equitable manner</w:t>
            </w:r>
          </w:p>
          <w:p w:rsidR="00000000" w:rsidRPr="007409EC" w:rsidP="007409EC">
            <w:pPr>
              <w:pStyle w:val="ListBullet2"/>
            </w:pPr>
            <w:r w:rsidRPr="007409EC">
              <w:t>encourage commercial completion</w:t>
            </w:r>
          </w:p>
          <w:p w:rsidR="00000000" w:rsidP="007409EC">
            <w:pPr>
              <w:pStyle w:val="ListBullet2"/>
              <w:rPr>
                <w:lang w:val="en-NZ"/>
              </w:rPr>
            </w:pPr>
            <w:r w:rsidRPr="007409EC">
              <w:t>preserve public and private sector confidence in government processes</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Stakeholders</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end users, customers or clients, and sponsors</w:t>
            </w:r>
          </w:p>
          <w:p w:rsidR="00000000" w:rsidRPr="007409EC" w:rsidP="007409EC">
            <w:pPr>
              <w:pStyle w:val="ListBullet"/>
            </w:pPr>
            <w:r w:rsidRPr="007409EC">
              <w:t>potential providers or suppliers</w:t>
            </w:r>
          </w:p>
          <w:p w:rsidR="00000000" w:rsidRPr="007409EC" w:rsidP="007409EC">
            <w:pPr>
              <w:pStyle w:val="ListBullet"/>
            </w:pPr>
            <w:r w:rsidRPr="007409EC">
              <w:t>current providers or suppliers</w:t>
            </w:r>
          </w:p>
          <w:p w:rsidR="00000000" w:rsidRPr="007409EC" w:rsidP="007409EC">
            <w:pPr>
              <w:pStyle w:val="ListBullet"/>
            </w:pPr>
            <w:r w:rsidRPr="007409EC">
              <w:t>technical or functional experts or advisers</w:t>
            </w:r>
          </w:p>
          <w:p w:rsidR="00000000" w:rsidRPr="007409EC" w:rsidP="007409EC">
            <w:pPr>
              <w:pStyle w:val="ListBullet"/>
            </w:pPr>
            <w:r w:rsidRPr="007409EC">
              <w:t>commonwealth, state or territory, and local government</w:t>
            </w:r>
          </w:p>
          <w:p w:rsidR="00000000" w:rsidRPr="007409EC" w:rsidP="007409EC">
            <w:pPr>
              <w:pStyle w:val="ListBullet"/>
            </w:pPr>
            <w:r w:rsidRPr="007409EC">
              <w:t>international governments</w:t>
            </w:r>
          </w:p>
          <w:p w:rsidR="00000000" w:rsidRPr="007409EC" w:rsidP="007409EC">
            <w:pPr>
              <w:pStyle w:val="ListBullet"/>
            </w:pPr>
            <w:r w:rsidRPr="007409EC">
              <w:t>the buying organisation</w:t>
            </w:r>
          </w:p>
          <w:p w:rsidR="00000000" w:rsidRPr="007409EC" w:rsidP="007409EC">
            <w:pPr>
              <w:pStyle w:val="ListBullet"/>
            </w:pPr>
            <w:r w:rsidRPr="007409EC">
              <w:t>other public sector organisations</w:t>
            </w:r>
          </w:p>
          <w:p w:rsidR="00000000" w:rsidRPr="007409EC" w:rsidP="007409EC">
            <w:pPr>
              <w:pStyle w:val="ListBullet"/>
            </w:pPr>
            <w:r w:rsidRPr="007409EC">
              <w:t>employees</w:t>
            </w:r>
            <w:r w:rsidRPr="007409EC">
              <w:t>, unions and staff associations</w:t>
            </w:r>
          </w:p>
          <w:p w:rsidR="00000000" w:rsidRPr="007409EC" w:rsidP="007409EC">
            <w:pPr>
              <w:pStyle w:val="ListBullet"/>
            </w:pPr>
            <w:r w:rsidRPr="007409EC">
              <w:t>industry bodies</w:t>
            </w:r>
          </w:p>
          <w:p w:rsidR="00000000" w:rsidRPr="007409EC" w:rsidP="007409EC">
            <w:pPr>
              <w:pStyle w:val="ListBullet"/>
            </w:pPr>
            <w:r w:rsidRPr="007409EC">
              <w:t>local communities</w:t>
            </w:r>
          </w:p>
          <w:p w:rsidR="00000000" w:rsidP="007409EC">
            <w:pPr>
              <w:pStyle w:val="ListBullet"/>
              <w:rPr>
                <w:lang w:val="en-NZ"/>
              </w:rPr>
            </w:pPr>
            <w:r w:rsidRPr="007409EC">
              <w:t>lobby groups and special user groups</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Value for money</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benefits versus cost</w:t>
            </w:r>
          </w:p>
          <w:p w:rsidR="00000000" w:rsidRPr="007409EC" w:rsidP="007409EC">
            <w:pPr>
              <w:pStyle w:val="ListBullet"/>
            </w:pPr>
            <w:r w:rsidRPr="007409EC">
              <w:t>fitness for purpose</w:t>
            </w:r>
          </w:p>
          <w:p w:rsidR="00000000" w:rsidRPr="007409EC" w:rsidP="007409EC">
            <w:pPr>
              <w:pStyle w:val="ListBullet"/>
            </w:pPr>
            <w:r w:rsidRPr="007409EC">
              <w:t>whole-of-life costs, such as maintenance, warranty and operating costs</w:t>
            </w:r>
          </w:p>
          <w:p w:rsidR="00000000" w:rsidRPr="007409EC" w:rsidP="007409EC">
            <w:pPr>
              <w:pStyle w:val="ListBullet"/>
            </w:pPr>
            <w:r w:rsidRPr="007409EC">
              <w:t xml:space="preserve">market considerations </w:t>
            </w:r>
          </w:p>
          <w:p w:rsidR="00000000" w:rsidRPr="007409EC" w:rsidP="007409EC">
            <w:pPr>
              <w:pStyle w:val="ListBullet"/>
            </w:pPr>
            <w:r w:rsidRPr="007409EC">
              <w:t xml:space="preserve">government policy objectives, e.g. industry development and employment creation </w:t>
            </w:r>
          </w:p>
          <w:p w:rsidR="00000000" w:rsidRPr="007409EC" w:rsidP="007409EC">
            <w:pPr>
              <w:pStyle w:val="ListBullet"/>
            </w:pPr>
            <w:r w:rsidRPr="007409EC">
              <w:t xml:space="preserve">strategic partnerships </w:t>
            </w:r>
          </w:p>
          <w:p w:rsidR="00000000" w:rsidRPr="007409EC" w:rsidP="007409EC">
            <w:pPr>
              <w:pStyle w:val="ListBullet"/>
            </w:pPr>
            <w:r w:rsidRPr="007409EC">
              <w:t>quality</w:t>
            </w:r>
          </w:p>
          <w:p w:rsidR="00000000" w:rsidRPr="007409EC" w:rsidP="007409EC">
            <w:pPr>
              <w:pStyle w:val="ListBullet"/>
            </w:pPr>
            <w:r w:rsidRPr="007409EC">
              <w:t xml:space="preserve">risks </w:t>
            </w:r>
          </w:p>
          <w:p w:rsidR="00000000" w:rsidRPr="007409EC" w:rsidP="007409EC">
            <w:pPr>
              <w:pStyle w:val="ListBullet"/>
            </w:pPr>
            <w:r w:rsidRPr="007409EC">
              <w:t>supplier capacity</w:t>
            </w:r>
          </w:p>
          <w:p w:rsidR="00000000" w:rsidRPr="007409EC" w:rsidP="007409EC">
            <w:pPr>
              <w:pStyle w:val="ListBullet"/>
            </w:pPr>
            <w:r w:rsidRPr="007409EC">
              <w:t>climate change, environmental considerations and energy conservation</w:t>
            </w:r>
          </w:p>
          <w:p w:rsidR="00000000" w:rsidP="007409EC">
            <w:pPr>
              <w:pStyle w:val="ListBullet"/>
              <w:rPr>
                <w:lang w:val="en-NZ"/>
              </w:rPr>
            </w:pPr>
            <w:r w:rsidRPr="007409EC">
              <w:t>disposal value</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t>Aspects of</w:t>
            </w:r>
            <w:r w:rsidRPr="007409EC">
              <w:t xml:space="preserve"> </w:t>
            </w:r>
            <w:r w:rsidRPr="007409EC">
              <w:rPr>
                <w:rStyle w:val="BoldandItalics"/>
              </w:rPr>
              <w:t>market research and analysis</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capacity of the market to supply</w:t>
            </w:r>
          </w:p>
          <w:p w:rsidR="00000000" w:rsidRPr="007409EC" w:rsidP="007409EC">
            <w:pPr>
              <w:pStyle w:val="ListBullet"/>
            </w:pPr>
            <w:r w:rsidRPr="007409EC">
              <w:t>maturity/life cycle placement of the goods and services</w:t>
            </w:r>
          </w:p>
          <w:p w:rsidR="00000000" w:rsidRPr="007409EC" w:rsidP="007409EC">
            <w:pPr>
              <w:pStyle w:val="ListBullet"/>
            </w:pPr>
            <w:r w:rsidRPr="007409EC">
              <w:t>new technologies</w:t>
            </w:r>
          </w:p>
          <w:p w:rsidR="00000000" w:rsidP="007409EC">
            <w:pPr>
              <w:pStyle w:val="ListBullet"/>
              <w:rPr>
                <w:lang w:val="en-NZ"/>
              </w:rPr>
            </w:pPr>
            <w:r w:rsidRPr="007409EC">
              <w:t>structure of the market and key players</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Procurement options</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whole of government arrangements</w:t>
            </w:r>
          </w:p>
          <w:p w:rsidR="00000000" w:rsidRPr="007409EC" w:rsidP="007409EC">
            <w:pPr>
              <w:pStyle w:val="ListBullet"/>
            </w:pPr>
            <w:r w:rsidRPr="007409EC">
              <w:t>existing agency and departmental agreements</w:t>
            </w:r>
          </w:p>
          <w:p w:rsidR="00000000" w:rsidRPr="007409EC" w:rsidP="007409EC">
            <w:pPr>
              <w:pStyle w:val="ListBullet"/>
            </w:pPr>
            <w:r w:rsidRPr="007409EC">
              <w:t>leasing arrangements</w:t>
            </w:r>
          </w:p>
          <w:p w:rsidR="00000000" w:rsidRPr="007409EC" w:rsidP="007409EC">
            <w:pPr>
              <w:pStyle w:val="ListBullet"/>
            </w:pPr>
            <w:r w:rsidRPr="007409EC">
              <w:t>alliance and partnership arrangements</w:t>
            </w:r>
          </w:p>
          <w:p w:rsidR="00000000" w:rsidRPr="007409EC" w:rsidP="007409EC">
            <w:pPr>
              <w:pStyle w:val="ListBullet"/>
            </w:pPr>
            <w:r w:rsidRPr="007409EC">
              <w:t>memoranda of understanding and memoranda of agreement</w:t>
            </w:r>
          </w:p>
          <w:p w:rsidR="00000000" w:rsidRPr="007409EC" w:rsidP="007409EC">
            <w:pPr>
              <w:pStyle w:val="ListBullet"/>
            </w:pPr>
            <w:r w:rsidRPr="007409EC">
              <w:t>contracts</w:t>
            </w:r>
          </w:p>
          <w:p w:rsidR="00000000" w:rsidRPr="007409EC" w:rsidP="007409EC">
            <w:pPr>
              <w:pStyle w:val="ListBullet"/>
            </w:pPr>
            <w:r w:rsidRPr="007409EC">
              <w:t>standing offers</w:t>
            </w:r>
          </w:p>
          <w:p w:rsidR="00000000" w:rsidRPr="007409EC" w:rsidP="007409EC">
            <w:pPr>
              <w:pStyle w:val="ListBullet"/>
            </w:pPr>
            <w:r w:rsidRPr="007409EC">
              <w:t>deeds of agreement</w:t>
            </w:r>
          </w:p>
          <w:p w:rsidR="00000000" w:rsidRPr="007409EC" w:rsidP="007409EC">
            <w:pPr>
              <w:pStyle w:val="ListBullet"/>
            </w:pPr>
            <w:r w:rsidRPr="007409EC">
              <w:t>inter and intra-gover</w:t>
            </w:r>
            <w:r w:rsidRPr="007409EC">
              <w:t>nment agreements</w:t>
            </w:r>
          </w:p>
          <w:p w:rsidR="00000000" w:rsidRPr="007409EC" w:rsidP="007409EC">
            <w:pPr>
              <w:pStyle w:val="ListBullet"/>
            </w:pPr>
            <w:r w:rsidRPr="007409EC">
              <w:t>outsourcing arrangements</w:t>
            </w:r>
          </w:p>
          <w:p w:rsidR="00000000" w:rsidP="007409EC">
            <w:pPr>
              <w:pStyle w:val="ListBullet"/>
              <w:rPr>
                <w:lang w:val="en-NZ"/>
              </w:rPr>
            </w:pPr>
            <w:r w:rsidRPr="007409EC">
              <w:t>in-house agreements</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Procurement methods</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open tender or proposal</w:t>
            </w:r>
          </w:p>
          <w:p w:rsidR="00000000" w:rsidRPr="007409EC" w:rsidP="007409EC">
            <w:pPr>
              <w:pStyle w:val="ListBullet"/>
            </w:pPr>
            <w:r w:rsidRPr="007409EC">
              <w:t>select (restricted) tender</w:t>
            </w:r>
          </w:p>
          <w:p w:rsidR="00000000" w:rsidRPr="007409EC" w:rsidP="007409EC">
            <w:pPr>
              <w:pStyle w:val="ListBullet"/>
            </w:pPr>
            <w:r w:rsidRPr="007409EC">
              <w:t>direct (sole) source</w:t>
            </w:r>
          </w:p>
          <w:p w:rsidR="00000000" w:rsidP="007409EC">
            <w:pPr>
              <w:pStyle w:val="ListBullet"/>
              <w:rPr>
                <w:lang w:val="en-NZ"/>
              </w:rPr>
            </w:pPr>
            <w:r w:rsidRPr="007409EC">
              <w:t>staged procurement</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Tender evaluation panel</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tender evaluation working groups</w:t>
            </w:r>
          </w:p>
          <w:p w:rsidR="00000000" w:rsidRPr="007409EC" w:rsidP="007409EC">
            <w:pPr>
              <w:pStyle w:val="ListBullet"/>
            </w:pPr>
            <w:r w:rsidRPr="007409EC">
              <w:t>selection panels</w:t>
            </w:r>
          </w:p>
          <w:p w:rsidR="00000000" w:rsidRPr="007409EC" w:rsidP="007409EC">
            <w:pPr>
              <w:pStyle w:val="ListBullet"/>
            </w:pPr>
            <w:r w:rsidRPr="007409EC">
              <w:t>expert advisory sub-panels</w:t>
            </w:r>
          </w:p>
          <w:p w:rsidR="00000000" w:rsidRPr="007409EC" w:rsidP="007409EC">
            <w:pPr>
              <w:pStyle w:val="ListBullet"/>
            </w:pPr>
            <w:r w:rsidRPr="007409EC">
              <w:t>subject and technical experts</w:t>
            </w:r>
          </w:p>
          <w:p w:rsidR="00000000" w:rsidRPr="007409EC" w:rsidP="007409EC">
            <w:pPr>
              <w:pStyle w:val="ListBullet"/>
            </w:pPr>
            <w:r w:rsidRPr="007409EC">
              <w:t>users</w:t>
            </w:r>
          </w:p>
          <w:p w:rsidR="00000000" w:rsidRPr="007409EC" w:rsidP="007409EC">
            <w:pPr>
              <w:pStyle w:val="ListBullet"/>
            </w:pPr>
            <w:r w:rsidRPr="007409EC">
              <w:t>past and present contract managers</w:t>
            </w:r>
          </w:p>
          <w:p w:rsidR="00000000" w:rsidP="007409EC">
            <w:pPr>
              <w:pStyle w:val="ListBullet"/>
              <w:rPr>
                <w:lang w:val="en-NZ"/>
              </w:rPr>
            </w:pPr>
            <w:r w:rsidRPr="007409EC">
              <w:t>probity experts</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Risks</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risk identified during market research</w:t>
            </w:r>
          </w:p>
          <w:p w:rsidR="00000000" w:rsidRPr="007409EC" w:rsidP="007409EC">
            <w:pPr>
              <w:pStyle w:val="ListBullet"/>
            </w:pPr>
            <w:r w:rsidRPr="007409EC">
              <w:t>criticality of the procurement to the organisation</w:t>
            </w:r>
          </w:p>
          <w:p w:rsidR="00000000" w:rsidRPr="007409EC" w:rsidP="007409EC">
            <w:pPr>
              <w:pStyle w:val="ListBullet"/>
            </w:pPr>
            <w:r w:rsidRPr="007409EC">
              <w:t>supplier-related risk</w:t>
            </w:r>
          </w:p>
          <w:p w:rsidR="00000000" w:rsidRPr="007409EC" w:rsidP="007409EC">
            <w:pPr>
              <w:pStyle w:val="ListBullet"/>
            </w:pPr>
            <w:r w:rsidRPr="007409EC">
              <w:t>product-related risk</w:t>
            </w:r>
          </w:p>
          <w:p w:rsidR="00000000" w:rsidRPr="007409EC" w:rsidP="007409EC">
            <w:pPr>
              <w:pStyle w:val="ListBullet"/>
            </w:pPr>
            <w:r w:rsidRPr="007409EC">
              <w:t>organisation-related risk</w:t>
            </w:r>
          </w:p>
          <w:p w:rsidR="00000000" w:rsidRPr="007409EC" w:rsidP="007409EC">
            <w:pPr>
              <w:pStyle w:val="ListBullet"/>
            </w:pPr>
            <w:r w:rsidRPr="007409EC">
              <w:t>market-related risk</w:t>
            </w:r>
          </w:p>
          <w:p w:rsidR="00000000" w:rsidRPr="007409EC" w:rsidP="007409EC">
            <w:pPr>
              <w:pStyle w:val="ListBullet"/>
            </w:pPr>
            <w:r w:rsidRPr="007409EC">
              <w:t>national security risk</w:t>
            </w:r>
          </w:p>
          <w:p w:rsidR="00000000" w:rsidRPr="007409EC" w:rsidP="007409EC">
            <w:pPr>
              <w:pStyle w:val="ListBullet"/>
            </w:pPr>
            <w:r w:rsidRPr="007409EC">
              <w:t>political risk</w:t>
            </w:r>
          </w:p>
          <w:p w:rsidR="00000000" w:rsidRPr="007409EC" w:rsidP="007409EC">
            <w:pPr>
              <w:pStyle w:val="ListBullet"/>
            </w:pPr>
            <w:r w:rsidRPr="007409EC">
              <w:t>corruption risk</w:t>
            </w:r>
          </w:p>
          <w:p w:rsidR="00000000" w:rsidP="007409EC">
            <w:pPr>
              <w:pStyle w:val="ListBullet"/>
              <w:rPr>
                <w:lang w:val="en-NZ"/>
              </w:rPr>
            </w:pPr>
            <w:r w:rsidRPr="007409EC">
              <w:t>probity risk</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Whole</w:t>
            </w:r>
            <w:r w:rsidRPr="007409EC">
              <w:t>-</w:t>
            </w:r>
            <w:r w:rsidRPr="007409EC">
              <w:rPr>
                <w:rStyle w:val="BoldandItalics"/>
              </w:rPr>
              <w:t>of</w:t>
            </w:r>
            <w:r w:rsidRPr="007409EC">
              <w:t>-</w:t>
            </w:r>
            <w:r w:rsidRPr="007409EC">
              <w:rPr>
                <w:rStyle w:val="BoldandItalics"/>
              </w:rPr>
              <w:t>life costs and benefits</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m</w:t>
            </w:r>
            <w:r w:rsidRPr="007409EC">
              <w:t>aintenance and support arrangements</w:t>
            </w:r>
          </w:p>
          <w:p w:rsidR="00000000" w:rsidRPr="007409EC" w:rsidP="007409EC">
            <w:pPr>
              <w:pStyle w:val="ListBullet"/>
            </w:pPr>
            <w:r w:rsidRPr="007409EC">
              <w:t xml:space="preserve">warranty </w:t>
            </w:r>
          </w:p>
          <w:p w:rsidR="00000000" w:rsidRPr="007409EC" w:rsidP="007409EC">
            <w:pPr>
              <w:pStyle w:val="ListBullet"/>
            </w:pPr>
            <w:r w:rsidRPr="007409EC">
              <w:t>firm or variable pricing regimes</w:t>
            </w:r>
          </w:p>
          <w:p w:rsidR="00000000" w:rsidRPr="007409EC" w:rsidP="007409EC">
            <w:pPr>
              <w:pStyle w:val="ListBullet"/>
            </w:pPr>
            <w:r w:rsidRPr="007409EC">
              <w:t>industry development</w:t>
            </w:r>
          </w:p>
          <w:p w:rsidR="00000000" w:rsidRPr="007409EC" w:rsidP="007409EC">
            <w:pPr>
              <w:pStyle w:val="ListBullet"/>
            </w:pPr>
            <w:r w:rsidRPr="007409EC">
              <w:t>environmental sustainability</w:t>
            </w:r>
          </w:p>
          <w:p w:rsidR="00000000" w:rsidRPr="007409EC" w:rsidP="007409EC">
            <w:pPr>
              <w:pStyle w:val="ListBullet"/>
            </w:pPr>
            <w:r w:rsidRPr="007409EC">
              <w:t>transition costs (establishing and renewing/extending)</w:t>
            </w:r>
          </w:p>
          <w:p w:rsidR="00000000" w:rsidRPr="007409EC" w:rsidP="007409EC">
            <w:pPr>
              <w:pStyle w:val="ListBullet"/>
            </w:pPr>
            <w:r w:rsidRPr="007409EC">
              <w:t>return on investment</w:t>
            </w:r>
          </w:p>
          <w:p w:rsidR="00000000" w:rsidRPr="007409EC" w:rsidP="007409EC">
            <w:pPr>
              <w:pStyle w:val="ListBullet"/>
            </w:pPr>
            <w:r w:rsidRPr="007409EC">
              <w:t>calculations of volume discounts</w:t>
            </w:r>
          </w:p>
          <w:p w:rsidR="00000000" w:rsidRPr="007409EC" w:rsidP="007409EC">
            <w:pPr>
              <w:pStyle w:val="ListBullet"/>
            </w:pPr>
            <w:r w:rsidRPr="007409EC">
              <w:t xml:space="preserve">operating costs </w:t>
            </w:r>
          </w:p>
          <w:p w:rsidR="00000000" w:rsidP="007409EC">
            <w:pPr>
              <w:pStyle w:val="ListBullet"/>
              <w:rPr>
                <w:lang w:val="en-NZ"/>
              </w:rPr>
            </w:pPr>
            <w:r w:rsidRPr="007409EC">
              <w:t>disposal</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rPr>
                <w:rStyle w:val="BoldandItalics"/>
              </w:rPr>
              <w:t>Plans and sub</w:t>
            </w:r>
            <w:r w:rsidRPr="007409EC">
              <w:t>-</w:t>
            </w:r>
            <w:r w:rsidRPr="007409EC">
              <w:rPr>
                <w:rStyle w:val="BoldandItalics"/>
              </w:rPr>
              <w:t>plans</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offer evaluation plan</w:t>
            </w:r>
          </w:p>
          <w:p w:rsidR="00000000" w:rsidRPr="007409EC" w:rsidP="007409EC">
            <w:pPr>
              <w:pStyle w:val="ListBullet"/>
            </w:pPr>
            <w:r w:rsidRPr="007409EC">
              <w:t>contract negotiation plan</w:t>
            </w:r>
          </w:p>
          <w:p w:rsidR="00000000" w:rsidRPr="007409EC" w:rsidP="007409EC">
            <w:pPr>
              <w:pStyle w:val="ListBullet"/>
            </w:pPr>
            <w:r w:rsidRPr="007409EC">
              <w:t>risk management plan</w:t>
            </w:r>
          </w:p>
          <w:p w:rsidR="00000000" w:rsidRPr="007409EC" w:rsidP="007409EC">
            <w:pPr>
              <w:pStyle w:val="ListBullet"/>
            </w:pPr>
            <w:r w:rsidRPr="007409EC">
              <w:t>contingency plan</w:t>
            </w:r>
          </w:p>
          <w:p w:rsidR="00000000" w:rsidRPr="007409EC" w:rsidP="007409EC">
            <w:pPr>
              <w:pStyle w:val="ListBullet"/>
            </w:pPr>
            <w:r w:rsidRPr="007409EC">
              <w:t>probity plan</w:t>
            </w:r>
          </w:p>
          <w:p w:rsidR="00000000" w:rsidRPr="007409EC" w:rsidP="007409EC">
            <w:pPr>
              <w:pStyle w:val="ListBullet"/>
            </w:pPr>
            <w:r w:rsidRPr="007409EC">
              <w:t>communication/public relations plan</w:t>
            </w:r>
          </w:p>
          <w:p w:rsidR="00000000" w:rsidRPr="007409EC" w:rsidP="007409EC">
            <w:pPr>
              <w:pStyle w:val="ListBullet"/>
            </w:pPr>
            <w:r w:rsidRPr="007409EC">
              <w:t>human resource management plan</w:t>
            </w:r>
          </w:p>
          <w:p w:rsidR="00000000" w:rsidRPr="007409EC" w:rsidP="007409EC">
            <w:pPr>
              <w:pStyle w:val="ListBullet"/>
            </w:pPr>
            <w:r w:rsidRPr="007409EC">
              <w:t>disposal plan</w:t>
            </w:r>
          </w:p>
          <w:p w:rsidR="00000000" w:rsidRPr="007409EC" w:rsidP="007409EC">
            <w:pPr>
              <w:pStyle w:val="ListBullet"/>
            </w:pPr>
            <w:r w:rsidRPr="007409EC">
              <w:t>contract review plan</w:t>
            </w:r>
          </w:p>
          <w:p w:rsidR="00000000" w:rsidRPr="007409EC" w:rsidP="007409EC">
            <w:pPr>
              <w:pStyle w:val="ListBullet"/>
            </w:pPr>
            <w:r w:rsidRPr="007409EC">
              <w:t>environmental sustainability plan</w:t>
            </w:r>
          </w:p>
          <w:p w:rsidR="00000000" w:rsidRPr="007409EC" w:rsidP="007409EC">
            <w:pPr>
              <w:pStyle w:val="ListBullet"/>
            </w:pPr>
            <w:r w:rsidRPr="007409EC">
              <w:t>industry policy plan</w:t>
            </w:r>
          </w:p>
          <w:p w:rsidR="00000000" w:rsidP="007409EC">
            <w:pPr>
              <w:pStyle w:val="ListBullet"/>
              <w:rPr>
                <w:lang w:val="en-NZ"/>
              </w:rPr>
            </w:pPr>
            <w:r w:rsidRPr="007409EC">
              <w:t>business continuity plan</w:t>
            </w:r>
          </w:p>
        </w:tc>
      </w:tr>
      <w:tr w:rsidTr="00685A9F">
        <w:tblPrEx>
          <w:tblW w:w="0" w:type="auto"/>
          <w:tblLayout w:type="fixed"/>
          <w:tblCellMar>
            <w:left w:w="62" w:type="dxa"/>
            <w:right w:w="62" w:type="dxa"/>
          </w:tblCellMar>
          <w:tblLook w:val="0000"/>
        </w:tblPrEx>
        <w:tc>
          <w:tcPr>
            <w:tcW w:w="2441" w:type="dxa"/>
            <w:tcBorders>
              <w:top w:val="nil"/>
              <w:left w:val="nil"/>
              <w:bottom w:val="nil"/>
              <w:right w:val="nil"/>
            </w:tcBorders>
            <w:tcMar>
              <w:top w:w="0" w:type="dxa"/>
              <w:left w:w="62" w:type="dxa"/>
              <w:bottom w:w="0" w:type="dxa"/>
              <w:right w:w="62" w:type="dxa"/>
            </w:tcMar>
          </w:tcPr>
          <w:p w:rsidR="00000000" w:rsidP="007409EC">
            <w:pPr>
              <w:pStyle w:val="BodyText"/>
              <w:rPr>
                <w:lang w:val="en-NZ"/>
              </w:rPr>
            </w:pPr>
            <w:r w:rsidRPr="007409EC">
              <w:t xml:space="preserve">Procurement </w:t>
            </w:r>
            <w:r w:rsidRPr="007409EC">
              <w:rPr>
                <w:rStyle w:val="BoldandItalics"/>
              </w:rPr>
              <w:t>reporting requirements</w:t>
            </w:r>
            <w:r w:rsidRPr="007409EC">
              <w:t xml:space="preserve"> may include:</w:t>
            </w:r>
          </w:p>
        </w:tc>
        <w:tc>
          <w:tcPr>
            <w:tcW w:w="6081" w:type="dxa"/>
            <w:tcBorders>
              <w:top w:val="nil"/>
              <w:left w:val="nil"/>
              <w:bottom w:val="nil"/>
              <w:right w:val="nil"/>
            </w:tcBorders>
            <w:tcMar>
              <w:top w:w="0" w:type="dxa"/>
              <w:left w:w="62" w:type="dxa"/>
              <w:bottom w:w="0" w:type="dxa"/>
              <w:right w:w="62" w:type="dxa"/>
            </w:tcMar>
          </w:tcPr>
          <w:p w:rsidR="00000000" w:rsidRPr="007409EC" w:rsidP="007409EC">
            <w:pPr>
              <w:pStyle w:val="ListBullet"/>
            </w:pPr>
            <w:r w:rsidRPr="007409EC">
              <w:t>public notification of business opportunities</w:t>
            </w:r>
          </w:p>
          <w:p w:rsidR="00000000" w:rsidRPr="007409EC" w:rsidP="007409EC">
            <w:pPr>
              <w:pStyle w:val="ListBullet"/>
            </w:pPr>
            <w:r w:rsidRPr="007409EC">
              <w:t xml:space="preserve">public notification of contracts and other agreements to supply (e.g. AusTender </w:t>
            </w:r>
            <w:r w:rsidRPr="007409EC">
              <w:t>or similar)</w:t>
            </w:r>
          </w:p>
          <w:p w:rsidR="00000000" w:rsidRPr="007409EC" w:rsidP="007409EC">
            <w:pPr>
              <w:pStyle w:val="ListBullet"/>
            </w:pPr>
            <w:r w:rsidRPr="007409EC">
              <w:t>annual or other forward procurement plans</w:t>
            </w:r>
          </w:p>
          <w:p w:rsidR="00000000" w:rsidRPr="007409EC" w:rsidP="007409EC">
            <w:pPr>
              <w:pStyle w:val="ListBullet"/>
            </w:pPr>
            <w:r w:rsidRPr="007409EC">
              <w:t>annual reports</w:t>
            </w:r>
          </w:p>
          <w:p w:rsidR="00000000" w:rsidRPr="007409EC" w:rsidP="007409EC">
            <w:pPr>
              <w:pStyle w:val="ListBullet"/>
            </w:pPr>
            <w:r w:rsidRPr="007409EC">
              <w:t>senate/parliament reports</w:t>
            </w:r>
          </w:p>
          <w:p w:rsidR="00000000" w:rsidRPr="007409EC" w:rsidP="007409EC">
            <w:pPr>
              <w:pStyle w:val="ListBullet"/>
            </w:pPr>
            <w:r w:rsidRPr="007409EC">
              <w:t>internal reports</w:t>
            </w:r>
          </w:p>
        </w:tc>
      </w:tr>
    </w:tbl>
    <w:p w:rsidR="00685A9F" w:rsidP="007409EC">
      <w:pPr>
        <w:pStyle w:val="BodyText"/>
      </w:pPr>
    </w:p>
    <w:p w:rsidR="00685A9F" w:rsidP="007409EC">
      <w:pPr>
        <w:pStyle w:val="BodyText"/>
      </w:pPr>
    </w:p>
    <w:p w:rsidR="00000000" w:rsidRPr="007409EC" w:rsidP="007409EC">
      <w:pPr>
        <w:pStyle w:val="Heading1"/>
      </w:pPr>
      <w:bookmarkStart w:id="12" w:name="O_411040"/>
      <w:bookmarkEnd w:id="12"/>
      <w:r w:rsidRPr="007409EC">
        <w:t>Unit Sector(s)</w:t>
      </w:r>
    </w:p>
    <w:p w:rsidR="00000000" w:rsidRPr="007409EC" w:rsidP="007409EC">
      <w:pPr>
        <w:pStyle w:val="BodyText"/>
      </w:pPr>
      <w:r w:rsidRPr="007409EC">
        <w:t>Not applicable.</w:t>
      </w:r>
    </w:p>
    <w:p w:rsidR="00000000" w:rsidRPr="007409EC" w:rsidP="007409EC">
      <w:pPr>
        <w:pStyle w:val="AllowPageBreak"/>
      </w:pPr>
    </w:p>
    <w:p w:rsidR="00000000" w:rsidRPr="007409EC" w:rsidP="007409EC">
      <w:pPr>
        <w:pStyle w:val="Heading1"/>
      </w:pPr>
      <w:bookmarkStart w:id="13" w:name="O_411053"/>
      <w:bookmarkEnd w:id="13"/>
      <w:r w:rsidRPr="007409EC">
        <w:t>Competency field</w:t>
      </w:r>
    </w:p>
    <w:p w:rsidR="00000000" w:rsidRPr="007409EC" w:rsidP="007409EC">
      <w:pPr>
        <w:pStyle w:val="BodyText"/>
      </w:pPr>
      <w:r w:rsidRPr="007409EC">
        <w:t>Procurement and Contract Management.</w:t>
      </w:r>
    </w:p>
    <w:p w:rsidR="00000000" w:rsidRPr="007409EC" w:rsidP="007409EC"/>
    <w:sectPr w:rsidSect="007409E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5A9F" w:rsidP="00685A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9F" w:rsidP="007409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685A9F" w:rsidP="007409E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85A9F" w:rsidP="007409E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5A9F" w:rsidP="00685A9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09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5A9F" w:rsidP="007409EC">
    <w:pPr>
      <w:pStyle w:val="Header"/>
      <w:framePr w:wrap="around"/>
    </w:pPr>
    <w:r>
      <w:fldChar w:fldCharType="begin"/>
    </w:r>
    <w:r>
      <w:instrText xml:space="preserve"> TITLE   \* MERGEFORMAT </w:instrText>
    </w:r>
    <w:r>
      <w:fldChar w:fldCharType="separate"/>
    </w:r>
    <w:r>
      <w:t>PSPPROC507A Plan for procurement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85A9F" w:rsidP="007409E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AB2D4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E4FB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4E82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09E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409EC"/>
    <w:pPr>
      <w:spacing w:before="360" w:after="60"/>
      <w:outlineLvl w:val="0"/>
    </w:pPr>
    <w:rPr>
      <w:sz w:val="32"/>
    </w:rPr>
  </w:style>
  <w:style w:type="paragraph" w:styleId="Heading2">
    <w:name w:val="heading 2"/>
    <w:basedOn w:val="HeadingBase"/>
    <w:next w:val="BodyText"/>
    <w:link w:val="Heading2Char"/>
    <w:qFormat/>
    <w:rsid w:val="007409EC"/>
    <w:pPr>
      <w:keepLines/>
      <w:spacing w:before="240" w:after="120"/>
      <w:outlineLvl w:val="1"/>
    </w:pPr>
    <w:rPr>
      <w:sz w:val="28"/>
      <w:szCs w:val="40"/>
    </w:rPr>
  </w:style>
  <w:style w:type="paragraph" w:styleId="Heading3">
    <w:name w:val="heading 3"/>
    <w:basedOn w:val="HeadingBase"/>
    <w:next w:val="BodyText"/>
    <w:link w:val="Heading3Char"/>
    <w:qFormat/>
    <w:rsid w:val="007409EC"/>
    <w:pPr>
      <w:spacing w:before="180" w:after="120"/>
      <w:outlineLvl w:val="2"/>
    </w:pPr>
    <w:rPr>
      <w:spacing w:val="-10"/>
      <w:kern w:val="32"/>
    </w:rPr>
  </w:style>
  <w:style w:type="paragraph" w:styleId="Heading4">
    <w:name w:val="heading 4"/>
    <w:basedOn w:val="HeadingBase"/>
    <w:next w:val="BodyText"/>
    <w:link w:val="Heading4Char"/>
    <w:qFormat/>
    <w:rsid w:val="007409EC"/>
    <w:pPr>
      <w:spacing w:before="160" w:after="120"/>
      <w:outlineLvl w:val="3"/>
    </w:pPr>
    <w:rPr>
      <w:sz w:val="22"/>
    </w:rPr>
  </w:style>
  <w:style w:type="paragraph" w:styleId="Heading5">
    <w:name w:val="heading 5"/>
    <w:basedOn w:val="HeadingBase"/>
    <w:next w:val="Normal"/>
    <w:link w:val="Heading5Char"/>
    <w:qFormat/>
    <w:rsid w:val="007409EC"/>
    <w:pPr>
      <w:spacing w:before="80"/>
      <w:outlineLvl w:val="4"/>
    </w:pPr>
    <w:rPr>
      <w:color w:val="918585"/>
      <w:sz w:val="20"/>
    </w:rPr>
  </w:style>
  <w:style w:type="paragraph" w:styleId="Heading6">
    <w:name w:val="heading 6"/>
    <w:basedOn w:val="HeadingBase"/>
    <w:next w:val="Normal"/>
    <w:link w:val="Heading6Char"/>
    <w:qFormat/>
    <w:rsid w:val="007409EC"/>
    <w:pPr>
      <w:spacing w:before="60"/>
      <w:outlineLvl w:val="5"/>
    </w:pPr>
    <w:rPr>
      <w:color w:val="918585"/>
      <w:sz w:val="20"/>
    </w:rPr>
  </w:style>
  <w:style w:type="paragraph" w:styleId="Heading7">
    <w:name w:val="heading 7"/>
    <w:basedOn w:val="Normal"/>
    <w:next w:val="Normal"/>
    <w:link w:val="Heading7Char"/>
    <w:qFormat/>
    <w:rsid w:val="007409EC"/>
    <w:pPr>
      <w:ind w:left="720"/>
      <w:outlineLvl w:val="6"/>
    </w:pPr>
    <w:rPr>
      <w:i/>
    </w:rPr>
  </w:style>
  <w:style w:type="paragraph" w:styleId="Heading8">
    <w:name w:val="heading 8"/>
    <w:basedOn w:val="Normal"/>
    <w:next w:val="Normal"/>
    <w:link w:val="Heading8Char"/>
    <w:qFormat/>
    <w:rsid w:val="007409EC"/>
    <w:pPr>
      <w:ind w:left="720"/>
      <w:outlineLvl w:val="7"/>
    </w:pPr>
    <w:rPr>
      <w:i/>
    </w:rPr>
  </w:style>
  <w:style w:type="paragraph" w:styleId="Heading9">
    <w:name w:val="heading 9"/>
    <w:basedOn w:val="Normal"/>
    <w:next w:val="Normal"/>
    <w:link w:val="Heading9Char"/>
    <w:qFormat/>
    <w:rsid w:val="007409EC"/>
    <w:pPr>
      <w:ind w:left="720"/>
      <w:outlineLvl w:val="8"/>
    </w:pPr>
    <w:rPr>
      <w:i/>
    </w:rPr>
  </w:style>
  <w:style w:type="character" w:default="1" w:styleId="DefaultParagraphFont">
    <w:name w:val="Default Paragraph Font"/>
    <w:uiPriority w:val="1"/>
    <w:unhideWhenUsed/>
    <w:rsid w:val="007409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409EC"/>
  </w:style>
  <w:style w:type="character" w:customStyle="1" w:styleId="Heading1Char">
    <w:name w:val="Heading 1 Char"/>
    <w:link w:val="Heading1"/>
    <w:rsid w:val="007409EC"/>
    <w:rPr>
      <w:rFonts w:ascii="Times New Roman" w:eastAsia="Times New Roman" w:hAnsi="Times New Roman" w:cs="Times New Roman"/>
      <w:b/>
      <w:sz w:val="32"/>
      <w:szCs w:val="20"/>
      <w:lang w:eastAsia="en-US"/>
    </w:rPr>
  </w:style>
  <w:style w:type="paragraph" w:styleId="BodyText">
    <w:name w:val="Body Text"/>
    <w:basedOn w:val="Normal"/>
    <w:link w:val="BodyTextChar"/>
    <w:rsid w:val="007409EC"/>
    <w:pPr>
      <w:spacing w:before="120" w:after="120"/>
      <w:contextualSpacing/>
    </w:pPr>
    <w:rPr>
      <w:rFonts w:ascii="Times New Roman" w:hAnsi="Times New Roman"/>
      <w:sz w:val="24"/>
      <w:szCs w:val="22"/>
    </w:rPr>
  </w:style>
  <w:style w:type="character" w:customStyle="1" w:styleId="BodyTextChar">
    <w:name w:val="Body Text Char"/>
    <w:link w:val="BodyText"/>
    <w:rsid w:val="007409EC"/>
    <w:rPr>
      <w:rFonts w:ascii="Times New Roman" w:eastAsia="Times New Roman" w:hAnsi="Times New Roman" w:cs="Times New Roman"/>
      <w:sz w:val="24"/>
      <w:lang w:val="en-US" w:eastAsia="en-US"/>
    </w:rPr>
  </w:style>
  <w:style w:type="paragraph" w:styleId="Footer">
    <w:name w:val="footer"/>
    <w:basedOn w:val="Normal"/>
    <w:link w:val="FooterChar"/>
    <w:rsid w:val="007409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409EC"/>
    <w:rPr>
      <w:rFonts w:ascii="Times New Roman" w:eastAsia="Times New Roman" w:hAnsi="Times New Roman" w:cs="Times New Roman"/>
      <w:sz w:val="16"/>
      <w:lang w:val="en-US" w:eastAsia="en-US"/>
    </w:rPr>
  </w:style>
  <w:style w:type="paragraph" w:styleId="List">
    <w:name w:val="List"/>
    <w:basedOn w:val="BodyText"/>
    <w:next w:val="BodyText"/>
    <w:rsid w:val="007409EC"/>
    <w:pPr>
      <w:tabs>
        <w:tab w:val="left" w:pos="340"/>
      </w:tabs>
      <w:spacing w:before="60" w:after="60"/>
      <w:ind w:left="340" w:hanging="340"/>
    </w:pPr>
  </w:style>
  <w:style w:type="paragraph" w:styleId="ListBullet">
    <w:name w:val="List Bullet"/>
    <w:basedOn w:val="List"/>
    <w:rsid w:val="007409EC"/>
    <w:pPr>
      <w:numPr>
        <w:numId w:val="13"/>
      </w:numPr>
      <w:tabs>
        <w:tab w:val="clear" w:pos="340"/>
      </w:tabs>
      <w:spacing w:before="40" w:after="40"/>
    </w:pPr>
  </w:style>
  <w:style w:type="character" w:customStyle="1" w:styleId="SpecialBold">
    <w:name w:val="Special Bold"/>
    <w:rsid w:val="007409EC"/>
    <w:rPr>
      <w:b/>
      <w:spacing w:val="0"/>
    </w:rPr>
  </w:style>
  <w:style w:type="paragraph" w:styleId="ListBullet2">
    <w:name w:val="List Bullet 2"/>
    <w:basedOn w:val="List2"/>
    <w:rsid w:val="007409EC"/>
    <w:pPr>
      <w:numPr>
        <w:numId w:val="14"/>
      </w:numPr>
      <w:tabs>
        <w:tab w:val="clear" w:pos="680"/>
      </w:tabs>
    </w:pPr>
  </w:style>
  <w:style w:type="paragraph" w:styleId="Header">
    <w:name w:val="header"/>
    <w:basedOn w:val="Normal"/>
    <w:link w:val="HeaderChar"/>
    <w:rsid w:val="007409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409E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409EC"/>
    <w:pPr>
      <w:spacing w:before="240" w:after="120"/>
      <w:outlineLvl w:val="0"/>
    </w:pPr>
    <w:rPr>
      <w:rFonts w:ascii="Times New Roman" w:hAnsi="Times New Roman"/>
      <w:b/>
      <w:sz w:val="28"/>
    </w:rPr>
  </w:style>
  <w:style w:type="paragraph" w:customStyle="1" w:styleId="AllowPageBreak">
    <w:name w:val="AllowPageBreak"/>
    <w:rsid w:val="007409E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409EC"/>
    <w:rPr>
      <w:b/>
      <w:i/>
      <w:u w:val="none"/>
    </w:rPr>
  </w:style>
  <w:style w:type="character" w:customStyle="1" w:styleId="Heading2Char">
    <w:name w:val="Heading 2 Char"/>
    <w:link w:val="Heading2"/>
    <w:rsid w:val="007409EC"/>
    <w:rPr>
      <w:rFonts w:ascii="Times New Roman" w:eastAsia="Times New Roman" w:hAnsi="Times New Roman" w:cs="Times New Roman"/>
      <w:b/>
      <w:sz w:val="28"/>
      <w:szCs w:val="40"/>
      <w:lang w:eastAsia="en-US"/>
    </w:rPr>
  </w:style>
  <w:style w:type="character" w:customStyle="1" w:styleId="Heading3Char">
    <w:name w:val="Heading 3 Char"/>
    <w:link w:val="Heading3"/>
    <w:rsid w:val="007409E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409EC"/>
    <w:rPr>
      <w:rFonts w:ascii="Times New Roman" w:eastAsia="Times New Roman" w:hAnsi="Times New Roman" w:cs="Times New Roman"/>
      <w:b/>
      <w:szCs w:val="20"/>
      <w:lang w:eastAsia="en-US"/>
    </w:rPr>
  </w:style>
  <w:style w:type="character" w:customStyle="1" w:styleId="Heading5Char">
    <w:name w:val="Heading 5 Char"/>
    <w:link w:val="Heading5"/>
    <w:rsid w:val="007409E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409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409E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409E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409EC"/>
    <w:rPr>
      <w:rFonts w:ascii="Courier New" w:eastAsia="Times New Roman" w:hAnsi="Courier New" w:cs="Times New Roman"/>
      <w:i/>
      <w:szCs w:val="20"/>
      <w:lang w:val="en-US" w:eastAsia="en-US"/>
    </w:rPr>
  </w:style>
  <w:style w:type="paragraph" w:customStyle="1" w:styleId="HeadingBase">
    <w:name w:val="Heading Base"/>
    <w:rsid w:val="007409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409EC"/>
    <w:pPr>
      <w:tabs>
        <w:tab w:val="right" w:leader="dot" w:pos="9072"/>
      </w:tabs>
      <w:ind w:left="567"/>
    </w:pPr>
    <w:rPr>
      <w:szCs w:val="22"/>
    </w:rPr>
  </w:style>
  <w:style w:type="paragraph" w:customStyle="1" w:styleId="TOCBase">
    <w:name w:val="TOC Base"/>
    <w:rsid w:val="007409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409EC"/>
    <w:pPr>
      <w:tabs>
        <w:tab w:val="right" w:leader="dot" w:pos="9072"/>
      </w:tabs>
      <w:spacing w:before="40" w:after="40"/>
      <w:ind w:left="284"/>
    </w:pPr>
    <w:rPr>
      <w:rFonts w:ascii="Times New Roman" w:hAnsi="Times New Roman"/>
    </w:rPr>
  </w:style>
  <w:style w:type="paragraph" w:styleId="TOC1">
    <w:name w:val="toc 1"/>
    <w:basedOn w:val="TOCBase"/>
    <w:next w:val="Normal"/>
    <w:rsid w:val="007409E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409EC"/>
    <w:pPr>
      <w:spacing w:before="5040"/>
      <w:jc w:val="center"/>
    </w:pPr>
    <w:rPr>
      <w:sz w:val="48"/>
      <w:szCs w:val="72"/>
      <w:lang w:val="en-US"/>
    </w:rPr>
  </w:style>
  <w:style w:type="character" w:customStyle="1" w:styleId="TitleChar">
    <w:name w:val="Title Char"/>
    <w:link w:val="Title"/>
    <w:rsid w:val="007409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409EC"/>
    <w:pPr>
      <w:tabs>
        <w:tab w:val="left" w:pos="3600"/>
        <w:tab w:val="left" w:pos="3958"/>
      </w:tabs>
    </w:pPr>
  </w:style>
  <w:style w:type="paragraph" w:customStyle="1" w:styleId="Note">
    <w:name w:val="Note"/>
    <w:basedOn w:val="BodyText"/>
    <w:rsid w:val="007409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409EC"/>
    <w:pPr>
      <w:framePr w:wrap="auto" w:hAnchor="text" w:y="6049"/>
    </w:pPr>
    <w:rPr>
      <w:color w:val="000000"/>
      <w:sz w:val="40"/>
    </w:rPr>
  </w:style>
  <w:style w:type="paragraph" w:customStyle="1" w:styleId="TOCTitle">
    <w:name w:val="TOCTitle"/>
    <w:basedOn w:val="Heading1"/>
    <w:rsid w:val="007409EC"/>
    <w:pPr>
      <w:spacing w:after="240"/>
      <w:jc w:val="center"/>
      <w:outlineLvl w:val="9"/>
    </w:pPr>
    <w:rPr>
      <w:caps/>
    </w:rPr>
  </w:style>
  <w:style w:type="paragraph" w:customStyle="1" w:styleId="Version">
    <w:name w:val="Version"/>
    <w:rsid w:val="007409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409EC"/>
    <w:pPr>
      <w:keepNext w:val="0"/>
      <w:tabs>
        <w:tab w:val="right" w:pos="4176"/>
      </w:tabs>
      <w:ind w:left="198" w:hanging="198"/>
    </w:pPr>
    <w:rPr>
      <w:rFonts w:ascii="Garamond" w:hAnsi="Garamond"/>
    </w:rPr>
  </w:style>
  <w:style w:type="paragraph" w:styleId="IndexHeading">
    <w:name w:val="index heading"/>
    <w:basedOn w:val="Normal"/>
    <w:next w:val="Index1"/>
    <w:semiHidden/>
    <w:rsid w:val="007409EC"/>
    <w:pPr>
      <w:spacing w:before="120" w:after="120"/>
    </w:pPr>
    <w:rPr>
      <w:rFonts w:ascii="Arial" w:hAnsi="Arial"/>
      <w:b/>
      <w:color w:val="918585"/>
      <w:sz w:val="24"/>
    </w:rPr>
  </w:style>
  <w:style w:type="paragraph" w:customStyle="1" w:styleId="Chapter">
    <w:name w:val="Chapter"/>
    <w:basedOn w:val="Normal"/>
    <w:rsid w:val="007409EC"/>
    <w:pPr>
      <w:spacing w:before="240"/>
    </w:pPr>
    <w:rPr>
      <w:rFonts w:ascii="Times New Roman" w:hAnsi="Times New Roman"/>
      <w:smallCaps/>
      <w:spacing w:val="80"/>
      <w:sz w:val="28"/>
    </w:rPr>
  </w:style>
  <w:style w:type="paragraph" w:customStyle="1" w:styleId="InChapter">
    <w:name w:val="InChapter"/>
    <w:basedOn w:val="Heading3"/>
    <w:rsid w:val="007409EC"/>
    <w:pPr>
      <w:spacing w:after="240"/>
      <w:outlineLvl w:val="9"/>
    </w:pPr>
    <w:rPr>
      <w:noProof/>
    </w:rPr>
  </w:style>
  <w:style w:type="paragraph" w:styleId="Index2">
    <w:name w:val="index 2"/>
    <w:basedOn w:val="Normal"/>
    <w:next w:val="Normal"/>
    <w:semiHidden/>
    <w:rsid w:val="007409EC"/>
    <w:pPr>
      <w:tabs>
        <w:tab w:val="right" w:pos="4176"/>
      </w:tabs>
      <w:ind w:left="568" w:hanging="284"/>
    </w:pPr>
    <w:rPr>
      <w:rFonts w:ascii="Garamond" w:hAnsi="Garamond"/>
    </w:rPr>
  </w:style>
  <w:style w:type="paragraph" w:customStyle="1" w:styleId="Byline">
    <w:name w:val="Byline"/>
    <w:rsid w:val="007409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409EC"/>
    <w:pPr>
      <w:tabs>
        <w:tab w:val="clear" w:pos="3600"/>
        <w:tab w:val="clear" w:pos="3958"/>
      </w:tabs>
      <w:jc w:val="right"/>
    </w:pPr>
  </w:style>
  <w:style w:type="character" w:styleId="Emphasis">
    <w:name w:val="Emphasis"/>
    <w:qFormat/>
    <w:rsid w:val="007409EC"/>
    <w:rPr>
      <w:i/>
    </w:rPr>
  </w:style>
  <w:style w:type="paragraph" w:styleId="Caption">
    <w:name w:val="caption"/>
    <w:basedOn w:val="BodyText"/>
    <w:next w:val="Normal"/>
    <w:qFormat/>
    <w:rsid w:val="007409EC"/>
    <w:pPr>
      <w:framePr w:w="2268" w:hSpace="181" w:vSpace="181" w:wrap="around" w:vAnchor="text" w:hAnchor="page" w:x="1135" w:y="285" w:anchorLock="1"/>
    </w:pPr>
    <w:rPr>
      <w:i/>
    </w:rPr>
  </w:style>
  <w:style w:type="paragraph" w:customStyle="1" w:styleId="MiniTOCTitle">
    <w:name w:val="MiniTOCTitle"/>
    <w:basedOn w:val="Heading4"/>
    <w:rsid w:val="007409EC"/>
    <w:pPr>
      <w:spacing w:before="240"/>
      <w:outlineLvl w:val="9"/>
    </w:pPr>
    <w:rPr>
      <w:noProof/>
      <w:sz w:val="24"/>
    </w:rPr>
  </w:style>
  <w:style w:type="paragraph" w:customStyle="1" w:styleId="MiniTOCItem">
    <w:name w:val="MiniTOCItem"/>
    <w:basedOn w:val="ListBullet"/>
    <w:rsid w:val="007409EC"/>
    <w:pPr>
      <w:numPr>
        <w:numId w:val="0"/>
      </w:numPr>
      <w:tabs>
        <w:tab w:val="right" w:leader="dot" w:pos="6521"/>
      </w:tabs>
      <w:spacing w:before="0" w:after="0"/>
    </w:pPr>
  </w:style>
  <w:style w:type="paragraph" w:customStyle="1" w:styleId="TOFTitle">
    <w:name w:val="TOFTitle"/>
    <w:basedOn w:val="TOCTitle"/>
    <w:rsid w:val="007409EC"/>
  </w:style>
  <w:style w:type="paragraph" w:styleId="TableofFigures">
    <w:name w:val="table of figures"/>
    <w:basedOn w:val="Normal"/>
    <w:next w:val="Normal"/>
    <w:semiHidden/>
    <w:rsid w:val="007409EC"/>
    <w:pPr>
      <w:tabs>
        <w:tab w:val="right" w:leader="dot" w:pos="9072"/>
      </w:tabs>
      <w:ind w:left="970" w:hanging="403"/>
    </w:pPr>
    <w:rPr>
      <w:rFonts w:ascii="Times New Roman" w:hAnsi="Times New Roman"/>
      <w:b/>
    </w:rPr>
  </w:style>
  <w:style w:type="paragraph" w:styleId="ListNumber">
    <w:name w:val="List Number"/>
    <w:basedOn w:val="List"/>
    <w:rsid w:val="007409EC"/>
    <w:pPr>
      <w:numPr>
        <w:numId w:val="11"/>
      </w:numPr>
    </w:pPr>
  </w:style>
  <w:style w:type="character" w:customStyle="1" w:styleId="WingdingSymbols">
    <w:name w:val="Wingding Symbols"/>
    <w:rsid w:val="007409EC"/>
    <w:rPr>
      <w:rFonts w:ascii="Wingdings" w:hAnsi="Wingdings"/>
    </w:rPr>
  </w:style>
  <w:style w:type="paragraph" w:customStyle="1" w:styleId="TableHeading">
    <w:name w:val="Table Heading"/>
    <w:basedOn w:val="HeadingBase"/>
    <w:rsid w:val="007409EC"/>
    <w:pPr>
      <w:keepLines/>
      <w:pBdr>
        <w:bottom w:val="single" w:sz="6" w:space="1" w:color="918585"/>
      </w:pBdr>
      <w:spacing w:before="240"/>
    </w:pPr>
  </w:style>
  <w:style w:type="character" w:customStyle="1" w:styleId="HotSpot">
    <w:name w:val="HotSpot"/>
    <w:rsid w:val="007409EC"/>
    <w:rPr>
      <w:color w:val="0033CC"/>
      <w:u w:val="none"/>
    </w:rPr>
  </w:style>
  <w:style w:type="paragraph" w:customStyle="1" w:styleId="BodyTextRight">
    <w:name w:val="Body Text Right"/>
    <w:basedOn w:val="BodyText"/>
    <w:rsid w:val="007409EC"/>
    <w:pPr>
      <w:spacing w:before="0" w:after="0"/>
      <w:jc w:val="right"/>
    </w:pPr>
  </w:style>
  <w:style w:type="paragraph" w:styleId="Index3">
    <w:name w:val="index 3"/>
    <w:basedOn w:val="ListNumber2"/>
    <w:next w:val="Normal"/>
    <w:semiHidden/>
    <w:rsid w:val="007409EC"/>
    <w:pPr>
      <w:numPr>
        <w:numId w:val="0"/>
      </w:numPr>
      <w:tabs>
        <w:tab w:val="right" w:leader="dot" w:pos="4176"/>
      </w:tabs>
    </w:pPr>
  </w:style>
  <w:style w:type="paragraph" w:styleId="ListNumber2">
    <w:name w:val="List Number 2"/>
    <w:basedOn w:val="List2"/>
    <w:rsid w:val="007409EC"/>
    <w:pPr>
      <w:numPr>
        <w:numId w:val="10"/>
      </w:numPr>
      <w:tabs>
        <w:tab w:val="clear" w:pos="1060"/>
      </w:tabs>
    </w:pPr>
  </w:style>
  <w:style w:type="paragraph" w:customStyle="1" w:styleId="MarginNote">
    <w:name w:val="Margin Note"/>
    <w:basedOn w:val="BodyText"/>
    <w:rsid w:val="007409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409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409E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409EC"/>
    <w:rPr>
      <w:sz w:val="32"/>
    </w:rPr>
  </w:style>
  <w:style w:type="paragraph" w:customStyle="1" w:styleId="HeadingProcedure">
    <w:name w:val="Heading Procedure"/>
    <w:basedOn w:val="HeadingBase"/>
    <w:next w:val="Normal"/>
    <w:rsid w:val="007409EC"/>
    <w:pPr>
      <w:tabs>
        <w:tab w:val="left" w:pos="0"/>
      </w:tabs>
      <w:spacing w:before="120" w:after="60"/>
    </w:pPr>
    <w:rPr>
      <w:i/>
      <w:color w:val="918585"/>
      <w:sz w:val="22"/>
    </w:rPr>
  </w:style>
  <w:style w:type="paragraph" w:customStyle="1" w:styleId="TableBodyText">
    <w:name w:val="Table Body Text"/>
    <w:basedOn w:val="BodyText"/>
    <w:rsid w:val="007409EC"/>
    <w:pPr>
      <w:spacing w:before="60" w:after="60"/>
    </w:pPr>
  </w:style>
  <w:style w:type="paragraph" w:styleId="ListContinue">
    <w:name w:val="List Continue"/>
    <w:basedOn w:val="List"/>
    <w:rsid w:val="007409EC"/>
    <w:pPr>
      <w:ind w:firstLine="0"/>
    </w:pPr>
  </w:style>
  <w:style w:type="paragraph" w:customStyle="1" w:styleId="ListNote">
    <w:name w:val="List Note"/>
    <w:basedOn w:val="List"/>
    <w:rsid w:val="007409EC"/>
    <w:pPr>
      <w:pBdr>
        <w:top w:val="single" w:sz="6" w:space="2" w:color="918585"/>
        <w:bottom w:val="single" w:sz="6" w:space="2" w:color="918585"/>
      </w:pBdr>
      <w:tabs>
        <w:tab w:val="left" w:pos="1021"/>
      </w:tabs>
      <w:ind w:firstLine="0"/>
    </w:pPr>
  </w:style>
  <w:style w:type="paragraph" w:customStyle="1" w:styleId="Warning">
    <w:name w:val="Warning"/>
    <w:basedOn w:val="BodyText"/>
    <w:rsid w:val="007409EC"/>
    <w:pPr>
      <w:shd w:val="clear" w:color="auto" w:fill="D9D9D9"/>
      <w:tabs>
        <w:tab w:val="left" w:pos="992"/>
      </w:tabs>
      <w:ind w:left="119" w:right="119"/>
    </w:pPr>
    <w:rPr>
      <w:sz w:val="20"/>
    </w:rPr>
  </w:style>
  <w:style w:type="paragraph" w:customStyle="1" w:styleId="MarginIcons">
    <w:name w:val="Margin Icons"/>
    <w:basedOn w:val="BodyText"/>
    <w:rsid w:val="007409E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409EC"/>
    <w:rPr>
      <w:rFonts w:ascii="Courier New" w:hAnsi="Courier New"/>
    </w:rPr>
  </w:style>
  <w:style w:type="paragraph" w:customStyle="1" w:styleId="NoteBullet">
    <w:name w:val="Note Bullet"/>
    <w:basedOn w:val="Note"/>
    <w:rsid w:val="007409EC"/>
    <w:pPr>
      <w:tabs>
        <w:tab w:val="clear" w:pos="680"/>
      </w:tabs>
      <w:spacing w:before="60" w:after="60"/>
    </w:pPr>
  </w:style>
  <w:style w:type="paragraph" w:customStyle="1" w:styleId="SubHeading2">
    <w:name w:val="SubHeading2"/>
    <w:basedOn w:val="HeadingBase"/>
    <w:rsid w:val="007409EC"/>
    <w:pPr>
      <w:spacing w:before="240" w:after="60"/>
    </w:pPr>
    <w:rPr>
      <w:sz w:val="20"/>
    </w:rPr>
  </w:style>
  <w:style w:type="paragraph" w:customStyle="1" w:styleId="SubHeading1">
    <w:name w:val="SubHeading1"/>
    <w:basedOn w:val="HeadingBase"/>
    <w:rsid w:val="007409EC"/>
    <w:pPr>
      <w:spacing w:before="240" w:after="60"/>
    </w:pPr>
    <w:rPr>
      <w:color w:val="918585"/>
      <w:sz w:val="22"/>
    </w:rPr>
  </w:style>
  <w:style w:type="paragraph" w:customStyle="1" w:styleId="SideHeading">
    <w:name w:val="Side Heading"/>
    <w:basedOn w:val="HeadingBase"/>
    <w:rsid w:val="007409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409EC"/>
    <w:pPr>
      <w:numPr>
        <w:numId w:val="12"/>
      </w:numPr>
    </w:pPr>
  </w:style>
  <w:style w:type="paragraph" w:styleId="PlainText">
    <w:name w:val="Plain Text"/>
    <w:basedOn w:val="Normal"/>
    <w:link w:val="PlainTextChar"/>
    <w:rsid w:val="007409EC"/>
    <w:rPr>
      <w:sz w:val="20"/>
    </w:rPr>
  </w:style>
  <w:style w:type="character" w:customStyle="1" w:styleId="PlainTextChar">
    <w:name w:val="Plain Text Char"/>
    <w:basedOn w:val="DefaultParagraphFont"/>
    <w:link w:val="PlainText"/>
    <w:rsid w:val="007409EC"/>
    <w:rPr>
      <w:rFonts w:ascii="Courier New" w:eastAsia="Times New Roman" w:hAnsi="Courier New" w:cs="Times New Roman"/>
      <w:sz w:val="20"/>
      <w:szCs w:val="20"/>
      <w:lang w:val="en-US" w:eastAsia="en-US"/>
    </w:rPr>
  </w:style>
  <w:style w:type="character" w:customStyle="1" w:styleId="MenuOption">
    <w:name w:val="Menu Option"/>
    <w:rsid w:val="007409EC"/>
    <w:rPr>
      <w:b/>
      <w:smallCaps/>
    </w:rPr>
  </w:style>
  <w:style w:type="paragraph" w:customStyle="1" w:styleId="TableListNumber">
    <w:name w:val="Table List Number"/>
    <w:basedOn w:val="ListNumber"/>
    <w:rsid w:val="007409EC"/>
    <w:pPr>
      <w:numPr>
        <w:numId w:val="0"/>
      </w:numPr>
    </w:pPr>
  </w:style>
  <w:style w:type="paragraph" w:styleId="TOC4">
    <w:name w:val="toc 4"/>
    <w:basedOn w:val="TOCBase"/>
    <w:next w:val="Normal"/>
    <w:semiHidden/>
    <w:rsid w:val="007409EC"/>
    <w:pPr>
      <w:tabs>
        <w:tab w:val="right" w:leader="dot" w:pos="9071"/>
      </w:tabs>
      <w:ind w:left="1701"/>
    </w:pPr>
  </w:style>
  <w:style w:type="paragraph" w:customStyle="1" w:styleId="ListAlpha">
    <w:name w:val="List Alpha"/>
    <w:basedOn w:val="List"/>
    <w:rsid w:val="007409EC"/>
    <w:pPr>
      <w:numPr>
        <w:numId w:val="9"/>
      </w:numPr>
    </w:pPr>
  </w:style>
  <w:style w:type="paragraph" w:customStyle="1" w:styleId="ListAlpha2">
    <w:name w:val="List Alpha 2"/>
    <w:basedOn w:val="List2"/>
    <w:rsid w:val="007409EC"/>
    <w:pPr>
      <w:numPr>
        <w:numId w:val="8"/>
      </w:numPr>
    </w:pPr>
  </w:style>
  <w:style w:type="paragraph" w:styleId="List2">
    <w:name w:val="List 2"/>
    <w:basedOn w:val="BodyText"/>
    <w:rsid w:val="007409EC"/>
    <w:pPr>
      <w:tabs>
        <w:tab w:val="left" w:pos="680"/>
      </w:tabs>
      <w:spacing w:before="60" w:after="60"/>
      <w:ind w:left="680" w:hanging="340"/>
    </w:pPr>
  </w:style>
  <w:style w:type="paragraph" w:styleId="List3">
    <w:name w:val="List 3"/>
    <w:basedOn w:val="BodyText"/>
    <w:rsid w:val="007409EC"/>
    <w:pPr>
      <w:tabs>
        <w:tab w:val="left" w:pos="1021"/>
      </w:tabs>
      <w:spacing w:before="60" w:after="60"/>
      <w:ind w:left="1020" w:hanging="340"/>
    </w:pPr>
  </w:style>
  <w:style w:type="paragraph" w:styleId="List4">
    <w:name w:val="List 4"/>
    <w:basedOn w:val="BodyText"/>
    <w:rsid w:val="007409EC"/>
    <w:pPr>
      <w:tabs>
        <w:tab w:val="left" w:pos="1361"/>
      </w:tabs>
      <w:spacing w:before="60" w:after="60"/>
      <w:ind w:left="1361" w:hanging="340"/>
    </w:pPr>
  </w:style>
  <w:style w:type="paragraph" w:styleId="List5">
    <w:name w:val="List 5"/>
    <w:basedOn w:val="BodyText"/>
    <w:rsid w:val="007409EC"/>
    <w:pPr>
      <w:tabs>
        <w:tab w:val="left" w:pos="1701"/>
      </w:tabs>
      <w:spacing w:before="60" w:after="60"/>
      <w:ind w:left="1701" w:hanging="340"/>
    </w:pPr>
  </w:style>
  <w:style w:type="paragraph" w:styleId="ListBullet3">
    <w:name w:val="List Bullet 3"/>
    <w:basedOn w:val="List3"/>
    <w:rsid w:val="007409EC"/>
    <w:pPr>
      <w:numPr>
        <w:numId w:val="15"/>
      </w:numPr>
      <w:tabs>
        <w:tab w:val="clear" w:pos="1021"/>
      </w:tabs>
      <w:ind w:left="1037" w:hanging="357"/>
    </w:pPr>
  </w:style>
  <w:style w:type="paragraph" w:styleId="ListBullet4">
    <w:name w:val="List Bullet 4"/>
    <w:basedOn w:val="List4"/>
    <w:rsid w:val="007409EC"/>
    <w:pPr>
      <w:numPr>
        <w:numId w:val="3"/>
      </w:numPr>
    </w:pPr>
  </w:style>
  <w:style w:type="paragraph" w:styleId="ListBullet5">
    <w:name w:val="List Bullet 5"/>
    <w:basedOn w:val="List5"/>
    <w:rsid w:val="007409EC"/>
    <w:pPr>
      <w:numPr>
        <w:numId w:val="4"/>
      </w:numPr>
    </w:pPr>
  </w:style>
  <w:style w:type="paragraph" w:styleId="ListContinue2">
    <w:name w:val="List Continue 2"/>
    <w:basedOn w:val="List2"/>
    <w:rsid w:val="007409EC"/>
    <w:pPr>
      <w:ind w:firstLine="0"/>
    </w:pPr>
  </w:style>
  <w:style w:type="paragraph" w:styleId="ListContinue3">
    <w:name w:val="List Continue 3"/>
    <w:basedOn w:val="List3"/>
    <w:rsid w:val="007409EC"/>
    <w:pPr>
      <w:ind w:left="1021" w:firstLine="0"/>
    </w:pPr>
  </w:style>
  <w:style w:type="paragraph" w:styleId="ListContinue4">
    <w:name w:val="List Continue 4"/>
    <w:basedOn w:val="List4"/>
    <w:rsid w:val="007409EC"/>
    <w:pPr>
      <w:ind w:firstLine="0"/>
    </w:pPr>
  </w:style>
  <w:style w:type="paragraph" w:styleId="ListContinue5">
    <w:name w:val="List Continue 5"/>
    <w:basedOn w:val="List5"/>
    <w:rsid w:val="007409EC"/>
    <w:pPr>
      <w:ind w:firstLine="0"/>
    </w:pPr>
  </w:style>
  <w:style w:type="paragraph" w:styleId="ListNumber3">
    <w:name w:val="List Number 3"/>
    <w:basedOn w:val="List3"/>
    <w:rsid w:val="007409EC"/>
    <w:pPr>
      <w:numPr>
        <w:numId w:val="5"/>
      </w:numPr>
    </w:pPr>
  </w:style>
  <w:style w:type="paragraph" w:styleId="ListNumber4">
    <w:name w:val="List Number 4"/>
    <w:basedOn w:val="List4"/>
    <w:rsid w:val="007409EC"/>
    <w:pPr>
      <w:numPr>
        <w:numId w:val="6"/>
      </w:numPr>
    </w:pPr>
  </w:style>
  <w:style w:type="paragraph" w:styleId="ListNumber5">
    <w:name w:val="List Number 5"/>
    <w:basedOn w:val="List5"/>
    <w:rsid w:val="007409EC"/>
    <w:pPr>
      <w:numPr>
        <w:numId w:val="7"/>
      </w:numPr>
    </w:pPr>
  </w:style>
  <w:style w:type="paragraph" w:styleId="BlockText">
    <w:name w:val="Block Text"/>
    <w:basedOn w:val="Normal"/>
    <w:rsid w:val="007409EC"/>
    <w:pPr>
      <w:spacing w:after="120"/>
      <w:ind w:left="1440" w:right="1440"/>
    </w:pPr>
  </w:style>
  <w:style w:type="character" w:customStyle="1" w:styleId="Subscript">
    <w:name w:val="Subscript"/>
    <w:rsid w:val="007409EC"/>
    <w:rPr>
      <w:sz w:val="16"/>
      <w:vertAlign w:val="subscript"/>
    </w:rPr>
  </w:style>
  <w:style w:type="character" w:customStyle="1" w:styleId="Superscript">
    <w:name w:val="Superscript"/>
    <w:rsid w:val="007409EC"/>
    <w:rPr>
      <w:sz w:val="16"/>
      <w:vertAlign w:val="superscript"/>
    </w:rPr>
  </w:style>
  <w:style w:type="character" w:customStyle="1" w:styleId="Symbols">
    <w:name w:val="Symbols"/>
    <w:rsid w:val="007409EC"/>
    <w:rPr>
      <w:rFonts w:ascii="Symbol" w:hAnsi="Symbol"/>
    </w:rPr>
  </w:style>
  <w:style w:type="character" w:customStyle="1" w:styleId="MenuOptions">
    <w:name w:val="Menu Options"/>
    <w:rsid w:val="007409EC"/>
    <w:rPr>
      <w:rFonts w:ascii="Arial Narrow" w:hAnsi="Arial Narrow"/>
      <w:smallCaps/>
    </w:rPr>
  </w:style>
  <w:style w:type="character" w:customStyle="1" w:styleId="Buttons">
    <w:name w:val="Buttons"/>
    <w:rsid w:val="007409EC"/>
    <w:rPr>
      <w:b/>
    </w:rPr>
  </w:style>
  <w:style w:type="character" w:customStyle="1" w:styleId="Underlined">
    <w:name w:val="Underlined"/>
    <w:rsid w:val="007409EC"/>
    <w:rPr>
      <w:u w:val="single"/>
    </w:rPr>
  </w:style>
  <w:style w:type="paragraph" w:customStyle="1" w:styleId="TableBodyTextRight">
    <w:name w:val="Table Body Text Right"/>
    <w:basedOn w:val="TableBodyText"/>
    <w:rsid w:val="007409EC"/>
    <w:pPr>
      <w:widowControl w:val="0"/>
      <w:autoSpaceDE w:val="0"/>
      <w:autoSpaceDN w:val="0"/>
      <w:adjustRightInd w:val="0"/>
      <w:jc w:val="right"/>
    </w:pPr>
    <w:rPr>
      <w:rFonts w:cs="Arial"/>
      <w:szCs w:val="18"/>
    </w:rPr>
  </w:style>
  <w:style w:type="paragraph" w:customStyle="1" w:styleId="CopyrightText">
    <w:name w:val="Copyright Text"/>
    <w:basedOn w:val="BodyText"/>
    <w:rsid w:val="007409EC"/>
    <w:rPr>
      <w:sz w:val="18"/>
    </w:rPr>
  </w:style>
  <w:style w:type="paragraph" w:customStyle="1" w:styleId="BodySmallRight">
    <w:name w:val="Body Small Right"/>
    <w:basedOn w:val="BodyTextRight"/>
    <w:rsid w:val="007409EC"/>
    <w:rPr>
      <w:sz w:val="18"/>
      <w:szCs w:val="18"/>
    </w:rPr>
  </w:style>
  <w:style w:type="paragraph" w:customStyle="1" w:styleId="MarginEdition">
    <w:name w:val="Margin Edition"/>
    <w:basedOn w:val="MarginNote"/>
    <w:rsid w:val="007409EC"/>
    <w:pPr>
      <w:spacing w:before="0" w:after="0"/>
    </w:pPr>
    <w:rPr>
      <w:rFonts w:ascii="Times New Roman" w:hAnsi="Times New Roman"/>
      <w:color w:val="999999"/>
    </w:rPr>
  </w:style>
  <w:style w:type="paragraph" w:customStyle="1" w:styleId="Spacer">
    <w:name w:val="Spacer"/>
    <w:basedOn w:val="Normal"/>
    <w:rsid w:val="007409EC"/>
    <w:rPr>
      <w:sz w:val="2"/>
      <w:szCs w:val="2"/>
    </w:rPr>
  </w:style>
  <w:style w:type="character" w:customStyle="1" w:styleId="Small">
    <w:name w:val="Small"/>
    <w:rsid w:val="007409EC"/>
    <w:rPr>
      <w:sz w:val="16"/>
    </w:rPr>
  </w:style>
  <w:style w:type="paragraph" w:customStyle="1" w:styleId="WideTable">
    <w:name w:val="Wide Table"/>
    <w:basedOn w:val="Normal"/>
    <w:rsid w:val="007409EC"/>
    <w:pPr>
      <w:ind w:left="-1418"/>
    </w:pPr>
    <w:rPr>
      <w:sz w:val="2"/>
      <w:szCs w:val="2"/>
    </w:rPr>
  </w:style>
  <w:style w:type="character" w:styleId="PageNumber">
    <w:name w:val="page number"/>
    <w:rsid w:val="007409EC"/>
  </w:style>
  <w:style w:type="paragraph" w:styleId="Quote">
    <w:name w:val="Quote"/>
    <w:basedOn w:val="Heading1"/>
    <w:link w:val="QuoteChar"/>
    <w:qFormat/>
    <w:rsid w:val="007409EC"/>
    <w:rPr>
      <w:b w:val="0"/>
      <w:sz w:val="72"/>
      <w:szCs w:val="72"/>
      <w:lang w:val="en-NZ"/>
    </w:rPr>
  </w:style>
  <w:style w:type="character" w:customStyle="1" w:styleId="QuoteChar">
    <w:name w:val="Quote Char"/>
    <w:link w:val="Quote"/>
    <w:rsid w:val="007409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409EC"/>
    <w:pPr>
      <w:pageBreakBefore/>
    </w:pPr>
  </w:style>
  <w:style w:type="paragraph" w:customStyle="1" w:styleId="Border">
    <w:name w:val="Border"/>
    <w:basedOn w:val="Normal"/>
    <w:qFormat/>
    <w:rsid w:val="007409EC"/>
    <w:pPr>
      <w:pBdr>
        <w:top w:val="single" w:sz="18" w:space="1" w:color="auto"/>
      </w:pBdr>
    </w:pPr>
    <w:rPr>
      <w:rFonts w:ascii="Times New Roman" w:hAnsi="Times New Roman"/>
      <w:color w:val="FFFFFF"/>
      <w:sz w:val="2"/>
    </w:rPr>
  </w:style>
  <w:style w:type="character" w:styleId="IntenseEmphasis">
    <w:name w:val="Intense Emphasis"/>
    <w:uiPriority w:val="21"/>
    <w:qFormat/>
    <w:rsid w:val="007409EC"/>
    <w:rPr>
      <w:b/>
      <w:bCs/>
      <w:i/>
      <w:iCs/>
      <w:color w:val="auto"/>
    </w:rPr>
  </w:style>
  <w:style w:type="paragraph" w:styleId="IntenseQuote">
    <w:name w:val="Intense Quote"/>
    <w:basedOn w:val="Normal"/>
    <w:next w:val="Normal"/>
    <w:link w:val="IntenseQuoteChar"/>
    <w:uiPriority w:val="30"/>
    <w:qFormat/>
    <w:rsid w:val="007409E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409EC"/>
    <w:rPr>
      <w:rFonts w:ascii="Courier New" w:eastAsia="Times New Roman" w:hAnsi="Courier New" w:cs="Times New Roman"/>
      <w:b/>
      <w:bCs/>
      <w:i/>
      <w:iCs/>
      <w:szCs w:val="20"/>
      <w:lang w:val="en-US" w:eastAsia="en-US"/>
    </w:rPr>
  </w:style>
  <w:style w:type="character" w:styleId="SubtleReference">
    <w:name w:val="Subtle Reference"/>
    <w:uiPriority w:val="31"/>
    <w:qFormat/>
    <w:rsid w:val="007409EC"/>
    <w:rPr>
      <w:smallCaps/>
      <w:color w:val="auto"/>
      <w:u w:val="single"/>
    </w:rPr>
  </w:style>
  <w:style w:type="character" w:styleId="IntenseReference">
    <w:name w:val="Intense Reference"/>
    <w:uiPriority w:val="32"/>
    <w:qFormat/>
    <w:rsid w:val="007409EC"/>
    <w:rPr>
      <w:b/>
      <w:bCs/>
      <w:smallCaps/>
      <w:color w:val="auto"/>
      <w:spacing w:val="5"/>
      <w:u w:val="single"/>
    </w:rPr>
  </w:style>
  <w:style w:type="paragraph" w:customStyle="1" w:styleId="2ColumnHeading">
    <w:name w:val="2Column Heading"/>
    <w:basedOn w:val="BodyText"/>
    <w:qFormat/>
    <w:rsid w:val="007409EC"/>
    <w:pPr>
      <w:spacing w:after="60"/>
      <w:ind w:left="-2268"/>
    </w:pPr>
    <w:rPr>
      <w:b/>
    </w:rPr>
  </w:style>
  <w:style w:type="paragraph" w:customStyle="1" w:styleId="Heading1TOC">
    <w:name w:val="Heading1 TOC"/>
    <w:basedOn w:val="Normal"/>
    <w:qFormat/>
    <w:rsid w:val="007409EC"/>
    <w:pPr>
      <w:spacing w:before="240" w:after="120"/>
    </w:pPr>
    <w:rPr>
      <w:rFonts w:ascii="Times New Roman" w:hAnsi="Times New Roman"/>
      <w:b/>
      <w:sz w:val="32"/>
    </w:rPr>
  </w:style>
  <w:style w:type="paragraph" w:customStyle="1" w:styleId="Heading2TOC">
    <w:name w:val="Heading2 TOC"/>
    <w:basedOn w:val="Normal"/>
    <w:qFormat/>
    <w:rsid w:val="007409EC"/>
    <w:pPr>
      <w:spacing w:before="240" w:after="60"/>
    </w:pPr>
    <w:rPr>
      <w:rFonts w:ascii="Times New Roman" w:hAnsi="Times New Roman"/>
      <w:b/>
      <w:sz w:val="28"/>
    </w:rPr>
  </w:style>
  <w:style w:type="character" w:customStyle="1" w:styleId="Underline">
    <w:name w:val="Underline"/>
    <w:qFormat/>
    <w:rsid w:val="007409EC"/>
    <w:rPr>
      <w:u w:val="single"/>
    </w:rPr>
  </w:style>
  <w:style w:type="paragraph" w:styleId="BalloonText">
    <w:name w:val="Balloon Text"/>
    <w:basedOn w:val="Normal"/>
    <w:link w:val="BalloonTextChar"/>
    <w:rsid w:val="007409EC"/>
    <w:rPr>
      <w:rFonts w:ascii="Tahoma" w:hAnsi="Tahoma" w:cs="Tahoma"/>
      <w:sz w:val="16"/>
      <w:szCs w:val="16"/>
    </w:rPr>
  </w:style>
  <w:style w:type="character" w:customStyle="1" w:styleId="BalloonTextChar">
    <w:name w:val="Balloon Text Char"/>
    <w:link w:val="BalloonText"/>
    <w:rsid w:val="007409E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409E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409E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2227</Words>
  <Characters>15329</Characters>
  <Application>Microsoft Office Word</Application>
  <DocSecurity>0</DocSecurity>
  <Lines>489</Lines>
  <Paragraphs>296</Paragraphs>
  <ScaleCrop>false</ScaleCrop>
  <Company>Author-it Software Corporation Ltd.</Company>
  <LinksUpToDate>false</LinksUpToDate>
  <CharactersWithSpaces>17467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PSPPROC507A Plan for procurement outcomes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2012-05-26T08:23:00Z</dcterms:created>
  <dcterms:modified xsi:type="dcterms:W3CDTF">2012-05-26T08:23:00Z</dcterms:modified>
</cp:coreProperties>
</file>