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14D" w:rsidP="00617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PSPPOL701A Influence strategic policy</w:t>
      </w:r>
      <w:r>
        <w:fldChar w:fldCharType="end"/>
      </w:r>
    </w:p>
    <w:p w:rsidR="0061714D" w:rsidP="0061714D">
      <w:pPr>
        <w:pStyle w:val="Version"/>
        <w:sectPr w:rsidSect="00097B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97BA8" w:rsidP="00097BA8">
      <w:pPr>
        <w:pStyle w:val="SuperHeading"/>
      </w:pPr>
      <w:r w:rsidRPr="00097BA8">
        <w:t xml:space="preserve">PSPPOL701A Influence strategic policy </w:t>
      </w:r>
    </w:p>
    <w:p w:rsidR="00000000" w:rsidRPr="00097BA8" w:rsidP="00097BA8">
      <w:pPr>
        <w:pStyle w:val="SuperHeading"/>
      </w:pPr>
    </w:p>
    <w:p w:rsidR="00000000" w:rsidRPr="00097BA8" w:rsidP="00097BA8">
      <w:pPr>
        <w:pStyle w:val="Heading1"/>
      </w:pPr>
      <w:bookmarkStart w:id="1" w:name="O_497889"/>
      <w:bookmarkEnd w:id="1"/>
      <w:r w:rsidRPr="00097B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617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BodyText"/>
            </w:pPr>
            <w:r w:rsidRPr="00097BA8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BodyText"/>
            </w:pPr>
            <w:r w:rsidRPr="00097BA8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rPr>
                <w:rStyle w:val="SpecialBold"/>
              </w:rPr>
              <w:t>Comments</w:t>
            </w:r>
          </w:p>
        </w:tc>
      </w:tr>
      <w:tr w:rsidTr="00617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t xml:space="preserve">Unit descriptor edited. </w:t>
            </w:r>
          </w:p>
        </w:tc>
      </w:tr>
      <w:tr w:rsidTr="00617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t>Layout adjusted. No changes to content.</w:t>
            </w:r>
          </w:p>
        </w:tc>
      </w:tr>
      <w:tr w:rsidTr="00617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BodyText"/>
            </w:pPr>
            <w:r w:rsidRPr="00097BA8">
              <w:t>Primary release.</w:t>
            </w:r>
          </w:p>
        </w:tc>
      </w:tr>
    </w:tbl>
    <w:p w:rsidR="0061714D" w:rsidP="00097BA8">
      <w:pPr>
        <w:pStyle w:val="BodyText"/>
      </w:pPr>
    </w:p>
    <w:p w:rsidR="0061714D" w:rsidP="00097BA8">
      <w:pPr>
        <w:pStyle w:val="BodyText"/>
      </w:pPr>
    </w:p>
    <w:p w:rsidR="00000000" w:rsidRPr="00097BA8" w:rsidP="00097BA8">
      <w:pPr>
        <w:pStyle w:val="Heading1"/>
      </w:pPr>
      <w:bookmarkStart w:id="2" w:name="O_497888"/>
      <w:bookmarkEnd w:id="2"/>
      <w:r w:rsidRPr="00097BA8">
        <w:t>Unit Descriptor</w:t>
      </w:r>
    </w:p>
    <w:p w:rsidR="00000000" w:rsidRPr="00097BA8" w:rsidP="00097BA8">
      <w:pPr>
        <w:pStyle w:val="BodyText"/>
      </w:pPr>
      <w:r w:rsidRPr="00097BA8">
        <w:t>This unit covers strategic leadership in the policy field. It includes monitoring and influencing policy environments, setting strategic policy di</w:t>
      </w:r>
      <w:r w:rsidRPr="00097BA8">
        <w:t>rections and providing policy advice to government.</w:t>
      </w:r>
    </w:p>
    <w:p w:rsidR="00000000" w:rsidRPr="00097BA8" w:rsidP="00097BA8">
      <w:pPr>
        <w:pStyle w:val="BodyText"/>
      </w:pPr>
      <w:r w:rsidRPr="00097BA8">
        <w:t>In practice, influencing strategic policy may overlap with other generalist or specialist work activities such as leading and influencing ethical practice in the public sector, providing strategic directi</w:t>
      </w:r>
      <w:r w:rsidRPr="00097BA8">
        <w:t>on, defining strategic procurement directions.</w:t>
      </w:r>
    </w:p>
    <w:p w:rsidR="0061714D" w:rsidP="00097BA8">
      <w:pPr>
        <w:pStyle w:val="BodyText"/>
      </w:pPr>
      <w:r w:rsidRPr="00097BA8">
        <w:t>No licensing, legislative, regulatory or certification requirements apply to this unit at the time of publication</w:t>
      </w:r>
    </w:p>
    <w:p w:rsidR="0061714D" w:rsidP="00097BA8">
      <w:pPr>
        <w:pStyle w:val="BodyText"/>
      </w:pPr>
    </w:p>
    <w:p w:rsidR="00000000" w:rsidRPr="00097BA8" w:rsidP="00097BA8">
      <w:pPr>
        <w:pStyle w:val="Heading1"/>
      </w:pPr>
      <w:bookmarkStart w:id="3" w:name="O_497895"/>
      <w:bookmarkEnd w:id="3"/>
      <w:r w:rsidRPr="00097BA8">
        <w:t>Application of the Unit</w:t>
      </w:r>
    </w:p>
    <w:p w:rsidR="00000000" w:rsidRPr="00097BA8" w:rsidP="00097BA8">
      <w:pPr>
        <w:pStyle w:val="BodyText"/>
      </w:pPr>
      <w:r w:rsidRPr="00097BA8">
        <w:t>Not applicable.</w:t>
      </w:r>
    </w:p>
    <w:p w:rsidR="00000000" w:rsidRPr="00097BA8" w:rsidP="00097BA8">
      <w:pPr>
        <w:pStyle w:val="AllowPageBreak"/>
      </w:pPr>
    </w:p>
    <w:p w:rsidR="00000000" w:rsidRPr="00097BA8" w:rsidP="00097BA8">
      <w:pPr>
        <w:pStyle w:val="Heading1"/>
      </w:pPr>
      <w:bookmarkStart w:id="4" w:name="O_497890"/>
      <w:bookmarkEnd w:id="4"/>
      <w:r w:rsidRPr="00097BA8">
        <w:t>Licensing/Regulatory Information</w:t>
      </w:r>
    </w:p>
    <w:p w:rsidR="00000000" w:rsidRPr="00097BA8" w:rsidP="00097BA8">
      <w:pPr>
        <w:pStyle w:val="BodyText"/>
      </w:pPr>
      <w:r w:rsidRPr="00097BA8">
        <w:t>Not applicable.</w:t>
      </w:r>
    </w:p>
    <w:p w:rsidR="00000000" w:rsidRPr="00097BA8" w:rsidP="00097BA8">
      <w:pPr>
        <w:pStyle w:val="AllowPageBreak"/>
      </w:pPr>
    </w:p>
    <w:p w:rsidR="00000000" w:rsidRPr="00097BA8" w:rsidP="00097BA8">
      <w:pPr>
        <w:pStyle w:val="Heading1"/>
      </w:pPr>
      <w:bookmarkStart w:id="5" w:name="O_497882"/>
      <w:bookmarkEnd w:id="5"/>
      <w:r w:rsidRPr="00097BA8">
        <w:t>Pre-Requisites</w:t>
      </w:r>
    </w:p>
    <w:p w:rsidR="00000000" w:rsidRPr="00097BA8" w:rsidP="00097BA8">
      <w:pPr>
        <w:pStyle w:val="BodyText"/>
      </w:pPr>
      <w:r w:rsidRPr="00097BA8">
        <w:t>Not applicable.</w:t>
      </w:r>
    </w:p>
    <w:p w:rsidR="00000000" w:rsidRPr="00097BA8" w:rsidP="00097BA8">
      <w:pPr>
        <w:pStyle w:val="AllowPageBreak"/>
      </w:pPr>
    </w:p>
    <w:p w:rsidR="00000000" w:rsidRPr="00097BA8" w:rsidP="00097BA8">
      <w:pPr>
        <w:pStyle w:val="Heading1"/>
      </w:pPr>
      <w:bookmarkStart w:id="6" w:name="O_497891"/>
      <w:bookmarkEnd w:id="6"/>
      <w:r w:rsidRPr="00097BA8">
        <w:t>Employability Skills Information</w:t>
      </w:r>
    </w:p>
    <w:p w:rsidR="00000000" w:rsidRPr="00097BA8" w:rsidP="00097BA8">
      <w:pPr>
        <w:pStyle w:val="BodyText"/>
      </w:pPr>
      <w:r w:rsidRPr="00097BA8">
        <w:t>This unit contains employability skills.</w:t>
      </w:r>
    </w:p>
    <w:p w:rsidR="00000000" w:rsidRPr="00097BA8" w:rsidP="00097BA8">
      <w:pPr>
        <w:pStyle w:val="AllowPageBreak"/>
      </w:pPr>
    </w:p>
    <w:p w:rsidR="00000000" w:rsidRPr="00097BA8" w:rsidP="00097BA8">
      <w:pPr>
        <w:pStyle w:val="Heading1"/>
      </w:pPr>
      <w:bookmarkStart w:id="7" w:name="O_497892"/>
      <w:bookmarkEnd w:id="7"/>
      <w:r w:rsidRPr="00097BA8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t>Eleme</w:t>
            </w:r>
            <w:r w:rsidRPr="00097BA8">
              <w:t>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BodyText"/>
            </w:pPr>
            <w:r w:rsidRPr="00097BA8">
              <w:t xml:space="preserve">Together, performance criteria specify the requirements for competent performance. Text in </w:t>
            </w:r>
            <w:r w:rsidRPr="00097BA8">
              <w:rPr>
                <w:rStyle w:val="BoldandItalics"/>
              </w:rPr>
              <w:t>bold italics</w:t>
            </w:r>
            <w:r w:rsidRPr="00097BA8">
              <w:t xml:space="preserve"> is explained in the Range Statement following.</w:t>
            </w:r>
          </w:p>
        </w:tc>
      </w:tr>
    </w:tbl>
    <w:p w:rsidR="00000000" w:rsidRPr="00097BA8" w:rsidP="00097BA8">
      <w:pPr>
        <w:pStyle w:val="BodyText"/>
      </w:pPr>
    </w:p>
    <w:p w:rsidR="00000000" w:rsidRPr="00097BA8" w:rsidP="00097BA8">
      <w:pPr>
        <w:pStyle w:val="AllowPageBreak"/>
      </w:pPr>
    </w:p>
    <w:p w:rsidR="00000000" w:rsidRPr="00097BA8" w:rsidP="00097BA8">
      <w:pPr>
        <w:pStyle w:val="Heading1"/>
      </w:pPr>
      <w:bookmarkStart w:id="8" w:name="O_497893"/>
      <w:bookmarkEnd w:id="8"/>
      <w:r w:rsidRPr="00097BA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BodyText"/>
            </w:pPr>
            <w:r w:rsidRPr="00097BA8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rPr>
                <w:rStyle w:val="SpecialBold"/>
              </w:rPr>
              <w:t>PERFORMANCE CRITERIA</w:t>
            </w:r>
          </w:p>
        </w:tc>
      </w:tr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List"/>
              <w:rPr>
                <w:lang w:val="en-NZ"/>
              </w:rPr>
            </w:pPr>
            <w:r w:rsidRPr="00097BA8">
              <w:rPr>
                <w:rStyle w:val="SpecialBold"/>
              </w:rPr>
              <w:t>1</w:t>
            </w:r>
            <w:r w:rsidRPr="00097BA8">
              <w:t>.</w:t>
            </w:r>
            <w:r w:rsidRPr="00097BA8">
              <w:tab/>
            </w:r>
            <w:r w:rsidRPr="00097BA8">
              <w:rPr>
                <w:rStyle w:val="SpecialBold"/>
              </w:rPr>
              <w:t>Monitor and influence environments where policy applies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List"/>
            </w:pPr>
            <w:r w:rsidRPr="00097BA8">
              <w:t>1.1</w:t>
            </w:r>
            <w:r w:rsidRPr="00097BA8">
              <w:tab/>
              <w:t>Problems, limitations and new opportunities in</w:t>
            </w:r>
            <w:r w:rsidRPr="00097BA8">
              <w:rPr>
                <w:rStyle w:val="BoldandItalics"/>
              </w:rPr>
              <w:t xml:space="preserve"> policy environments </w:t>
            </w:r>
            <w:r w:rsidRPr="00097BA8">
              <w:t>are identified in response to internal and ext</w:t>
            </w:r>
            <w:r w:rsidRPr="00097BA8">
              <w:t>ernal factors and government priorities.</w:t>
            </w:r>
          </w:p>
          <w:p w:rsidR="00000000" w:rsidRPr="00097BA8" w:rsidP="00097BA8">
            <w:pPr>
              <w:pStyle w:val="List"/>
            </w:pPr>
            <w:r w:rsidRPr="00097BA8">
              <w:t>1.2</w:t>
            </w:r>
            <w:r w:rsidRPr="00097BA8">
              <w:tab/>
              <w:t>Environments are monitored and opportunities are taken to influence key opinion formers and decision makers to increase their ability to respond to government priorities.</w:t>
            </w:r>
          </w:p>
          <w:p w:rsidR="00000000" w:rsidP="00097BA8">
            <w:pPr>
              <w:pStyle w:val="List"/>
              <w:rPr>
                <w:lang w:val="en-NZ"/>
              </w:rPr>
            </w:pPr>
            <w:r w:rsidRPr="00097BA8">
              <w:t>1.3</w:t>
            </w:r>
            <w:r w:rsidRPr="00097BA8">
              <w:tab/>
              <w:t>Methods are used to influence enviro</w:t>
            </w:r>
            <w:r w:rsidRPr="00097BA8">
              <w:t>nments in ways that are ethical, consistent with the public sector values and policies, and sensitive to the values and practice of key opinion formers and decision makers.</w:t>
            </w:r>
          </w:p>
        </w:tc>
      </w:tr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List"/>
              <w:rPr>
                <w:lang w:val="en-NZ"/>
              </w:rPr>
            </w:pPr>
            <w:r w:rsidRPr="00097BA8">
              <w:rPr>
                <w:rStyle w:val="SpecialBold"/>
              </w:rPr>
              <w:t>2</w:t>
            </w:r>
            <w:r w:rsidRPr="00097BA8">
              <w:t>.</w:t>
            </w:r>
            <w:r w:rsidRPr="00097BA8">
              <w:tab/>
            </w:r>
            <w:r w:rsidRPr="00097BA8">
              <w:rPr>
                <w:rStyle w:val="SpecialBold"/>
              </w:rPr>
              <w:t>Set strategic policy direction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List"/>
            </w:pPr>
            <w:r w:rsidRPr="00097BA8">
              <w:t>2.1</w:t>
            </w:r>
            <w:r w:rsidRPr="00097BA8">
              <w:tab/>
              <w:t>Local, national and international monitoring</w:t>
            </w:r>
            <w:r w:rsidRPr="00097BA8">
              <w:t xml:space="preserve"> is conducted of policies and trends pertinent to the medium- to long-term priorities of government.</w:t>
            </w:r>
          </w:p>
          <w:p w:rsidR="00000000" w:rsidRPr="00097BA8" w:rsidP="00097BA8">
            <w:pPr>
              <w:pStyle w:val="List"/>
            </w:pPr>
            <w:r w:rsidRPr="00097BA8">
              <w:t>2.2</w:t>
            </w:r>
            <w:r w:rsidRPr="00097BA8">
              <w:tab/>
              <w:t>Strategies are implemented to develop and apply data capture mechanisms that will provide longitudinal information and trend analysis to support strate</w:t>
            </w:r>
            <w:r w:rsidRPr="00097BA8">
              <w:t>gic thinking and more strategic policy development.</w:t>
            </w:r>
          </w:p>
          <w:p w:rsidR="00000000" w:rsidRPr="00097BA8" w:rsidP="00097BA8">
            <w:pPr>
              <w:pStyle w:val="List"/>
            </w:pPr>
            <w:r w:rsidRPr="00097BA8">
              <w:t>2.3</w:t>
            </w:r>
            <w:r w:rsidRPr="00097BA8">
              <w:tab/>
              <w:t>Strategic policy directions are set in line with medium- to long-term government priorities and communicated to stakeholders using a variety of strategies to attract their support.</w:t>
            </w:r>
          </w:p>
          <w:p w:rsidR="00000000" w:rsidRPr="00097BA8" w:rsidP="00097BA8">
            <w:pPr>
              <w:pStyle w:val="List"/>
            </w:pPr>
            <w:r w:rsidRPr="00097BA8">
              <w:t>2.4</w:t>
            </w:r>
            <w:r w:rsidRPr="00097BA8">
              <w:tab/>
              <w:t>Creative and in</w:t>
            </w:r>
            <w:r w:rsidRPr="00097BA8">
              <w:t>novative policy responses to complex social and economic issues are identified in anticipation of expected policy development initiatives.</w:t>
            </w:r>
          </w:p>
          <w:p w:rsidR="00000000" w:rsidP="00097BA8">
            <w:pPr>
              <w:pStyle w:val="List"/>
              <w:rPr>
                <w:lang w:val="en-NZ"/>
              </w:rPr>
            </w:pPr>
            <w:r w:rsidRPr="00097BA8">
              <w:t>2.5</w:t>
            </w:r>
            <w:r w:rsidRPr="00097BA8">
              <w:tab/>
              <w:t>Productive relationships are established and maintained with</w:t>
            </w:r>
            <w:r w:rsidRPr="00097BA8">
              <w:rPr>
                <w:rStyle w:val="BoldandItalics"/>
              </w:rPr>
              <w:t xml:space="preserve"> key consultation partners </w:t>
            </w:r>
            <w:r w:rsidRPr="00097BA8">
              <w:t>to enable a fast policy re</w:t>
            </w:r>
            <w:r w:rsidRPr="00097BA8">
              <w:t>sponse to emerging issues.</w:t>
            </w:r>
          </w:p>
        </w:tc>
      </w:tr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List"/>
              <w:rPr>
                <w:lang w:val="en-NZ"/>
              </w:rPr>
            </w:pPr>
            <w:r w:rsidRPr="00097BA8">
              <w:rPr>
                <w:rStyle w:val="SpecialBold"/>
              </w:rPr>
              <w:t>3</w:t>
            </w:r>
            <w:r w:rsidRPr="00097BA8">
              <w:t>.</w:t>
            </w:r>
            <w:r w:rsidRPr="00097BA8">
              <w:tab/>
            </w:r>
            <w:r w:rsidRPr="00097BA8">
              <w:rPr>
                <w:rStyle w:val="SpecialBold"/>
              </w:rPr>
              <w:t>Provide policy advice to government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List"/>
            </w:pPr>
            <w:r w:rsidRPr="00097BA8">
              <w:t>3.1</w:t>
            </w:r>
            <w:r w:rsidRPr="00097BA8">
              <w:tab/>
              <w:t xml:space="preserve">The context, purpose and audience for the policy advice is determined and </w:t>
            </w:r>
            <w:r w:rsidRPr="00097BA8">
              <w:rPr>
                <w:rStyle w:val="BoldandItalics"/>
              </w:rPr>
              <w:t xml:space="preserve">advice </w:t>
            </w:r>
            <w:r w:rsidRPr="00097BA8">
              <w:t>to government is provided in the required form with the desired level of detail and complexity, balanced against the need for brevity.</w:t>
            </w:r>
          </w:p>
          <w:p w:rsidR="00000000" w:rsidRPr="00097BA8" w:rsidP="00097BA8">
            <w:pPr>
              <w:pStyle w:val="List"/>
            </w:pPr>
            <w:r w:rsidRPr="00097BA8">
              <w:t>3.2</w:t>
            </w:r>
            <w:r w:rsidRPr="00097BA8">
              <w:tab/>
              <w:t xml:space="preserve">Policy advice is provided that is logical, balanced and comprehensive, analysed and presented in accordance with the </w:t>
            </w:r>
            <w:r w:rsidRPr="00097BA8">
              <w:t>purpose for which it was requested.</w:t>
            </w:r>
          </w:p>
          <w:p w:rsidR="00000000" w:rsidRPr="00097BA8" w:rsidP="00097BA8">
            <w:pPr>
              <w:pStyle w:val="List"/>
            </w:pPr>
            <w:r w:rsidRPr="00097BA8">
              <w:t>3.3</w:t>
            </w:r>
            <w:r w:rsidRPr="00097BA8">
              <w:tab/>
              <w:t>Requests from government for policy advice are responded to immediately or information is provided on what steps are being taken to address the request.</w:t>
            </w:r>
          </w:p>
        </w:tc>
      </w:tr>
    </w:tbl>
    <w:p w:rsidR="00000000" w:rsidRPr="00097BA8" w:rsidP="00097BA8">
      <w:pPr>
        <w:pStyle w:val="BodyText"/>
      </w:pPr>
    </w:p>
    <w:p w:rsidR="00000000" w:rsidRPr="00097BA8" w:rsidP="00097BA8">
      <w:pPr>
        <w:pStyle w:val="AllowPageBreak"/>
      </w:pPr>
    </w:p>
    <w:p w:rsidR="00000000" w:rsidRPr="00097BA8" w:rsidP="00097BA8">
      <w:pPr>
        <w:pStyle w:val="Heading1"/>
      </w:pPr>
      <w:bookmarkStart w:id="9" w:name="O_497883"/>
      <w:bookmarkEnd w:id="9"/>
      <w:r w:rsidRPr="00097BA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617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t>This section d</w:t>
            </w:r>
            <w:r w:rsidRPr="00097BA8">
              <w:t>escribes the essential skills and knowledge and their level, required for this unit.</w:t>
            </w:r>
          </w:p>
        </w:tc>
      </w:tr>
      <w:tr w:rsidTr="00617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BodyText"/>
            </w:pPr>
            <w:r w:rsidRPr="00097BA8">
              <w:rPr>
                <w:rStyle w:val="SpecialBold"/>
              </w:rPr>
              <w:t>Skill requirements</w:t>
            </w:r>
          </w:p>
          <w:p w:rsidR="00000000" w:rsidRPr="00097BA8" w:rsidP="00097BA8">
            <w:pPr>
              <w:pStyle w:val="BodyText"/>
            </w:pPr>
            <w:r w:rsidRPr="00097BA8">
              <w:t>Look for evidence that confirms skills in:</w:t>
            </w:r>
          </w:p>
          <w:p w:rsidR="00000000" w:rsidRPr="00097BA8" w:rsidP="00097BA8">
            <w:pPr>
              <w:pStyle w:val="ListBullet2"/>
            </w:pPr>
            <w:r w:rsidRPr="00097BA8">
              <w:t xml:space="preserve">undertaking environmental monitoring and influencing </w:t>
            </w:r>
          </w:p>
          <w:p w:rsidR="00000000" w:rsidRPr="00097BA8" w:rsidP="00097BA8">
            <w:pPr>
              <w:pStyle w:val="ListBullet2"/>
            </w:pPr>
            <w:r w:rsidRPr="00097BA8">
              <w:t>applying scenario planning</w:t>
            </w:r>
          </w:p>
          <w:p w:rsidR="00000000" w:rsidRPr="00097BA8" w:rsidP="00097BA8">
            <w:pPr>
              <w:pStyle w:val="ListBullet2"/>
            </w:pPr>
            <w:r w:rsidRPr="00097BA8">
              <w:t>reading and evaluating complex and formal documents such as policy and legislation</w:t>
            </w:r>
          </w:p>
          <w:p w:rsidR="00000000" w:rsidRPr="00097BA8" w:rsidP="00097BA8">
            <w:pPr>
              <w:pStyle w:val="ListBullet2"/>
            </w:pPr>
            <w:r w:rsidRPr="00097BA8">
              <w:t>adjusting communication to suit different audiences</w:t>
            </w:r>
          </w:p>
          <w:p w:rsidR="00000000" w:rsidRPr="00097BA8" w:rsidP="00097BA8">
            <w:pPr>
              <w:pStyle w:val="ListBullet2"/>
            </w:pPr>
            <w:r w:rsidRPr="00097BA8">
              <w:t>interpreting language that is high in nuance or intended to mislead in order to promote or protect interests that are con</w:t>
            </w:r>
            <w:r w:rsidRPr="00097BA8">
              <w:t>cealed</w:t>
            </w:r>
          </w:p>
          <w:p w:rsidR="00000000" w:rsidRPr="00097BA8" w:rsidP="00097BA8">
            <w:pPr>
              <w:pStyle w:val="ListBullet2"/>
            </w:pPr>
            <w:r w:rsidRPr="00097BA8">
              <w:t>preparing written advice requiring precision of expression and language and structures suited to the intended audience</w:t>
            </w:r>
          </w:p>
          <w:p w:rsidR="00000000" w:rsidRPr="00097BA8" w:rsidP="00097BA8">
            <w:pPr>
              <w:pStyle w:val="ListBullet2"/>
            </w:pPr>
            <w:r w:rsidRPr="00097BA8">
              <w:t>responding to diversity, including gender and disability</w:t>
            </w:r>
          </w:p>
          <w:p w:rsidR="00000000" w:rsidRPr="00097BA8" w:rsidP="00097BA8">
            <w:pPr>
              <w:pStyle w:val="ListBullet2"/>
            </w:pPr>
            <w:r w:rsidRPr="00097BA8">
              <w:t xml:space="preserve">accessing policies and legislation electronically or in hard copy </w:t>
            </w:r>
          </w:p>
          <w:p w:rsidR="00000000" w:rsidP="00097BA8">
            <w:pPr>
              <w:pStyle w:val="ListBullet2"/>
              <w:rPr>
                <w:lang w:val="en-NZ"/>
              </w:rPr>
            </w:pPr>
            <w:r w:rsidRPr="00097BA8">
              <w:t>identi</w:t>
            </w:r>
            <w:r w:rsidRPr="00097BA8">
              <w:t>fying and addressing the environmental, sustainability and occupational health and safety implications of policy under development</w:t>
            </w:r>
          </w:p>
        </w:tc>
      </w:tr>
      <w:tr w:rsidTr="00617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BodyText"/>
            </w:pPr>
            <w:r w:rsidRPr="00097BA8">
              <w:rPr>
                <w:rStyle w:val="SpecialBold"/>
              </w:rPr>
              <w:t>Knowledge requirements</w:t>
            </w:r>
          </w:p>
          <w:p w:rsidR="00000000" w:rsidRPr="00097BA8" w:rsidP="00097BA8">
            <w:pPr>
              <w:pStyle w:val="BodyText"/>
            </w:pPr>
            <w:r w:rsidRPr="00097BA8">
              <w:t>Look for evidence that confirms knowledge and understanding of:</w:t>
            </w:r>
          </w:p>
          <w:p w:rsidR="00000000" w:rsidRPr="00097BA8" w:rsidP="00097BA8">
            <w:pPr>
              <w:pStyle w:val="ListBullet2"/>
            </w:pPr>
            <w:r w:rsidRPr="00097BA8">
              <w:t>issues analysis and strategic policy</w:t>
            </w:r>
            <w:r w:rsidRPr="00097BA8">
              <w:t xml:space="preserve"> development concepts</w:t>
            </w:r>
          </w:p>
          <w:p w:rsidR="00000000" w:rsidRPr="00097BA8" w:rsidP="00097BA8">
            <w:pPr>
              <w:pStyle w:val="ListBullet2"/>
            </w:pPr>
            <w:r w:rsidRPr="00097BA8">
              <w:t>multi-sectoral and multi-dimensional policy studies</w:t>
            </w:r>
          </w:p>
          <w:p w:rsidR="00000000" w:rsidRPr="00097BA8" w:rsidP="00097BA8">
            <w:pPr>
              <w:pStyle w:val="ListBullet2"/>
            </w:pPr>
            <w:r w:rsidRPr="00097BA8">
              <w:t>strategic thinking to promote the evolution of policy to meet changing circumstances</w:t>
            </w:r>
          </w:p>
          <w:p w:rsidR="00000000" w:rsidRPr="00097BA8" w:rsidP="00097BA8">
            <w:pPr>
              <w:pStyle w:val="ListBullet2"/>
            </w:pPr>
            <w:r w:rsidRPr="00097BA8">
              <w:t>integration of government, ministerial and agency priorities within the public policy environment</w:t>
            </w:r>
          </w:p>
          <w:p w:rsidR="00000000" w:rsidRPr="00097BA8" w:rsidP="00097BA8">
            <w:pPr>
              <w:pStyle w:val="ListBullet2"/>
            </w:pPr>
            <w:r w:rsidRPr="00097BA8">
              <w:t>principles of community engagement in policy development</w:t>
            </w:r>
          </w:p>
          <w:p w:rsidR="00000000" w:rsidRPr="00097BA8" w:rsidP="00097BA8">
            <w:pPr>
              <w:pStyle w:val="ListBullet2"/>
            </w:pPr>
            <w:r w:rsidRPr="00097BA8">
              <w:t>equal employment opportunity, equity and diversity principles</w:t>
            </w:r>
          </w:p>
          <w:p w:rsidR="00000000" w:rsidRPr="00097BA8" w:rsidP="00097BA8">
            <w:pPr>
              <w:pStyle w:val="ListBullet2"/>
            </w:pPr>
            <w:r w:rsidRPr="00097BA8">
              <w:t>environmental, sustainability and occupational health and safety implications in the policy areas under development</w:t>
            </w:r>
          </w:p>
        </w:tc>
      </w:tr>
    </w:tbl>
    <w:p w:rsidR="00000000" w:rsidRPr="00097BA8" w:rsidP="00097BA8">
      <w:pPr>
        <w:pStyle w:val="BodyText"/>
      </w:pPr>
    </w:p>
    <w:p w:rsidR="00000000" w:rsidRPr="00097BA8" w:rsidP="00097BA8">
      <w:pPr>
        <w:pStyle w:val="AllowPageBreak"/>
      </w:pPr>
    </w:p>
    <w:p w:rsidR="00000000" w:rsidRPr="00097BA8" w:rsidP="00097BA8">
      <w:pPr>
        <w:pStyle w:val="Heading1"/>
      </w:pPr>
      <w:bookmarkStart w:id="10" w:name="O_497886"/>
      <w:bookmarkEnd w:id="10"/>
      <w:r w:rsidRPr="00097BA8">
        <w:t>E</w:t>
      </w:r>
      <w:r w:rsidRPr="00097BA8">
        <w:t>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t>The Evidence Guide specifies the evidence required to demonstrate achievement in the unit of competency as a whole. It must be read in conjunction with the Unit descriptor, Performance Criteria, the Range Statement and the Assessment Guidelin</w:t>
            </w:r>
            <w:r w:rsidRPr="00097BA8">
              <w:t>es for the Public Sector Training Package.</w:t>
            </w:r>
          </w:p>
        </w:tc>
      </w:tr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BodyText"/>
            </w:pPr>
            <w:r w:rsidRPr="00097BA8">
              <w:rPr>
                <w:rStyle w:val="SpecialBold"/>
              </w:rPr>
              <w:t>Units to be assessed together</w:t>
            </w:r>
            <w:r w:rsidRPr="00097BA8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ListBullet2"/>
            </w:pPr>
            <w:r w:rsidRPr="00097BA8">
              <w:rPr>
                <w:rStyle w:val="Emphasis"/>
              </w:rPr>
              <w:t>Pre</w:t>
            </w:r>
            <w:r w:rsidRPr="00097BA8">
              <w:t>-</w:t>
            </w:r>
            <w:r w:rsidRPr="00097BA8">
              <w:rPr>
                <w:rStyle w:val="Emphasis"/>
              </w:rPr>
              <w:t>requisite</w:t>
            </w:r>
            <w:r w:rsidRPr="00097BA8">
              <w:t xml:space="preserve"> units that </w:t>
            </w:r>
            <w:r w:rsidRPr="00097BA8">
              <w:rPr>
                <w:rStyle w:val="Underline"/>
              </w:rPr>
              <w:t>must</w:t>
            </w:r>
            <w:r w:rsidRPr="00097BA8">
              <w:t xml:space="preserve"> be achieved </w:t>
            </w:r>
            <w:r w:rsidRPr="00097BA8">
              <w:rPr>
                <w:rStyle w:val="Underline"/>
              </w:rPr>
              <w:t>prior</w:t>
            </w:r>
            <w:r w:rsidRPr="00097BA8">
              <w:t xml:space="preserve"> to this unit:</w:t>
            </w:r>
            <w:r w:rsidRPr="00097BA8">
              <w:rPr>
                <w:rStyle w:val="Emphasis"/>
              </w:rPr>
              <w:t>Nil</w:t>
            </w:r>
          </w:p>
          <w:p w:rsidR="00000000" w:rsidRPr="00097BA8" w:rsidP="00097BA8">
            <w:pPr>
              <w:pStyle w:val="ListBullet2"/>
            </w:pPr>
            <w:r w:rsidRPr="00097BA8">
              <w:rPr>
                <w:rStyle w:val="Emphasis"/>
              </w:rPr>
              <w:t>Co</w:t>
            </w:r>
            <w:r w:rsidRPr="00097BA8">
              <w:t>-</w:t>
            </w:r>
            <w:r w:rsidRPr="00097BA8">
              <w:rPr>
                <w:rStyle w:val="Emphasis"/>
              </w:rPr>
              <w:t>requisite</w:t>
            </w:r>
            <w:r w:rsidRPr="00097BA8">
              <w:t xml:space="preserve"> units that </w:t>
            </w:r>
            <w:r w:rsidRPr="00097BA8">
              <w:rPr>
                <w:rStyle w:val="Underline"/>
              </w:rPr>
              <w:t>must</w:t>
            </w:r>
            <w:r w:rsidRPr="00097BA8">
              <w:t xml:space="preserve"> be assessed </w:t>
            </w:r>
            <w:r w:rsidRPr="00097BA8">
              <w:rPr>
                <w:rStyle w:val="Underline"/>
              </w:rPr>
              <w:t>with</w:t>
            </w:r>
            <w:r w:rsidRPr="00097BA8">
              <w:t xml:space="preserve"> this unit:</w:t>
            </w:r>
            <w:r w:rsidRPr="00097BA8">
              <w:rPr>
                <w:rStyle w:val="Emphasis"/>
              </w:rPr>
              <w:t>Nil</w:t>
            </w:r>
          </w:p>
          <w:p w:rsidR="00000000" w:rsidRPr="00097BA8" w:rsidP="00097BA8">
            <w:pPr>
              <w:pStyle w:val="ListBullet2"/>
            </w:pPr>
            <w:r w:rsidRPr="00097BA8">
              <w:rPr>
                <w:rStyle w:val="Emphasis"/>
              </w:rPr>
              <w:t>Co</w:t>
            </w:r>
            <w:r w:rsidRPr="00097BA8">
              <w:t>-</w:t>
            </w:r>
            <w:r w:rsidRPr="00097BA8">
              <w:rPr>
                <w:rStyle w:val="Emphasis"/>
              </w:rPr>
              <w:t>assessed units</w:t>
            </w:r>
            <w:r w:rsidRPr="00097BA8">
              <w:t xml:space="preserve"> that </w:t>
            </w:r>
            <w:r w:rsidRPr="00097BA8">
              <w:rPr>
                <w:rStyle w:val="Underline"/>
              </w:rPr>
              <w:t>may</w:t>
            </w:r>
            <w:r w:rsidRPr="00097BA8">
              <w:t xml:space="preserve"> be assessed with this unit to increase the efficiency and realism of the assessment process include, but are not limited to:</w:t>
            </w:r>
          </w:p>
          <w:p w:rsidR="00000000" w:rsidRPr="00097BA8" w:rsidP="00097BA8">
            <w:pPr>
              <w:pStyle w:val="ListBullet3"/>
            </w:pPr>
            <w:r w:rsidRPr="00097BA8">
              <w:t>PSPETHC701A Lead and influence ethical practice in the public sector</w:t>
            </w:r>
          </w:p>
          <w:p w:rsidR="00000000" w:rsidRPr="00097BA8" w:rsidP="00097BA8">
            <w:pPr>
              <w:pStyle w:val="ListBullet3"/>
            </w:pPr>
            <w:r w:rsidRPr="00097BA8">
              <w:t>PSPHR703A Provide leadership in stra</w:t>
            </w:r>
            <w:r w:rsidRPr="00097BA8">
              <w:t>tegic human resource management</w:t>
            </w:r>
          </w:p>
          <w:p w:rsidR="00000000" w:rsidRPr="00097BA8" w:rsidP="00097BA8">
            <w:pPr>
              <w:pStyle w:val="ListBullet3"/>
            </w:pPr>
            <w:r w:rsidRPr="00097BA8">
              <w:t>PSPHR702B Formulate a strategic human resource plan</w:t>
            </w:r>
          </w:p>
          <w:p w:rsidR="00000000" w:rsidRPr="00097BA8" w:rsidP="00097BA8">
            <w:pPr>
              <w:pStyle w:val="ListBullet3"/>
            </w:pPr>
            <w:r w:rsidRPr="00097BA8">
              <w:t>PSPMNGT701B Provide strategic direction</w:t>
            </w:r>
          </w:p>
          <w:p w:rsidR="00000000" w:rsidRPr="00097BA8" w:rsidP="00097BA8">
            <w:pPr>
              <w:pStyle w:val="ListBullet3"/>
            </w:pPr>
            <w:r w:rsidRPr="00097BA8">
              <w:t xml:space="preserve">PSPMNGT702A Influence and shape diversity management </w:t>
            </w:r>
          </w:p>
          <w:p w:rsidR="00000000" w:rsidRPr="00097BA8" w:rsidP="00097BA8">
            <w:pPr>
              <w:pStyle w:val="ListBullet3"/>
            </w:pPr>
            <w:r w:rsidRPr="00097BA8">
              <w:t>PSPMNGT703A Lead and influence change</w:t>
            </w:r>
          </w:p>
          <w:p w:rsidR="00000000" w:rsidRPr="00097BA8" w:rsidP="00097BA8">
            <w:pPr>
              <w:pStyle w:val="ListBullet3"/>
            </w:pPr>
            <w:r w:rsidRPr="00097BA8">
              <w:t>PSPMNGT704A Undertake enterprise risk ma</w:t>
            </w:r>
            <w:r w:rsidRPr="00097BA8">
              <w:t>nagement</w:t>
            </w:r>
          </w:p>
          <w:p w:rsidR="00000000" w:rsidP="00097BA8">
            <w:pPr>
              <w:pStyle w:val="ListBullet3"/>
              <w:rPr>
                <w:lang w:val="en-NZ"/>
              </w:rPr>
            </w:pPr>
            <w:r w:rsidRPr="00097BA8">
              <w:t>PSPPROC703B Evaluate and improve procurement performance</w:t>
            </w:r>
          </w:p>
        </w:tc>
      </w:tr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BodyText"/>
            </w:pPr>
            <w:r w:rsidRPr="00097BA8">
              <w:t>In addition to integrated demonstration of the elements and their related performance criteria, look for evidence that confirms:</w:t>
            </w:r>
          </w:p>
          <w:p w:rsidR="00000000" w:rsidRPr="00097BA8" w:rsidP="00097BA8">
            <w:pPr>
              <w:pStyle w:val="ListBullet2"/>
            </w:pPr>
            <w:r w:rsidRPr="00097BA8">
              <w:t>the knowledge requirement</w:t>
            </w:r>
            <w:r w:rsidRPr="00097BA8">
              <w:t xml:space="preserve">s of this unit </w:t>
            </w:r>
          </w:p>
          <w:p w:rsidR="00000000" w:rsidRPr="00097BA8" w:rsidP="00097BA8">
            <w:pPr>
              <w:pStyle w:val="ListBullet2"/>
            </w:pPr>
            <w:r w:rsidRPr="00097BA8">
              <w:t>the skill requirements of this unit</w:t>
            </w:r>
          </w:p>
          <w:p w:rsidR="00000000" w:rsidRPr="00097BA8" w:rsidP="00097BA8">
            <w:pPr>
              <w:pStyle w:val="ListBullet2"/>
            </w:pPr>
            <w:r w:rsidRPr="00097BA8">
              <w:t>application of the Employability Skills as they relate to this unit (see Employability Summaries in Qualifications Framework)</w:t>
            </w:r>
          </w:p>
          <w:p w:rsidR="00000000" w:rsidP="00097BA8">
            <w:pPr>
              <w:pStyle w:val="ListBullet2"/>
              <w:rPr>
                <w:lang w:val="en-NZ"/>
              </w:rPr>
            </w:pPr>
            <w:r w:rsidRPr="00097BA8">
              <w:t xml:space="preserve">strategic policy influence in a range of (2 or more) contexts (or occasions, over time) </w:t>
            </w:r>
          </w:p>
        </w:tc>
      </w:tr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BodyText"/>
            </w:pPr>
            <w:r w:rsidRPr="00097BA8">
              <w:t>These resources include:</w:t>
            </w:r>
          </w:p>
          <w:p w:rsidR="00000000" w:rsidRPr="00097BA8" w:rsidP="00097BA8">
            <w:pPr>
              <w:pStyle w:val="ListBullet2"/>
            </w:pPr>
            <w:r w:rsidRPr="00097BA8">
              <w:t>medium- to long-term government priorities</w:t>
            </w:r>
          </w:p>
          <w:p w:rsidR="00000000" w:rsidRPr="00097BA8" w:rsidP="00097BA8">
            <w:pPr>
              <w:pStyle w:val="ListBullet2"/>
            </w:pPr>
            <w:r w:rsidRPr="00097BA8">
              <w:t>strategic policy scenarios</w:t>
            </w:r>
          </w:p>
          <w:p w:rsidR="00000000" w:rsidRPr="00097BA8" w:rsidP="00097BA8">
            <w:pPr>
              <w:pStyle w:val="ListBullet2"/>
            </w:pPr>
            <w:r w:rsidRPr="00097BA8">
              <w:t xml:space="preserve">public sector legislation, </w:t>
            </w:r>
            <w:r w:rsidRPr="00097BA8">
              <w:t>policies and standards</w:t>
            </w:r>
          </w:p>
          <w:p w:rsidR="00000000" w:rsidP="00097BA8">
            <w:pPr>
              <w:pStyle w:val="ListBullet2"/>
              <w:rPr>
                <w:lang w:val="en-NZ"/>
              </w:rPr>
            </w:pPr>
            <w:r w:rsidRPr="00097BA8">
              <w:t>international policies</w:t>
            </w:r>
          </w:p>
        </w:tc>
      </w:tr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BodyText"/>
            </w:pPr>
            <w:r w:rsidRPr="00097BA8">
              <w:t xml:space="preserve">Valid assessment of this unit requires: </w:t>
            </w:r>
          </w:p>
          <w:p w:rsidR="00000000" w:rsidRPr="00097BA8" w:rsidP="00097BA8">
            <w:pPr>
              <w:pStyle w:val="ListBullet2"/>
            </w:pPr>
            <w:r w:rsidRPr="00097BA8">
              <w:t>a workplace environment or one that closely resembles normal work practice and replicates the range of conditions likely to be encount</w:t>
            </w:r>
            <w:r w:rsidRPr="00097BA8">
              <w:t>ered when influencing strategic policy, including coping with difficulties, irregularities and breakdowns in routine</w:t>
            </w:r>
          </w:p>
          <w:p w:rsidR="00000000" w:rsidRPr="00097BA8" w:rsidP="00097BA8">
            <w:pPr>
              <w:pStyle w:val="ListBullet2"/>
            </w:pPr>
            <w:r w:rsidRPr="00097BA8">
              <w:t xml:space="preserve">strategic policy influence in a range of (2 or more) contexts (or occasions, over time) </w:t>
            </w:r>
          </w:p>
          <w:p w:rsidR="00000000" w:rsidRPr="00097BA8" w:rsidP="00097BA8">
            <w:pPr>
              <w:pStyle w:val="BodyText"/>
            </w:pPr>
            <w:r w:rsidRPr="00097BA8">
              <w:t>Assessment methods should reflect workplace demands, such as literacy, and the needs of particular groups, such as:</w:t>
            </w:r>
          </w:p>
          <w:p w:rsidR="00000000" w:rsidRPr="00097BA8" w:rsidP="00097BA8">
            <w:pPr>
              <w:pStyle w:val="ListBullet2"/>
            </w:pPr>
            <w:r w:rsidRPr="00097BA8">
              <w:t>people with disabilities</w:t>
            </w:r>
          </w:p>
          <w:p w:rsidR="00000000" w:rsidRPr="00097BA8" w:rsidP="00097BA8">
            <w:pPr>
              <w:pStyle w:val="ListBullet2"/>
            </w:pPr>
            <w:r w:rsidRPr="00097BA8">
              <w:t>people from culturally and linguistically diverse backgrounds</w:t>
            </w:r>
          </w:p>
          <w:p w:rsidR="00000000" w:rsidRPr="00097BA8" w:rsidP="00097BA8">
            <w:pPr>
              <w:pStyle w:val="ListBullet2"/>
            </w:pPr>
            <w:r w:rsidRPr="00097BA8">
              <w:t>Aboriginal and Torres Strait Islander people</w:t>
            </w:r>
          </w:p>
          <w:p w:rsidR="00000000" w:rsidRPr="00097BA8" w:rsidP="00097BA8">
            <w:pPr>
              <w:pStyle w:val="ListBullet2"/>
            </w:pPr>
            <w:r w:rsidRPr="00097BA8">
              <w:t>women</w:t>
            </w:r>
          </w:p>
          <w:p w:rsidR="00000000" w:rsidRPr="00097BA8" w:rsidP="00097BA8">
            <w:pPr>
              <w:pStyle w:val="ListBullet2"/>
            </w:pPr>
            <w:r w:rsidRPr="00097BA8">
              <w:t>y</w:t>
            </w:r>
            <w:r w:rsidRPr="00097BA8">
              <w:t>oung people</w:t>
            </w:r>
          </w:p>
          <w:p w:rsidR="00000000" w:rsidRPr="00097BA8" w:rsidP="00097BA8">
            <w:pPr>
              <w:pStyle w:val="ListBullet2"/>
            </w:pPr>
            <w:r w:rsidRPr="00097BA8">
              <w:t>older people</w:t>
            </w:r>
          </w:p>
          <w:p w:rsidR="00000000" w:rsidRPr="00097BA8" w:rsidP="00097BA8">
            <w:pPr>
              <w:pStyle w:val="ListBullet2"/>
            </w:pPr>
            <w:r w:rsidRPr="00097BA8">
              <w:t>people in rural and remote locations</w:t>
            </w:r>
          </w:p>
          <w:p w:rsidR="00000000" w:rsidRPr="00097BA8" w:rsidP="00097BA8">
            <w:pPr>
              <w:pStyle w:val="BodyText"/>
            </w:pPr>
            <w:r w:rsidRPr="00097BA8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097BA8" w:rsidP="00097BA8">
            <w:pPr>
              <w:pStyle w:val="ListBullet2"/>
            </w:pPr>
            <w:r w:rsidRPr="00097BA8">
              <w:t>case studies</w:t>
            </w:r>
          </w:p>
          <w:p w:rsidR="00000000" w:rsidRPr="00097BA8" w:rsidP="00097BA8">
            <w:pPr>
              <w:pStyle w:val="ListBullet2"/>
            </w:pPr>
            <w:r w:rsidRPr="00097BA8">
              <w:t xml:space="preserve">portfolios </w:t>
            </w:r>
          </w:p>
          <w:p w:rsidR="00000000" w:rsidRPr="00097BA8" w:rsidP="00097BA8">
            <w:pPr>
              <w:pStyle w:val="ListBullet2"/>
            </w:pPr>
            <w:r w:rsidRPr="00097BA8">
              <w:t>projects</w:t>
            </w:r>
          </w:p>
          <w:p w:rsidR="00000000" w:rsidRPr="00097BA8" w:rsidP="00097BA8">
            <w:pPr>
              <w:pStyle w:val="ListBullet2"/>
            </w:pPr>
            <w:r w:rsidRPr="00097BA8">
              <w:t>questioni</w:t>
            </w:r>
            <w:r w:rsidRPr="00097BA8">
              <w:t>ng</w:t>
            </w:r>
          </w:p>
          <w:p w:rsidR="00000000" w:rsidRPr="00097BA8" w:rsidP="00097BA8">
            <w:pPr>
              <w:pStyle w:val="ListBullet2"/>
            </w:pPr>
            <w:r w:rsidRPr="00097BA8">
              <w:t>scenarios</w:t>
            </w:r>
          </w:p>
          <w:p w:rsidR="00000000" w:rsidP="00097BA8">
            <w:pPr>
              <w:pStyle w:val="ListBullet2"/>
              <w:rPr>
                <w:lang w:val="en-NZ"/>
              </w:rPr>
            </w:pPr>
            <w:r w:rsidRPr="00097BA8">
              <w:t xml:space="preserve">authenticated evidence from the workplace and/or training courses   </w:t>
            </w:r>
          </w:p>
        </w:tc>
      </w:tr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BodyText"/>
            </w:pPr>
            <w:r w:rsidRPr="00097BA8">
              <w:t xml:space="preserve">Evidence must be gathered over time in a range of contexts to ensure the person can achieve the unit outcome and apply the competency in </w:t>
            </w:r>
            <w:r w:rsidRPr="00097BA8">
              <w:t>different situations or environments</w:t>
            </w:r>
          </w:p>
        </w:tc>
      </w:tr>
    </w:tbl>
    <w:p w:rsidR="00000000" w:rsidRPr="00097BA8" w:rsidP="00097BA8">
      <w:pPr>
        <w:pStyle w:val="BodyText"/>
      </w:pPr>
    </w:p>
    <w:p w:rsidR="00000000" w:rsidRPr="00097BA8" w:rsidP="00097BA8">
      <w:pPr>
        <w:pStyle w:val="AllowPageBreak"/>
      </w:pPr>
    </w:p>
    <w:p w:rsidR="00000000" w:rsidRPr="00097BA8" w:rsidP="00097BA8">
      <w:pPr>
        <w:pStyle w:val="Heading1"/>
      </w:pPr>
      <w:bookmarkStart w:id="11" w:name="O_497887"/>
      <w:bookmarkEnd w:id="11"/>
      <w:r w:rsidRPr="00097BA8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t>The Range Statement provides information about the context in which the unit of competency is carried out. The variables cater for differences between States and Territories and the Co</w:t>
            </w:r>
            <w:r w:rsidRPr="00097BA8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097BA8">
              <w:rPr>
                <w:rStyle w:val="BoldandItalics"/>
              </w:rPr>
              <w:t xml:space="preserve"> bold italics</w:t>
            </w:r>
            <w:r w:rsidRPr="00097BA8">
              <w:t xml:space="preserve"> in the Perform</w:t>
            </w:r>
            <w:r w:rsidRPr="00097BA8">
              <w:t>ance Criteria is explained here.</w:t>
            </w:r>
          </w:p>
        </w:tc>
      </w:tr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rPr>
                <w:rStyle w:val="BoldandItalics"/>
              </w:rPr>
              <w:t>Policy environments</w:t>
            </w:r>
            <w:r w:rsidRPr="00097BA8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ListBullet2"/>
            </w:pPr>
            <w:r w:rsidRPr="00097BA8">
              <w:t>building industry where aspects of public housing policy apply</w:t>
            </w:r>
          </w:p>
          <w:p w:rsidR="00000000" w:rsidRPr="00097BA8" w:rsidP="00097BA8">
            <w:pPr>
              <w:pStyle w:val="ListBullet2"/>
            </w:pPr>
            <w:r w:rsidRPr="00097BA8">
              <w:t xml:space="preserve">health industry </w:t>
            </w:r>
          </w:p>
          <w:p w:rsidR="00000000" w:rsidRPr="00097BA8" w:rsidP="00097BA8">
            <w:pPr>
              <w:pStyle w:val="ListBullet2"/>
            </w:pPr>
            <w:r w:rsidRPr="00097BA8">
              <w:t xml:space="preserve">transport </w:t>
            </w:r>
          </w:p>
          <w:p w:rsidR="00000000" w:rsidRPr="00097BA8" w:rsidP="00097BA8">
            <w:pPr>
              <w:pStyle w:val="ListBullet2"/>
            </w:pPr>
            <w:r w:rsidRPr="00097BA8">
              <w:t>education</w:t>
            </w:r>
          </w:p>
          <w:p w:rsidR="00000000" w:rsidRPr="00097BA8" w:rsidP="00097BA8">
            <w:pPr>
              <w:pStyle w:val="ListBullet2"/>
            </w:pPr>
            <w:r w:rsidRPr="00097BA8">
              <w:t>environment and sustainability</w:t>
            </w:r>
          </w:p>
          <w:p w:rsidR="00000000" w:rsidRPr="00097BA8" w:rsidP="00097BA8">
            <w:pPr>
              <w:pStyle w:val="ListBullet2"/>
            </w:pPr>
            <w:r w:rsidRPr="00097BA8">
              <w:t>manufacturing</w:t>
            </w:r>
          </w:p>
          <w:p w:rsidR="00000000" w:rsidRPr="00097BA8" w:rsidP="00097BA8">
            <w:pPr>
              <w:pStyle w:val="ListBullet2"/>
            </w:pPr>
            <w:r w:rsidRPr="00097BA8">
              <w:t>retail industry</w:t>
            </w:r>
          </w:p>
          <w:p w:rsidR="00000000" w:rsidRPr="00097BA8" w:rsidP="00097BA8">
            <w:pPr>
              <w:pStyle w:val="ListBullet2"/>
            </w:pPr>
            <w:r w:rsidRPr="00097BA8">
              <w:t>non-government sector</w:t>
            </w:r>
          </w:p>
          <w:p w:rsidR="00000000" w:rsidRPr="00097BA8" w:rsidP="00097BA8">
            <w:pPr>
              <w:pStyle w:val="ListBullet2"/>
            </w:pPr>
            <w:r w:rsidRPr="00097BA8">
              <w:t>global economy</w:t>
            </w:r>
          </w:p>
          <w:p w:rsidR="00000000" w:rsidRPr="00097BA8" w:rsidP="00097BA8">
            <w:pPr>
              <w:pStyle w:val="ListBullet2"/>
            </w:pPr>
            <w:r w:rsidRPr="00097BA8">
              <w:t>emerging markets</w:t>
            </w:r>
          </w:p>
          <w:p w:rsidR="00000000" w:rsidP="00097BA8">
            <w:pPr>
              <w:pStyle w:val="ListBullet2"/>
              <w:rPr>
                <w:lang w:val="en-NZ"/>
              </w:rPr>
            </w:pPr>
            <w:r w:rsidRPr="00097BA8">
              <w:t>new technologies</w:t>
            </w:r>
          </w:p>
        </w:tc>
      </w:tr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rPr>
                <w:rStyle w:val="BoldandItalics"/>
              </w:rPr>
              <w:t>Key consultation partners</w:t>
            </w:r>
            <w:r w:rsidRPr="00097BA8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ListBullet2"/>
            </w:pPr>
            <w:r w:rsidRPr="00097BA8">
              <w:t>the public</w:t>
            </w:r>
          </w:p>
          <w:p w:rsidR="00000000" w:rsidRPr="00097BA8" w:rsidP="00097BA8">
            <w:pPr>
              <w:pStyle w:val="ListBullet2"/>
            </w:pPr>
            <w:r w:rsidRPr="00097BA8">
              <w:t>public sector organisations</w:t>
            </w:r>
          </w:p>
          <w:p w:rsidR="00000000" w:rsidRPr="00097BA8" w:rsidP="00097BA8">
            <w:pPr>
              <w:pStyle w:val="ListBullet2"/>
            </w:pPr>
            <w:r w:rsidRPr="00097BA8">
              <w:t>other jurisdictions</w:t>
            </w:r>
          </w:p>
          <w:p w:rsidR="00000000" w:rsidRPr="00097BA8" w:rsidP="00097BA8">
            <w:pPr>
              <w:pStyle w:val="ListBullet2"/>
            </w:pPr>
            <w:r w:rsidRPr="00097BA8">
              <w:t>private sector organisations</w:t>
            </w:r>
          </w:p>
          <w:p w:rsidR="00000000" w:rsidRPr="00097BA8" w:rsidP="00097BA8">
            <w:pPr>
              <w:pStyle w:val="ListBullet2"/>
            </w:pPr>
            <w:r w:rsidRPr="00097BA8">
              <w:t>union and association representatives</w:t>
            </w:r>
          </w:p>
          <w:p w:rsidR="00000000" w:rsidRPr="00097BA8" w:rsidP="00097BA8">
            <w:pPr>
              <w:pStyle w:val="ListBullet2"/>
            </w:pPr>
            <w:r w:rsidRPr="00097BA8">
              <w:t>boards of management</w:t>
            </w:r>
          </w:p>
          <w:p w:rsidR="00000000" w:rsidRPr="00097BA8" w:rsidP="00097BA8">
            <w:pPr>
              <w:pStyle w:val="ListBullet2"/>
            </w:pPr>
            <w:r w:rsidRPr="00097BA8">
              <w:t>international government representatives</w:t>
            </w:r>
          </w:p>
          <w:p w:rsidR="00000000" w:rsidRPr="00097BA8" w:rsidP="00097BA8">
            <w:pPr>
              <w:pStyle w:val="ListBullet2"/>
            </w:pPr>
            <w:r w:rsidRPr="00097BA8">
              <w:t>international bodies</w:t>
            </w:r>
          </w:p>
          <w:p w:rsidR="00000000" w:rsidRPr="00097BA8" w:rsidP="00097BA8">
            <w:pPr>
              <w:pStyle w:val="ListBullet2"/>
            </w:pPr>
            <w:r w:rsidRPr="00097BA8">
              <w:t>community groups</w:t>
            </w:r>
          </w:p>
          <w:p w:rsidR="00000000" w:rsidRPr="00097BA8" w:rsidP="00097BA8">
            <w:pPr>
              <w:pStyle w:val="ListBullet2"/>
            </w:pPr>
            <w:r w:rsidRPr="00097BA8">
              <w:t>non-government organisations</w:t>
            </w:r>
          </w:p>
          <w:p w:rsidR="00000000" w:rsidRPr="00097BA8" w:rsidP="00097BA8">
            <w:pPr>
              <w:pStyle w:val="ListBullet2"/>
            </w:pPr>
            <w:r w:rsidRPr="00097BA8">
              <w:t>special interest groups</w:t>
            </w:r>
          </w:p>
          <w:p w:rsidR="00000000" w:rsidRPr="00097BA8" w:rsidP="00097BA8">
            <w:pPr>
              <w:pStyle w:val="ListBullet2"/>
            </w:pPr>
            <w:r w:rsidRPr="00097BA8">
              <w:t>key individuals of influence</w:t>
            </w:r>
          </w:p>
          <w:p w:rsidR="00000000" w:rsidRPr="00097BA8" w:rsidP="00097BA8">
            <w:pPr>
              <w:pStyle w:val="ListBullet2"/>
            </w:pPr>
            <w:r w:rsidRPr="00097BA8">
              <w:t>industry think tanks</w:t>
            </w:r>
          </w:p>
          <w:p w:rsidR="00000000" w:rsidP="00097BA8">
            <w:pPr>
              <w:pStyle w:val="ListBullet2"/>
              <w:rPr>
                <w:lang w:val="en-NZ"/>
              </w:rPr>
            </w:pPr>
            <w:r w:rsidRPr="00097BA8">
              <w:t>futurists</w:t>
            </w:r>
          </w:p>
        </w:tc>
      </w:tr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rPr>
                <w:rStyle w:val="BoldandItalics"/>
              </w:rPr>
              <w:t xml:space="preserve">Advice </w:t>
            </w:r>
            <w:r w:rsidRPr="00097BA8">
              <w:t>must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ListBullet2"/>
            </w:pPr>
            <w:r w:rsidRPr="00097BA8">
              <w:t>relevant</w:t>
            </w:r>
          </w:p>
          <w:p w:rsidR="00000000" w:rsidRPr="00097BA8" w:rsidP="00097BA8">
            <w:pPr>
              <w:pStyle w:val="ListBullet2"/>
            </w:pPr>
            <w:r w:rsidRPr="00097BA8">
              <w:t>comprehensive</w:t>
            </w:r>
          </w:p>
          <w:p w:rsidR="00000000" w:rsidRPr="00097BA8" w:rsidP="00097BA8">
            <w:pPr>
              <w:pStyle w:val="ListBullet2"/>
            </w:pPr>
            <w:r w:rsidRPr="00097BA8">
              <w:t>accurate</w:t>
            </w:r>
          </w:p>
          <w:p w:rsidR="00000000" w:rsidRPr="00097BA8" w:rsidP="00097BA8">
            <w:pPr>
              <w:pStyle w:val="ListBullet2"/>
            </w:pPr>
            <w:r w:rsidRPr="00097BA8">
              <w:t>defensible</w:t>
            </w:r>
          </w:p>
          <w:p w:rsidR="00000000" w:rsidP="00097BA8">
            <w:pPr>
              <w:pStyle w:val="ListBullet2"/>
              <w:rPr>
                <w:lang w:val="en-NZ"/>
              </w:rPr>
            </w:pPr>
            <w:r w:rsidRPr="00097BA8">
              <w:t>timely</w:t>
            </w:r>
          </w:p>
        </w:tc>
      </w:tr>
      <w:tr w:rsidTr="006171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BA8">
            <w:pPr>
              <w:pStyle w:val="BodyText"/>
              <w:rPr>
                <w:lang w:val="en-NZ"/>
              </w:rPr>
            </w:pPr>
            <w:r w:rsidRPr="00097BA8">
              <w:rPr>
                <w:rStyle w:val="BoldandItalics"/>
              </w:rPr>
              <w:t>Forms of advice</w:t>
            </w:r>
            <w:r w:rsidRPr="00097BA8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BA8" w:rsidP="00097BA8">
            <w:pPr>
              <w:pStyle w:val="ListBullet2"/>
            </w:pPr>
            <w:r w:rsidRPr="00097BA8">
              <w:t>Ministerials</w:t>
            </w:r>
          </w:p>
          <w:p w:rsidR="00000000" w:rsidRPr="00097BA8" w:rsidP="00097BA8">
            <w:pPr>
              <w:pStyle w:val="ListBullet2"/>
            </w:pPr>
            <w:r w:rsidRPr="00097BA8">
              <w:t>responses to Parliamentary questions</w:t>
            </w:r>
          </w:p>
          <w:p w:rsidR="00000000" w:rsidRPr="00097BA8" w:rsidP="00097BA8">
            <w:pPr>
              <w:pStyle w:val="ListBullet2"/>
            </w:pPr>
            <w:r w:rsidRPr="00097BA8">
              <w:t>briefing notes</w:t>
            </w:r>
          </w:p>
          <w:p w:rsidR="00000000" w:rsidRPr="00097BA8" w:rsidP="00097BA8">
            <w:pPr>
              <w:pStyle w:val="ListBullet2"/>
            </w:pPr>
            <w:r w:rsidRPr="00097BA8">
              <w:t>evidence to government committees</w:t>
            </w:r>
          </w:p>
          <w:p w:rsidR="00000000" w:rsidRPr="00097BA8" w:rsidP="00097BA8">
            <w:pPr>
              <w:pStyle w:val="ListBullet2"/>
            </w:pPr>
            <w:r w:rsidRPr="00097BA8">
              <w:t>issues papers</w:t>
            </w:r>
          </w:p>
          <w:p w:rsidR="00000000" w:rsidRPr="00097BA8" w:rsidP="00097BA8">
            <w:pPr>
              <w:pStyle w:val="ListBullet2"/>
            </w:pPr>
            <w:r w:rsidRPr="00097BA8">
              <w:t>discussion papers</w:t>
            </w:r>
          </w:p>
          <w:p w:rsidR="00000000" w:rsidRPr="00097BA8" w:rsidP="00097BA8">
            <w:pPr>
              <w:pStyle w:val="ListBullet2"/>
            </w:pPr>
            <w:r w:rsidRPr="00097BA8">
              <w:t>Cabinet submissions</w:t>
            </w:r>
          </w:p>
        </w:tc>
      </w:tr>
    </w:tbl>
    <w:p w:rsidR="0061714D" w:rsidP="00097BA8">
      <w:pPr>
        <w:pStyle w:val="BodyText"/>
      </w:pPr>
    </w:p>
    <w:p w:rsidR="0061714D" w:rsidP="00097BA8">
      <w:pPr>
        <w:pStyle w:val="BodyText"/>
      </w:pPr>
    </w:p>
    <w:p w:rsidR="00000000" w:rsidRPr="00097BA8" w:rsidP="00097BA8">
      <w:pPr>
        <w:pStyle w:val="Heading1"/>
      </w:pPr>
      <w:bookmarkStart w:id="12" w:name="O_497884"/>
      <w:bookmarkEnd w:id="12"/>
      <w:r w:rsidRPr="00097BA8">
        <w:t>Unit Sector(s)</w:t>
      </w:r>
    </w:p>
    <w:p w:rsidR="00000000" w:rsidRPr="00097BA8" w:rsidP="00097BA8">
      <w:pPr>
        <w:pStyle w:val="BodyText"/>
      </w:pPr>
      <w:r w:rsidRPr="00097BA8">
        <w:t>Not applicable.</w:t>
      </w:r>
    </w:p>
    <w:p w:rsidR="00000000" w:rsidRPr="00097BA8" w:rsidP="00097BA8">
      <w:pPr>
        <w:pStyle w:val="AllowPageBreak"/>
      </w:pPr>
    </w:p>
    <w:p w:rsidR="00000000" w:rsidRPr="00097BA8" w:rsidP="00097BA8">
      <w:pPr>
        <w:pStyle w:val="Heading1"/>
      </w:pPr>
      <w:bookmarkStart w:id="13" w:name="O_497894"/>
      <w:bookmarkEnd w:id="13"/>
      <w:r w:rsidRPr="00097BA8">
        <w:t>Competency field</w:t>
      </w:r>
    </w:p>
    <w:p w:rsidR="00000000" w:rsidRPr="00097BA8" w:rsidP="00097BA8">
      <w:pPr>
        <w:pStyle w:val="BodyText"/>
      </w:pPr>
      <w:r w:rsidRPr="00097BA8">
        <w:t>Policy.</w:t>
      </w:r>
    </w:p>
    <w:p w:rsidR="00000000" w:rsidRPr="00097BA8" w:rsidP="00097BA8"/>
    <w:sectPr w:rsidSect="00097B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B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1714D" w:rsidP="00617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B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4D" w:rsidP="00097B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1714D" w:rsidP="00097B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1714D" w:rsidP="00097BA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B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BA8" w:rsidRPr="0061714D" w:rsidP="0061714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B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14D" w:rsidRPr="002D2AF8" w:rsidP="00097B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PSPPOL701A Influence strategic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61714D" w:rsidP="00097B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6A9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A470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B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B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B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B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B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B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B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B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B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B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B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BA8"/>
  </w:style>
  <w:style w:type="character" w:customStyle="1" w:styleId="Heading1Char">
    <w:name w:val="Heading 1 Char"/>
    <w:basedOn w:val="DefaultParagraphFont"/>
    <w:link w:val="Heading1"/>
    <w:rsid w:val="00097B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B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BA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97B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BA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97BA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97BA8"/>
    <w:rPr>
      <w:b/>
      <w:spacing w:val="0"/>
    </w:rPr>
  </w:style>
  <w:style w:type="paragraph" w:styleId="ListBullet2">
    <w:name w:val="List Bullet 2"/>
    <w:basedOn w:val="List2"/>
    <w:rsid w:val="00097BA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7BA8"/>
    <w:rPr>
      <w:i/>
    </w:rPr>
  </w:style>
  <w:style w:type="paragraph" w:customStyle="1" w:styleId="SuperHeading">
    <w:name w:val="SuperHeading"/>
    <w:basedOn w:val="Normal"/>
    <w:rsid w:val="00097BA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97B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7BA8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097BA8"/>
    <w:rPr>
      <w:u w:val="single"/>
    </w:rPr>
  </w:style>
  <w:style w:type="character" w:customStyle="1" w:styleId="BoldandItalics">
    <w:name w:val="Bold and Italics"/>
    <w:qFormat/>
    <w:rsid w:val="00097BA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97B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B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B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B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B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B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B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B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B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97B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B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BA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97BA8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7B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7B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B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B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7B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B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B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B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B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B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B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B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B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7B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B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B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BA8"/>
  </w:style>
  <w:style w:type="paragraph" w:styleId="TableofFigures">
    <w:name w:val="table of figures"/>
    <w:basedOn w:val="Normal"/>
    <w:next w:val="Normal"/>
    <w:semiHidden/>
    <w:rsid w:val="00097B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BA8"/>
    <w:pPr>
      <w:numPr>
        <w:numId w:val="11"/>
      </w:numPr>
    </w:pPr>
  </w:style>
  <w:style w:type="character" w:customStyle="1" w:styleId="WingdingSymbols">
    <w:name w:val="Wingding Symbols"/>
    <w:rsid w:val="00097BA8"/>
    <w:rPr>
      <w:rFonts w:ascii="Wingdings" w:hAnsi="Wingdings"/>
    </w:rPr>
  </w:style>
  <w:style w:type="paragraph" w:customStyle="1" w:styleId="TableHeading">
    <w:name w:val="Table Heading"/>
    <w:basedOn w:val="HeadingBase"/>
    <w:rsid w:val="00097B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BA8"/>
    <w:rPr>
      <w:color w:val="0033CC"/>
      <w:u w:val="none"/>
    </w:rPr>
  </w:style>
  <w:style w:type="paragraph" w:customStyle="1" w:styleId="BodyTextRight">
    <w:name w:val="Body Text Right"/>
    <w:basedOn w:val="BodyText"/>
    <w:rsid w:val="00097B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B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B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B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B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B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BA8"/>
    <w:rPr>
      <w:sz w:val="32"/>
    </w:rPr>
  </w:style>
  <w:style w:type="paragraph" w:customStyle="1" w:styleId="HeadingProcedure">
    <w:name w:val="Heading Procedure"/>
    <w:basedOn w:val="HeadingBase"/>
    <w:next w:val="Normal"/>
    <w:rsid w:val="00097B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BA8"/>
    <w:pPr>
      <w:spacing w:before="60" w:after="60"/>
    </w:pPr>
  </w:style>
  <w:style w:type="paragraph" w:styleId="ListContinue">
    <w:name w:val="List Continue"/>
    <w:basedOn w:val="List"/>
    <w:rsid w:val="00097BA8"/>
    <w:pPr>
      <w:ind w:firstLine="0"/>
    </w:pPr>
  </w:style>
  <w:style w:type="paragraph" w:customStyle="1" w:styleId="ListNote">
    <w:name w:val="List Note"/>
    <w:basedOn w:val="List"/>
    <w:rsid w:val="00097B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B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B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BA8"/>
    <w:rPr>
      <w:rFonts w:ascii="Courier New" w:hAnsi="Courier New"/>
    </w:rPr>
  </w:style>
  <w:style w:type="paragraph" w:customStyle="1" w:styleId="NoteBullet">
    <w:name w:val="Note Bullet"/>
    <w:basedOn w:val="Note"/>
    <w:rsid w:val="00097B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B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B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B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B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7B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B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BA8"/>
    <w:rPr>
      <w:b/>
      <w:smallCaps/>
    </w:rPr>
  </w:style>
  <w:style w:type="paragraph" w:customStyle="1" w:styleId="TableListNumber">
    <w:name w:val="Table List Number"/>
    <w:basedOn w:val="ListNumber"/>
    <w:rsid w:val="00097B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B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BA8"/>
    <w:pPr>
      <w:numPr>
        <w:numId w:val="9"/>
      </w:numPr>
    </w:pPr>
  </w:style>
  <w:style w:type="paragraph" w:customStyle="1" w:styleId="ListAlpha2">
    <w:name w:val="List Alpha 2"/>
    <w:basedOn w:val="List2"/>
    <w:rsid w:val="00097BA8"/>
    <w:pPr>
      <w:numPr>
        <w:numId w:val="8"/>
      </w:numPr>
    </w:pPr>
  </w:style>
  <w:style w:type="paragraph" w:styleId="List2">
    <w:name w:val="List 2"/>
    <w:basedOn w:val="BodyText"/>
    <w:rsid w:val="00097B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B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B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B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7BA8"/>
    <w:pPr>
      <w:numPr>
        <w:numId w:val="3"/>
      </w:numPr>
    </w:pPr>
  </w:style>
  <w:style w:type="paragraph" w:styleId="ListBullet5">
    <w:name w:val="List Bullet 5"/>
    <w:basedOn w:val="List5"/>
    <w:rsid w:val="00097BA8"/>
    <w:pPr>
      <w:numPr>
        <w:numId w:val="4"/>
      </w:numPr>
    </w:pPr>
  </w:style>
  <w:style w:type="paragraph" w:styleId="ListContinue2">
    <w:name w:val="List Continue 2"/>
    <w:basedOn w:val="List2"/>
    <w:rsid w:val="00097BA8"/>
    <w:pPr>
      <w:ind w:firstLine="0"/>
    </w:pPr>
  </w:style>
  <w:style w:type="paragraph" w:styleId="ListContinue3">
    <w:name w:val="List Continue 3"/>
    <w:basedOn w:val="List3"/>
    <w:rsid w:val="00097BA8"/>
    <w:pPr>
      <w:ind w:left="1021" w:firstLine="0"/>
    </w:pPr>
  </w:style>
  <w:style w:type="paragraph" w:styleId="ListContinue4">
    <w:name w:val="List Continue 4"/>
    <w:basedOn w:val="List4"/>
    <w:rsid w:val="00097BA8"/>
    <w:pPr>
      <w:ind w:firstLine="0"/>
    </w:pPr>
  </w:style>
  <w:style w:type="paragraph" w:styleId="ListContinue5">
    <w:name w:val="List Continue 5"/>
    <w:basedOn w:val="List5"/>
    <w:rsid w:val="00097BA8"/>
    <w:pPr>
      <w:ind w:firstLine="0"/>
    </w:pPr>
  </w:style>
  <w:style w:type="paragraph" w:styleId="ListNumber3">
    <w:name w:val="List Number 3"/>
    <w:basedOn w:val="List3"/>
    <w:rsid w:val="00097BA8"/>
    <w:pPr>
      <w:numPr>
        <w:numId w:val="5"/>
      </w:numPr>
    </w:pPr>
  </w:style>
  <w:style w:type="paragraph" w:styleId="ListNumber4">
    <w:name w:val="List Number 4"/>
    <w:basedOn w:val="List4"/>
    <w:rsid w:val="00097BA8"/>
    <w:pPr>
      <w:numPr>
        <w:numId w:val="6"/>
      </w:numPr>
    </w:pPr>
  </w:style>
  <w:style w:type="paragraph" w:styleId="ListNumber5">
    <w:name w:val="List Number 5"/>
    <w:basedOn w:val="List5"/>
    <w:rsid w:val="00097BA8"/>
    <w:pPr>
      <w:numPr>
        <w:numId w:val="7"/>
      </w:numPr>
    </w:pPr>
  </w:style>
  <w:style w:type="paragraph" w:styleId="BlockText">
    <w:name w:val="Block Text"/>
    <w:basedOn w:val="Normal"/>
    <w:rsid w:val="00097B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B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BA8"/>
    <w:rPr>
      <w:sz w:val="16"/>
      <w:vertAlign w:val="superscript"/>
    </w:rPr>
  </w:style>
  <w:style w:type="character" w:customStyle="1" w:styleId="Symbols">
    <w:name w:val="Symbols"/>
    <w:basedOn w:val="DefaultParagraphFont"/>
    <w:rsid w:val="00097BA8"/>
    <w:rPr>
      <w:rFonts w:ascii="Symbol" w:hAnsi="Symbol"/>
    </w:rPr>
  </w:style>
  <w:style w:type="character" w:customStyle="1" w:styleId="MenuOptions">
    <w:name w:val="Menu Options"/>
    <w:basedOn w:val="DefaultParagraphFont"/>
    <w:rsid w:val="00097B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BA8"/>
    <w:rPr>
      <w:b/>
    </w:rPr>
  </w:style>
  <w:style w:type="character" w:customStyle="1" w:styleId="Underlined">
    <w:name w:val="Underlined"/>
    <w:basedOn w:val="DefaultParagraphFont"/>
    <w:rsid w:val="00097BA8"/>
    <w:rPr>
      <w:u w:val="single"/>
    </w:rPr>
  </w:style>
  <w:style w:type="paragraph" w:customStyle="1" w:styleId="TableBodyTextRight">
    <w:name w:val="Table Body Text Right"/>
    <w:basedOn w:val="TableBodyText"/>
    <w:rsid w:val="00097B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BA8"/>
    <w:rPr>
      <w:sz w:val="18"/>
    </w:rPr>
  </w:style>
  <w:style w:type="paragraph" w:customStyle="1" w:styleId="BodySmallRight">
    <w:name w:val="Body Small Right"/>
    <w:basedOn w:val="BodyTextRight"/>
    <w:rsid w:val="00097BA8"/>
    <w:rPr>
      <w:sz w:val="18"/>
      <w:szCs w:val="18"/>
    </w:rPr>
  </w:style>
  <w:style w:type="paragraph" w:customStyle="1" w:styleId="MarginEdition">
    <w:name w:val="Margin Edition"/>
    <w:basedOn w:val="MarginNote"/>
    <w:rsid w:val="00097B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BA8"/>
    <w:rPr>
      <w:sz w:val="2"/>
      <w:szCs w:val="2"/>
    </w:rPr>
  </w:style>
  <w:style w:type="character" w:customStyle="1" w:styleId="Small">
    <w:name w:val="Small"/>
    <w:basedOn w:val="DefaultParagraphFont"/>
    <w:rsid w:val="00097BA8"/>
    <w:rPr>
      <w:sz w:val="16"/>
    </w:rPr>
  </w:style>
  <w:style w:type="paragraph" w:customStyle="1" w:styleId="WideTable">
    <w:name w:val="Wide Table"/>
    <w:basedOn w:val="Normal"/>
    <w:rsid w:val="00097B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BA8"/>
  </w:style>
  <w:style w:type="paragraph" w:styleId="Quote">
    <w:name w:val="Quote"/>
    <w:basedOn w:val="Heading1"/>
    <w:link w:val="QuoteChar"/>
    <w:qFormat/>
    <w:rsid w:val="00097B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B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BA8"/>
    <w:pPr>
      <w:pageBreakBefore/>
    </w:pPr>
  </w:style>
  <w:style w:type="paragraph" w:customStyle="1" w:styleId="Border">
    <w:name w:val="Border"/>
    <w:basedOn w:val="Normal"/>
    <w:qFormat/>
    <w:rsid w:val="00097B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B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B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B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B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B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B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B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BA8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097B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B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B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B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B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BA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1268</Words>
  <Characters>8089</Characters>
  <Application>Microsoft Office Word</Application>
  <DocSecurity>0</DocSecurity>
  <Lines>272</Lines>
  <Paragraphs>164</Paragraphs>
  <ScaleCrop>false</ScaleCrop>
  <Company>Author-it Software Corporation Ltd.</Company>
  <LinksUpToDate>false</LinksUpToDate>
  <CharactersWithSpaces>9297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PSPPOL701A Influence strategic policy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2012-11-01T03:08:00Z</dcterms:created>
  <dcterms:modified xsi:type="dcterms:W3CDTF">2012-11-01T03:08:00Z</dcterms:modified>
</cp:coreProperties>
</file>