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34F4" w:rsidP="00EC34F4">
      <w:pPr>
        <w:pStyle w:val="Title"/>
      </w:pPr>
      <w:r>
        <w:fldChar w:fldCharType="begin"/>
      </w:r>
      <w:r>
        <w:instrText xml:space="preserve"> TITLE   \* MERGEFORMAT </w:instrText>
      </w:r>
      <w:r>
        <w:fldChar w:fldCharType="separate"/>
      </w:r>
      <w:r>
        <w:t>PSPMNGT607B Develop a business case</w:t>
      </w:r>
      <w:r>
        <w:fldChar w:fldCharType="end"/>
      </w:r>
    </w:p>
    <w:p w:rsidR="00EC34F4" w:rsidP="00EC34F4">
      <w:pPr>
        <w:pStyle w:val="Version"/>
        <w:sectPr w:rsidSect="00F632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6325C" w:rsidP="00F6325C">
      <w:pPr>
        <w:pStyle w:val="SuperHeading"/>
      </w:pPr>
      <w:r w:rsidRPr="00F6325C">
        <w:t>PSPMNGT607B Develop a business case</w:t>
      </w:r>
    </w:p>
    <w:p w:rsidR="00000000" w:rsidRPr="00F6325C" w:rsidP="00F6325C">
      <w:pPr>
        <w:pStyle w:val="SuperHeading"/>
      </w:pPr>
    </w:p>
    <w:p w:rsidR="00000000" w:rsidRPr="00F6325C" w:rsidP="00F6325C">
      <w:pPr>
        <w:pStyle w:val="Heading1"/>
      </w:pPr>
      <w:bookmarkStart w:id="1" w:name="O_497263"/>
      <w:bookmarkEnd w:id="1"/>
      <w:r w:rsidRPr="00F6325C">
        <w:t>Modification History</w:t>
      </w:r>
    </w:p>
    <w:tbl>
      <w:tblPr>
        <w:tblW w:w="0" w:type="auto"/>
        <w:tblLayout w:type="fixed"/>
        <w:tblCellMar>
          <w:left w:w="62" w:type="dxa"/>
          <w:right w:w="62" w:type="dxa"/>
        </w:tblCellMar>
        <w:tblLook w:val="0000"/>
      </w:tblPr>
      <w:tblGrid>
        <w:gridCol w:w="3052"/>
        <w:gridCol w:w="3052"/>
        <w:gridCol w:w="3052"/>
      </w:tblGrid>
      <w:tr w:rsidTr="00EC34F4">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25C" w:rsidP="00F6325C">
            <w:pPr>
              <w:pStyle w:val="BodyText"/>
            </w:pPr>
            <w:r w:rsidRPr="00F6325C">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25C" w:rsidP="00F6325C">
            <w:pPr>
              <w:pStyle w:val="BodyText"/>
            </w:pPr>
            <w:r w:rsidRPr="00F6325C">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5C">
            <w:pPr>
              <w:pStyle w:val="BodyText"/>
              <w:rPr>
                <w:lang w:val="en-NZ"/>
              </w:rPr>
            </w:pPr>
            <w:r w:rsidRPr="00F6325C">
              <w:rPr>
                <w:rStyle w:val="SpecialBold"/>
              </w:rPr>
              <w:t>Comments</w:t>
            </w:r>
          </w:p>
        </w:tc>
      </w:tr>
      <w:tr w:rsidTr="00EC34F4">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5C">
            <w:pPr>
              <w:pStyle w:val="BodyText"/>
              <w:rPr>
                <w:lang w:val="en-NZ"/>
              </w:rPr>
            </w:pPr>
            <w:r w:rsidRPr="00F6325C">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5C">
            <w:pPr>
              <w:pStyle w:val="BodyText"/>
              <w:rPr>
                <w:lang w:val="en-NZ"/>
              </w:rPr>
            </w:pPr>
            <w:r w:rsidRPr="00F6325C">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5C">
            <w:pPr>
              <w:pStyle w:val="BodyText"/>
              <w:rPr>
                <w:lang w:val="en-NZ"/>
              </w:rPr>
            </w:pPr>
            <w:r w:rsidRPr="00F6325C">
              <w:t xml:space="preserve">Unit descriptor edited. </w:t>
            </w:r>
          </w:p>
        </w:tc>
      </w:tr>
      <w:tr w:rsidTr="00EC34F4">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5C">
            <w:pPr>
              <w:pStyle w:val="BodyText"/>
              <w:rPr>
                <w:lang w:val="en-NZ"/>
              </w:rPr>
            </w:pPr>
            <w:r w:rsidRPr="00F6325C">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5C">
            <w:pPr>
              <w:pStyle w:val="BodyText"/>
              <w:rPr>
                <w:lang w:val="en-NZ"/>
              </w:rPr>
            </w:pPr>
            <w:r w:rsidRPr="00F6325C">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5C">
            <w:pPr>
              <w:pStyle w:val="BodyText"/>
              <w:rPr>
                <w:lang w:val="en-NZ"/>
              </w:rPr>
            </w:pPr>
            <w:r w:rsidRPr="00F6325C">
              <w:t>Layout adjusted. No changes to content.</w:t>
            </w:r>
          </w:p>
        </w:tc>
      </w:tr>
      <w:tr w:rsidTr="00EC34F4">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5C">
            <w:pPr>
              <w:pStyle w:val="BodyText"/>
              <w:rPr>
                <w:lang w:val="en-NZ"/>
              </w:rPr>
            </w:pPr>
            <w:r w:rsidRPr="00F6325C">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5C">
            <w:pPr>
              <w:pStyle w:val="BodyText"/>
              <w:rPr>
                <w:lang w:val="en-NZ"/>
              </w:rPr>
            </w:pPr>
            <w:r w:rsidRPr="00F6325C">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25C" w:rsidP="00F6325C">
            <w:pPr>
              <w:pStyle w:val="BodyText"/>
            </w:pPr>
            <w:r w:rsidRPr="00F6325C">
              <w:t>Primary release.</w:t>
            </w:r>
          </w:p>
        </w:tc>
      </w:tr>
    </w:tbl>
    <w:p w:rsidR="00EC34F4" w:rsidP="00F6325C">
      <w:pPr>
        <w:pStyle w:val="BodyText"/>
      </w:pPr>
    </w:p>
    <w:p w:rsidR="00EC34F4" w:rsidP="00F6325C">
      <w:pPr>
        <w:pStyle w:val="BodyText"/>
      </w:pPr>
    </w:p>
    <w:p w:rsidR="00000000" w:rsidRPr="00F6325C" w:rsidP="00F6325C">
      <w:pPr>
        <w:pStyle w:val="Heading1"/>
      </w:pPr>
      <w:bookmarkStart w:id="2" w:name="O_497258"/>
      <w:bookmarkEnd w:id="2"/>
      <w:r w:rsidRPr="00F6325C">
        <w:t>Unit Descriptor</w:t>
      </w:r>
    </w:p>
    <w:p w:rsidR="00000000" w:rsidRPr="00F6325C" w:rsidP="00F6325C">
      <w:pPr>
        <w:pStyle w:val="BodyText"/>
      </w:pPr>
      <w:r w:rsidRPr="00F6325C">
        <w:t>This unit covers market analysis, development and costing of options, and justification for a recommended business solution. It includes research</w:t>
      </w:r>
      <w:r w:rsidRPr="00F6325C">
        <w:t>ing a business case, examining business solutions, and constructing and finalising a business case.</w:t>
      </w:r>
    </w:p>
    <w:p w:rsidR="00000000" w:rsidRPr="00F6325C" w:rsidP="00F6325C">
      <w:pPr>
        <w:pStyle w:val="BodyText"/>
      </w:pPr>
      <w:r w:rsidRPr="00F6325C">
        <w:t>In practice, developing a business case may overlap with other generalist or specialist public sector workplace activities such as applying government syste</w:t>
      </w:r>
      <w:r w:rsidRPr="00F6325C">
        <w:t>ms, complying with legislation, acting ethically, formulating business strategies, managing risk etc.</w:t>
      </w:r>
    </w:p>
    <w:p w:rsidR="00000000" w:rsidRPr="00F6325C" w:rsidP="00F6325C">
      <w:pPr>
        <w:pStyle w:val="BodyText"/>
      </w:pPr>
      <w:r w:rsidRPr="00F6325C">
        <w:t>This unit is one of 3 related to quoting/tendering for business. Related units are:</w:t>
      </w:r>
    </w:p>
    <w:p w:rsidR="00000000" w:rsidRPr="00F6325C" w:rsidP="00F6325C">
      <w:pPr>
        <w:pStyle w:val="ListBullet"/>
      </w:pPr>
      <w:r w:rsidRPr="00F6325C">
        <w:t>PSPGOV407B Provide a quotation</w:t>
      </w:r>
    </w:p>
    <w:p w:rsidR="00000000" w:rsidRPr="00F6325C" w:rsidP="00F6325C">
      <w:pPr>
        <w:pStyle w:val="ListBullet"/>
      </w:pPr>
      <w:r w:rsidRPr="00F6325C">
        <w:t>PSPGOV603B Develop a tender submission response</w:t>
      </w:r>
    </w:p>
    <w:p w:rsidR="00000000" w:rsidRPr="00F6325C" w:rsidP="00F6325C">
      <w:pPr>
        <w:pStyle w:val="BodyText"/>
      </w:pPr>
      <w:r w:rsidRPr="00F6325C">
        <w:t xml:space="preserve">This unit replaces and is equivalent to </w:t>
      </w:r>
      <w:r w:rsidRPr="00F6325C">
        <w:rPr>
          <w:rStyle w:val="Emphasis"/>
        </w:rPr>
        <w:t>PSPMNGT607A Develop a business case</w:t>
      </w:r>
      <w:r w:rsidRPr="00F6325C">
        <w:t>.</w:t>
      </w:r>
    </w:p>
    <w:p w:rsidR="00EC34F4" w:rsidP="00F6325C">
      <w:pPr>
        <w:pStyle w:val="BodyText"/>
      </w:pPr>
      <w:r w:rsidRPr="00F6325C">
        <w:t>No licensing, legislative, regulatory or certification requirements apply to this unit at the time of publication</w:t>
      </w:r>
    </w:p>
    <w:p w:rsidR="00EC34F4" w:rsidP="00F6325C">
      <w:pPr>
        <w:pStyle w:val="BodyText"/>
      </w:pPr>
    </w:p>
    <w:p w:rsidR="00000000" w:rsidRPr="00F6325C" w:rsidP="00F6325C">
      <w:pPr>
        <w:pStyle w:val="Heading1"/>
      </w:pPr>
      <w:bookmarkStart w:id="3" w:name="O_497270"/>
      <w:bookmarkEnd w:id="3"/>
      <w:r w:rsidRPr="00F6325C">
        <w:t>Application of the Unit</w:t>
      </w:r>
    </w:p>
    <w:p w:rsidR="00000000" w:rsidRPr="00F6325C" w:rsidP="00F6325C">
      <w:pPr>
        <w:pStyle w:val="BodyText"/>
      </w:pPr>
      <w:r w:rsidRPr="00F6325C">
        <w:t>Not applicable.</w:t>
      </w:r>
    </w:p>
    <w:p w:rsidR="00000000" w:rsidRPr="00F6325C" w:rsidP="00F6325C">
      <w:pPr>
        <w:pStyle w:val="AllowPageBreak"/>
      </w:pPr>
    </w:p>
    <w:p w:rsidR="00000000" w:rsidRPr="00F6325C" w:rsidP="00F6325C">
      <w:pPr>
        <w:pStyle w:val="Heading1"/>
      </w:pPr>
      <w:bookmarkStart w:id="4" w:name="O_497265"/>
      <w:bookmarkEnd w:id="4"/>
      <w:r w:rsidRPr="00F6325C">
        <w:t>Licensing/Regulatory Information</w:t>
      </w:r>
    </w:p>
    <w:p w:rsidR="00000000" w:rsidRPr="00F6325C" w:rsidP="00F6325C">
      <w:pPr>
        <w:pStyle w:val="BodyText"/>
      </w:pPr>
      <w:r w:rsidRPr="00F6325C">
        <w:t>Not applicable.</w:t>
      </w:r>
    </w:p>
    <w:p w:rsidR="00000000" w:rsidRPr="00F6325C" w:rsidP="00F6325C">
      <w:pPr>
        <w:pStyle w:val="AllowPageBreak"/>
      </w:pPr>
    </w:p>
    <w:p w:rsidR="00000000" w:rsidRPr="00F6325C" w:rsidP="00F6325C">
      <w:pPr>
        <w:pStyle w:val="Heading1"/>
      </w:pPr>
      <w:bookmarkStart w:id="5" w:name="O_497262"/>
      <w:bookmarkEnd w:id="5"/>
      <w:r w:rsidRPr="00F6325C">
        <w:t>Pre-Requisites</w:t>
      </w:r>
    </w:p>
    <w:p w:rsidR="00000000" w:rsidRPr="00F6325C" w:rsidP="00F6325C">
      <w:pPr>
        <w:pStyle w:val="BodyText"/>
      </w:pPr>
      <w:r w:rsidRPr="00F6325C">
        <w:t>Not applicable.</w:t>
      </w:r>
    </w:p>
    <w:p w:rsidR="00000000" w:rsidRPr="00F6325C" w:rsidP="00F6325C">
      <w:pPr>
        <w:pStyle w:val="AllowPageBreak"/>
      </w:pPr>
    </w:p>
    <w:p w:rsidR="00000000" w:rsidRPr="00F6325C" w:rsidP="00F6325C">
      <w:pPr>
        <w:pStyle w:val="Heading1"/>
      </w:pPr>
      <w:bookmarkStart w:id="6" w:name="O_497266"/>
      <w:bookmarkEnd w:id="6"/>
      <w:r w:rsidRPr="00F6325C">
        <w:t>Employability Skills Information</w:t>
      </w:r>
    </w:p>
    <w:p w:rsidR="00000000" w:rsidRPr="00F6325C" w:rsidP="00F6325C">
      <w:pPr>
        <w:pStyle w:val="BodyText"/>
      </w:pPr>
      <w:r w:rsidRPr="00F6325C">
        <w:t>This unit contains employability skills.</w:t>
      </w:r>
    </w:p>
    <w:p w:rsidR="00000000" w:rsidRPr="00F6325C" w:rsidP="00F6325C">
      <w:pPr>
        <w:pStyle w:val="AllowPageBreak"/>
      </w:pPr>
    </w:p>
    <w:p w:rsidR="00000000" w:rsidRPr="00F6325C" w:rsidP="00F6325C">
      <w:pPr>
        <w:pStyle w:val="Heading1"/>
      </w:pPr>
      <w:bookmarkStart w:id="7" w:name="O_497267"/>
      <w:bookmarkEnd w:id="7"/>
      <w:r w:rsidRPr="00F6325C">
        <w:t>Elements and Performance Criteria Pre-Content</w:t>
      </w:r>
    </w:p>
    <w:tbl>
      <w:tblPr>
        <w:tblW w:w="9322" w:type="dxa"/>
        <w:tblLayout w:type="fixed"/>
        <w:tblCellMar>
          <w:left w:w="62" w:type="dxa"/>
          <w:right w:w="62" w:type="dxa"/>
        </w:tblCellMar>
        <w:tblLook w:val="0000"/>
      </w:tblPr>
      <w:tblGrid>
        <w:gridCol w:w="2660"/>
        <w:gridCol w:w="6662"/>
      </w:tblGrid>
      <w:tr w:rsidTr="00EC34F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6325C">
            <w:pPr>
              <w:pStyle w:val="BodyText"/>
              <w:rPr>
                <w:lang w:val="en-NZ"/>
              </w:rPr>
            </w:pPr>
            <w:r w:rsidRPr="00F6325C">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F6325C" w:rsidP="00F6325C">
            <w:pPr>
              <w:pStyle w:val="BodyText"/>
            </w:pPr>
            <w:r w:rsidRPr="00F6325C">
              <w:t xml:space="preserve">Together, performance criteria specify the requirements for competent performance. Text in </w:t>
            </w:r>
            <w:r w:rsidRPr="00F6325C">
              <w:rPr>
                <w:rStyle w:val="BoldandItalics"/>
              </w:rPr>
              <w:t xml:space="preserve">bold italics </w:t>
            </w:r>
            <w:r w:rsidRPr="00F6325C">
              <w:t xml:space="preserve"> is explained in the Range Statement following.</w:t>
            </w:r>
          </w:p>
        </w:tc>
      </w:tr>
    </w:tbl>
    <w:p w:rsidR="00000000" w:rsidRPr="00F6325C" w:rsidP="00F6325C">
      <w:pPr>
        <w:pStyle w:val="BodyText"/>
      </w:pPr>
    </w:p>
    <w:p w:rsidR="00000000" w:rsidRPr="00F6325C" w:rsidP="00F6325C">
      <w:pPr>
        <w:pStyle w:val="AllowPageBreak"/>
      </w:pPr>
    </w:p>
    <w:p w:rsidR="00000000" w:rsidRPr="00F6325C" w:rsidP="00F6325C">
      <w:pPr>
        <w:pStyle w:val="Heading1"/>
      </w:pPr>
      <w:bookmarkStart w:id="8" w:name="O_497268"/>
      <w:bookmarkEnd w:id="8"/>
      <w:r w:rsidRPr="00F6325C">
        <w:t>Elements and Performance Criteria</w:t>
      </w:r>
    </w:p>
    <w:tbl>
      <w:tblPr>
        <w:tblW w:w="9322" w:type="dxa"/>
        <w:tblLayout w:type="fixed"/>
        <w:tblCellMar>
          <w:left w:w="62" w:type="dxa"/>
          <w:right w:w="62" w:type="dxa"/>
        </w:tblCellMar>
        <w:tblLook w:val="0000"/>
      </w:tblPr>
      <w:tblGrid>
        <w:gridCol w:w="2660"/>
        <w:gridCol w:w="6662"/>
      </w:tblGrid>
      <w:tr w:rsidTr="00EC34F4">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F6325C" w:rsidP="00F6325C">
            <w:pPr>
              <w:pStyle w:val="BodyText"/>
            </w:pPr>
            <w:r w:rsidRPr="00F6325C">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F6325C">
            <w:pPr>
              <w:pStyle w:val="BodyText"/>
              <w:rPr>
                <w:lang w:val="en-NZ"/>
              </w:rPr>
            </w:pPr>
            <w:r w:rsidRPr="00F6325C">
              <w:rPr>
                <w:rStyle w:val="SpecialBold"/>
              </w:rPr>
              <w:t>PERFORMANCE CRITERIA</w:t>
            </w:r>
          </w:p>
        </w:tc>
      </w:tr>
      <w:tr w:rsidTr="00EC34F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6325C">
            <w:pPr>
              <w:pStyle w:val="List"/>
              <w:rPr>
                <w:lang w:val="en-NZ"/>
              </w:rPr>
            </w:pPr>
            <w:r w:rsidRPr="00F6325C">
              <w:rPr>
                <w:rStyle w:val="SpecialBold"/>
              </w:rPr>
              <w:t>1</w:t>
            </w:r>
            <w:r w:rsidRPr="00F6325C">
              <w:t>.</w:t>
            </w:r>
            <w:r w:rsidRPr="00F6325C">
              <w:tab/>
            </w:r>
            <w:r w:rsidRPr="00F6325C">
              <w:rPr>
                <w:rStyle w:val="SpecialBold"/>
              </w:rPr>
              <w:t>Research a business case</w:t>
            </w:r>
          </w:p>
        </w:tc>
        <w:tc>
          <w:tcPr>
            <w:tcW w:w="6662" w:type="dxa"/>
            <w:tcBorders>
              <w:top w:val="nil"/>
              <w:left w:val="nil"/>
              <w:bottom w:val="nil"/>
              <w:right w:val="nil"/>
            </w:tcBorders>
            <w:tcMar>
              <w:top w:w="0" w:type="dxa"/>
              <w:left w:w="62" w:type="dxa"/>
              <w:bottom w:w="0" w:type="dxa"/>
              <w:right w:w="62" w:type="dxa"/>
            </w:tcMar>
          </w:tcPr>
          <w:p w:rsidR="00000000" w:rsidRPr="00F6325C" w:rsidP="00F6325C">
            <w:pPr>
              <w:pStyle w:val="List"/>
            </w:pPr>
            <w:r w:rsidRPr="00F6325C">
              <w:t>1.1</w:t>
            </w:r>
            <w:r w:rsidRPr="00F6325C">
              <w:tab/>
              <w:t>Business problem is identified and confirmed in accordance with organisational policy and pro</w:t>
            </w:r>
            <w:r w:rsidRPr="00F6325C">
              <w:t>cedures.</w:t>
            </w:r>
          </w:p>
          <w:p w:rsidR="00000000" w:rsidRPr="00F6325C" w:rsidP="00F6325C">
            <w:pPr>
              <w:pStyle w:val="List"/>
            </w:pPr>
            <w:r w:rsidRPr="00F6325C">
              <w:t>1.2</w:t>
            </w:r>
            <w:r w:rsidRPr="00F6325C">
              <w:tab/>
              <w:t xml:space="preserve">Analysis of key </w:t>
            </w:r>
            <w:r w:rsidRPr="00F6325C">
              <w:rPr>
                <w:rStyle w:val="BoldandItalics"/>
              </w:rPr>
              <w:t xml:space="preserve">stakeholder </w:t>
            </w:r>
            <w:r w:rsidRPr="00F6325C">
              <w:t>requirements is used to clarify objectives.</w:t>
            </w:r>
          </w:p>
          <w:p w:rsidR="00000000" w:rsidRPr="00F6325C" w:rsidP="00F6325C">
            <w:pPr>
              <w:pStyle w:val="List"/>
            </w:pPr>
            <w:r w:rsidRPr="00F6325C">
              <w:t>1.3</w:t>
            </w:r>
            <w:r w:rsidRPr="00F6325C">
              <w:tab/>
              <w:t xml:space="preserve">A range of </w:t>
            </w:r>
            <w:r w:rsidRPr="00F6325C">
              <w:rPr>
                <w:rStyle w:val="BoldandItalics"/>
              </w:rPr>
              <w:t xml:space="preserve">factors </w:t>
            </w:r>
            <w:r w:rsidRPr="00F6325C">
              <w:t>is considered through research to identify opportunities and constraints.</w:t>
            </w:r>
          </w:p>
          <w:p w:rsidR="00000000" w:rsidP="00F6325C">
            <w:pPr>
              <w:pStyle w:val="List"/>
              <w:rPr>
                <w:lang w:val="en-NZ"/>
              </w:rPr>
            </w:pPr>
            <w:r w:rsidRPr="00F6325C">
              <w:t>1.4</w:t>
            </w:r>
            <w:r w:rsidRPr="00F6325C">
              <w:rPr>
                <w:rStyle w:val="BoldandItalics"/>
              </w:rPr>
              <w:tab/>
              <w:t xml:space="preserve">Market analysis </w:t>
            </w:r>
            <w:r w:rsidRPr="00F6325C">
              <w:t xml:space="preserve">is conducted in accordance with </w:t>
            </w:r>
            <w:r w:rsidRPr="00F6325C">
              <w:rPr>
                <w:rStyle w:val="BoldandItalics"/>
              </w:rPr>
              <w:t>legislation, policy an</w:t>
            </w:r>
            <w:r w:rsidRPr="00F6325C">
              <w:rPr>
                <w:rStyle w:val="BoldandItalics"/>
              </w:rPr>
              <w:t>d procedures</w:t>
            </w:r>
            <w:r w:rsidRPr="00F6325C">
              <w:rPr>
                <w:rStyle w:val="Emphasis"/>
              </w:rPr>
              <w:t>.</w:t>
            </w:r>
          </w:p>
        </w:tc>
      </w:tr>
      <w:tr w:rsidTr="00EC34F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6325C">
            <w:pPr>
              <w:pStyle w:val="List"/>
              <w:rPr>
                <w:lang w:val="en-NZ"/>
              </w:rPr>
            </w:pPr>
            <w:r w:rsidRPr="00F6325C">
              <w:rPr>
                <w:rStyle w:val="SpecialBold"/>
              </w:rPr>
              <w:t>2</w:t>
            </w:r>
            <w:r w:rsidRPr="00F6325C">
              <w:t>.</w:t>
            </w:r>
            <w:r w:rsidRPr="00F6325C">
              <w:tab/>
            </w:r>
            <w:r w:rsidRPr="00F6325C">
              <w:rPr>
                <w:rStyle w:val="SpecialBold"/>
              </w:rPr>
              <w:t>Examine business solutions</w:t>
            </w:r>
          </w:p>
        </w:tc>
        <w:tc>
          <w:tcPr>
            <w:tcW w:w="6662" w:type="dxa"/>
            <w:tcBorders>
              <w:top w:val="nil"/>
              <w:left w:val="nil"/>
              <w:bottom w:val="nil"/>
              <w:right w:val="nil"/>
            </w:tcBorders>
            <w:tcMar>
              <w:top w:w="0" w:type="dxa"/>
              <w:left w:w="62" w:type="dxa"/>
              <w:bottom w:w="0" w:type="dxa"/>
              <w:right w:w="62" w:type="dxa"/>
            </w:tcMar>
          </w:tcPr>
          <w:p w:rsidR="00000000" w:rsidRPr="00F6325C" w:rsidP="00F6325C">
            <w:pPr>
              <w:pStyle w:val="List"/>
            </w:pPr>
            <w:r w:rsidRPr="00F6325C">
              <w:t>2.1</w:t>
            </w:r>
            <w:r w:rsidRPr="00F6325C">
              <w:tab/>
              <w:t xml:space="preserve">Business and technical impacts and </w:t>
            </w:r>
            <w:r w:rsidRPr="00F6325C">
              <w:rPr>
                <w:rStyle w:val="BoldandItalics"/>
              </w:rPr>
              <w:t xml:space="preserve">risks </w:t>
            </w:r>
            <w:r w:rsidRPr="00F6325C">
              <w:t>are analysed through research and consultation and documented in accordance with organisational requirements.</w:t>
            </w:r>
          </w:p>
          <w:p w:rsidR="00000000" w:rsidRPr="00F6325C" w:rsidP="00F6325C">
            <w:pPr>
              <w:pStyle w:val="List"/>
            </w:pPr>
            <w:r w:rsidRPr="00F6325C">
              <w:t>2.2</w:t>
            </w:r>
            <w:r w:rsidRPr="00F6325C">
              <w:tab/>
            </w:r>
            <w:r w:rsidRPr="00F6325C">
              <w:t>Community, environmental and human resource impacts are analysed.</w:t>
            </w:r>
          </w:p>
          <w:p w:rsidR="00000000" w:rsidP="00F6325C">
            <w:pPr>
              <w:pStyle w:val="List"/>
              <w:rPr>
                <w:lang w:val="en-NZ"/>
              </w:rPr>
            </w:pPr>
            <w:r w:rsidRPr="00F6325C">
              <w:t>2.3</w:t>
            </w:r>
            <w:r w:rsidRPr="00F6325C">
              <w:tab/>
              <w:t>Alternative solutions and their financial implications are canvassed and discussed with senior management and business case originator.</w:t>
            </w:r>
          </w:p>
        </w:tc>
      </w:tr>
      <w:tr w:rsidTr="00EC34F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6325C">
            <w:pPr>
              <w:pStyle w:val="List"/>
              <w:rPr>
                <w:lang w:val="en-NZ"/>
              </w:rPr>
            </w:pPr>
            <w:r w:rsidRPr="00F6325C">
              <w:rPr>
                <w:rStyle w:val="SpecialBold"/>
              </w:rPr>
              <w:t>3</w:t>
            </w:r>
            <w:r w:rsidRPr="00F6325C">
              <w:t>.</w:t>
            </w:r>
            <w:r w:rsidRPr="00F6325C">
              <w:tab/>
            </w:r>
            <w:r w:rsidRPr="00F6325C">
              <w:rPr>
                <w:rStyle w:val="SpecialBold"/>
              </w:rPr>
              <w:t>Construct a business case</w:t>
            </w:r>
          </w:p>
        </w:tc>
        <w:tc>
          <w:tcPr>
            <w:tcW w:w="6662" w:type="dxa"/>
            <w:tcBorders>
              <w:top w:val="nil"/>
              <w:left w:val="nil"/>
              <w:bottom w:val="nil"/>
              <w:right w:val="nil"/>
            </w:tcBorders>
            <w:tcMar>
              <w:top w:w="0" w:type="dxa"/>
              <w:left w:w="62" w:type="dxa"/>
              <w:bottom w:w="0" w:type="dxa"/>
              <w:right w:w="62" w:type="dxa"/>
            </w:tcMar>
          </w:tcPr>
          <w:p w:rsidR="00000000" w:rsidRPr="00F6325C" w:rsidP="00F6325C">
            <w:pPr>
              <w:pStyle w:val="List"/>
            </w:pPr>
            <w:r w:rsidRPr="00F6325C">
              <w:t>3.1</w:t>
            </w:r>
            <w:r w:rsidRPr="00F6325C">
              <w:tab/>
              <w:t>Options are deve</w:t>
            </w:r>
            <w:r w:rsidRPr="00F6325C">
              <w:t>loped and impacts, risks, costs and stakeholders are determined and documented.</w:t>
            </w:r>
          </w:p>
          <w:p w:rsidR="00000000" w:rsidRPr="00F6325C" w:rsidP="00F6325C">
            <w:pPr>
              <w:pStyle w:val="List"/>
            </w:pPr>
            <w:r w:rsidRPr="00F6325C">
              <w:t>3.2</w:t>
            </w:r>
            <w:r w:rsidRPr="00F6325C">
              <w:tab/>
              <w:t>Recommendation is made and justified.</w:t>
            </w:r>
          </w:p>
          <w:p w:rsidR="00000000" w:rsidP="00F6325C">
            <w:pPr>
              <w:pStyle w:val="List"/>
              <w:rPr>
                <w:lang w:val="en-NZ"/>
              </w:rPr>
            </w:pPr>
            <w:r w:rsidRPr="00F6325C">
              <w:t>3.3</w:t>
            </w:r>
            <w:r w:rsidRPr="00F6325C">
              <w:tab/>
              <w:t>Business case is prepared in accordance with organisational requirements.</w:t>
            </w:r>
          </w:p>
        </w:tc>
      </w:tr>
      <w:tr w:rsidTr="00EC34F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6325C">
            <w:pPr>
              <w:pStyle w:val="List"/>
              <w:rPr>
                <w:lang w:val="en-NZ"/>
              </w:rPr>
            </w:pPr>
            <w:r w:rsidRPr="00F6325C">
              <w:rPr>
                <w:rStyle w:val="SpecialBold"/>
              </w:rPr>
              <w:t>4</w:t>
            </w:r>
            <w:r w:rsidRPr="00F6325C">
              <w:t>.</w:t>
            </w:r>
            <w:r w:rsidRPr="00F6325C">
              <w:tab/>
            </w:r>
            <w:r w:rsidRPr="00F6325C">
              <w:rPr>
                <w:rStyle w:val="SpecialBold"/>
              </w:rPr>
              <w:t>Finalise a business case</w:t>
            </w:r>
          </w:p>
        </w:tc>
        <w:tc>
          <w:tcPr>
            <w:tcW w:w="6662" w:type="dxa"/>
            <w:tcBorders>
              <w:top w:val="nil"/>
              <w:left w:val="nil"/>
              <w:bottom w:val="nil"/>
              <w:right w:val="nil"/>
            </w:tcBorders>
            <w:tcMar>
              <w:top w:w="0" w:type="dxa"/>
              <w:left w:w="62" w:type="dxa"/>
              <w:bottom w:w="0" w:type="dxa"/>
              <w:right w:w="62" w:type="dxa"/>
            </w:tcMar>
          </w:tcPr>
          <w:p w:rsidR="00000000" w:rsidRPr="00F6325C" w:rsidP="00F6325C">
            <w:pPr>
              <w:pStyle w:val="List"/>
            </w:pPr>
            <w:r w:rsidRPr="00F6325C">
              <w:t>4.1</w:t>
            </w:r>
            <w:r w:rsidRPr="00F6325C">
              <w:tab/>
              <w:t>Business case is presen</w:t>
            </w:r>
            <w:r w:rsidRPr="00F6325C">
              <w:t>ted and recommendations are explained in a manner suited to the audience.</w:t>
            </w:r>
          </w:p>
          <w:p w:rsidR="00000000" w:rsidRPr="00F6325C" w:rsidP="00F6325C">
            <w:pPr>
              <w:pStyle w:val="List"/>
            </w:pPr>
            <w:r w:rsidRPr="00F6325C">
              <w:t>4.2</w:t>
            </w:r>
            <w:r w:rsidRPr="00F6325C">
              <w:tab/>
              <w:t>Approvals and management endorsement are obtained in accordance with organisational policy and procedures.</w:t>
            </w:r>
          </w:p>
        </w:tc>
      </w:tr>
    </w:tbl>
    <w:p w:rsidR="00000000" w:rsidRPr="00F6325C" w:rsidP="00F6325C">
      <w:pPr>
        <w:pStyle w:val="BodyText"/>
      </w:pPr>
    </w:p>
    <w:p w:rsidR="00000000" w:rsidRPr="00F6325C" w:rsidP="00F6325C">
      <w:pPr>
        <w:pStyle w:val="AllowPageBreak"/>
      </w:pPr>
    </w:p>
    <w:p w:rsidR="00000000" w:rsidRPr="00F6325C" w:rsidP="00F6325C">
      <w:pPr>
        <w:pStyle w:val="Heading1"/>
      </w:pPr>
      <w:bookmarkStart w:id="9" w:name="O_497261"/>
      <w:bookmarkEnd w:id="9"/>
      <w:r w:rsidRPr="00F6325C">
        <w:t>Required Skills and Knowledge</w:t>
      </w:r>
    </w:p>
    <w:tbl>
      <w:tblPr>
        <w:tblW w:w="0" w:type="auto"/>
        <w:tblLayout w:type="fixed"/>
        <w:tblCellMar>
          <w:left w:w="62" w:type="dxa"/>
          <w:right w:w="62" w:type="dxa"/>
        </w:tblCellMar>
        <w:tblLook w:val="0000"/>
      </w:tblPr>
      <w:tblGrid>
        <w:gridCol w:w="8553"/>
      </w:tblGrid>
      <w:tr w:rsidTr="00EC34F4">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F6325C">
            <w:pPr>
              <w:pStyle w:val="BodyText"/>
              <w:rPr>
                <w:lang w:val="en-NZ"/>
              </w:rPr>
            </w:pPr>
            <w:r w:rsidRPr="00F6325C">
              <w:t>This section describes</w:t>
            </w:r>
            <w:r w:rsidRPr="00F6325C">
              <w:t xml:space="preserve"> the essential skills and knowledge and their level, required for this unit.</w:t>
            </w:r>
          </w:p>
        </w:tc>
      </w:tr>
      <w:tr w:rsidTr="00EC34F4">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F6325C" w:rsidP="00F6325C">
            <w:pPr>
              <w:pStyle w:val="BodyText"/>
            </w:pPr>
            <w:r w:rsidRPr="00F6325C">
              <w:rPr>
                <w:rStyle w:val="SpecialBold"/>
              </w:rPr>
              <w:t>Skill requirements</w:t>
            </w:r>
          </w:p>
          <w:p w:rsidR="00000000" w:rsidRPr="00F6325C" w:rsidP="00F6325C">
            <w:pPr>
              <w:pStyle w:val="BodyText"/>
            </w:pPr>
            <w:r w:rsidRPr="00F6325C">
              <w:t>Look for evidence that confirms skills in:</w:t>
            </w:r>
          </w:p>
          <w:p w:rsidR="00000000" w:rsidRPr="00F6325C" w:rsidP="00F6325C">
            <w:pPr>
              <w:pStyle w:val="ListBullet2"/>
            </w:pPr>
            <w:r w:rsidRPr="00F6325C">
              <w:t>consulting with others</w:t>
            </w:r>
          </w:p>
          <w:p w:rsidR="00000000" w:rsidRPr="00F6325C" w:rsidP="00F6325C">
            <w:pPr>
              <w:pStyle w:val="ListBullet2"/>
            </w:pPr>
            <w:r w:rsidRPr="00F6325C">
              <w:t xml:space="preserve">managing financial/other resources </w:t>
            </w:r>
          </w:p>
          <w:p w:rsidR="00000000" w:rsidRPr="00F6325C" w:rsidP="00F6325C">
            <w:pPr>
              <w:pStyle w:val="ListBullet2"/>
            </w:pPr>
            <w:r w:rsidRPr="00F6325C">
              <w:t>using language and style suited to written submissions</w:t>
            </w:r>
          </w:p>
          <w:p w:rsidR="00000000" w:rsidRPr="00F6325C" w:rsidP="00F6325C">
            <w:pPr>
              <w:pStyle w:val="ListBullet2"/>
            </w:pPr>
            <w:r w:rsidRPr="00F6325C">
              <w:t>using technical and other vocabulary</w:t>
            </w:r>
          </w:p>
          <w:p w:rsidR="00000000" w:rsidRPr="00F6325C" w:rsidP="00F6325C">
            <w:pPr>
              <w:pStyle w:val="ListBullet2"/>
            </w:pPr>
            <w:r w:rsidRPr="00F6325C">
              <w:t>using a variety of words and language structures to explain complex ideas to different audiences</w:t>
            </w:r>
          </w:p>
          <w:p w:rsidR="00000000" w:rsidRPr="00F6325C" w:rsidP="00F6325C">
            <w:pPr>
              <w:pStyle w:val="ListBullet2"/>
            </w:pPr>
            <w:r w:rsidRPr="00F6325C">
              <w:t>interpreting and explaining complex, formal documents</w:t>
            </w:r>
          </w:p>
          <w:p w:rsidR="00000000" w:rsidRPr="00F6325C" w:rsidP="00F6325C">
            <w:pPr>
              <w:pStyle w:val="ListBullet2"/>
            </w:pPr>
            <w:r w:rsidRPr="00F6325C">
              <w:t>preparing written advice and reports requiring reasoning and precisi</w:t>
            </w:r>
            <w:r w:rsidRPr="00F6325C">
              <w:t>on of expression</w:t>
            </w:r>
          </w:p>
          <w:p w:rsidR="00000000" w:rsidRPr="00F6325C" w:rsidP="00F6325C">
            <w:pPr>
              <w:pStyle w:val="ListBullet2"/>
            </w:pPr>
            <w:r w:rsidRPr="00F6325C">
              <w:t>engaging in discussion using exchange of complex oral information</w:t>
            </w:r>
          </w:p>
          <w:p w:rsidR="00000000" w:rsidP="00F6325C">
            <w:pPr>
              <w:pStyle w:val="ListBullet2"/>
              <w:rPr>
                <w:lang w:val="en-NZ"/>
              </w:rPr>
            </w:pPr>
            <w:r w:rsidRPr="00F6325C">
              <w:t>responding to diversity, including gender and disability</w:t>
            </w:r>
          </w:p>
        </w:tc>
      </w:tr>
      <w:tr w:rsidTr="00EC34F4">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F6325C" w:rsidP="00F6325C">
            <w:pPr>
              <w:pStyle w:val="BodyText"/>
            </w:pPr>
            <w:r w:rsidRPr="00F6325C">
              <w:rPr>
                <w:rStyle w:val="SpecialBold"/>
              </w:rPr>
              <w:t>Knowledge requirements</w:t>
            </w:r>
          </w:p>
          <w:p w:rsidR="00000000" w:rsidRPr="00F6325C" w:rsidP="00F6325C">
            <w:pPr>
              <w:pStyle w:val="BodyText"/>
            </w:pPr>
            <w:r w:rsidRPr="00F6325C">
              <w:t xml:space="preserve"> Look for evidence that confirms knowledge and understanding of:</w:t>
            </w:r>
          </w:p>
          <w:p w:rsidR="00000000" w:rsidRPr="00F6325C" w:rsidP="00F6325C">
            <w:pPr>
              <w:pStyle w:val="ListBullet2"/>
            </w:pPr>
            <w:r w:rsidRPr="00F6325C">
              <w:t>government and organisational goals, policies and practices</w:t>
            </w:r>
          </w:p>
          <w:p w:rsidR="00000000" w:rsidRPr="00F6325C" w:rsidP="00F6325C">
            <w:pPr>
              <w:pStyle w:val="ListBullet2"/>
            </w:pPr>
            <w:r w:rsidRPr="00F6325C">
              <w:t>legal requirements related to the business activity</w:t>
            </w:r>
          </w:p>
          <w:p w:rsidR="00000000" w:rsidRPr="00F6325C" w:rsidP="00F6325C">
            <w:pPr>
              <w:pStyle w:val="ListBullet2"/>
            </w:pPr>
            <w:r w:rsidRPr="00F6325C">
              <w:t>financial and accounting issues relating to developing a business case</w:t>
            </w:r>
          </w:p>
          <w:p w:rsidR="00000000" w:rsidRPr="00F6325C" w:rsidP="00F6325C">
            <w:pPr>
              <w:pStyle w:val="ListBullet2"/>
            </w:pPr>
            <w:r w:rsidRPr="00F6325C">
              <w:t>whole-of-life considerations</w:t>
            </w:r>
          </w:p>
          <w:p w:rsidR="00000000" w:rsidRPr="00F6325C" w:rsidP="00F6325C">
            <w:pPr>
              <w:pStyle w:val="ListBullet2"/>
            </w:pPr>
            <w:r w:rsidRPr="00F6325C">
              <w:t>approval processes</w:t>
            </w:r>
          </w:p>
          <w:p w:rsidR="00000000" w:rsidRPr="00F6325C" w:rsidP="00F6325C">
            <w:pPr>
              <w:pStyle w:val="ListBullet2"/>
            </w:pPr>
            <w:r w:rsidRPr="00F6325C">
              <w:t>aspects of trade practice</w:t>
            </w:r>
            <w:r w:rsidRPr="00F6325C">
              <w:t>s law, commercial law and law of contract relating to the development of business cases</w:t>
            </w:r>
          </w:p>
          <w:p w:rsidR="00000000" w:rsidRPr="00F6325C" w:rsidP="00F6325C">
            <w:pPr>
              <w:pStyle w:val="ListBullet2"/>
            </w:pPr>
            <w:r w:rsidRPr="00F6325C">
              <w:t>equal employment opportunity, equity and diversity principles</w:t>
            </w:r>
          </w:p>
          <w:p w:rsidR="00000000" w:rsidRPr="00F6325C" w:rsidP="00F6325C">
            <w:pPr>
              <w:pStyle w:val="ListBullet2"/>
            </w:pPr>
            <w:r w:rsidRPr="00F6325C">
              <w:t>jurisdictional legislation that applies to business case development including occupational health and saf</w:t>
            </w:r>
            <w:r w:rsidRPr="00F6325C">
              <w:t>ety and environmental requirements</w:t>
            </w:r>
          </w:p>
        </w:tc>
      </w:tr>
    </w:tbl>
    <w:p w:rsidR="00000000" w:rsidRPr="00F6325C" w:rsidP="00F6325C">
      <w:pPr>
        <w:pStyle w:val="BodyText"/>
      </w:pPr>
    </w:p>
    <w:p w:rsidR="00000000" w:rsidRPr="00F6325C" w:rsidP="00F6325C">
      <w:pPr>
        <w:pStyle w:val="AllowPageBreak"/>
      </w:pPr>
    </w:p>
    <w:p w:rsidR="00000000" w:rsidRPr="00F6325C" w:rsidP="00F6325C">
      <w:pPr>
        <w:pStyle w:val="Heading1"/>
      </w:pPr>
      <w:bookmarkStart w:id="10" w:name="O_497260"/>
      <w:bookmarkEnd w:id="10"/>
      <w:r w:rsidRPr="00F6325C">
        <w:t>Evidence Guide</w:t>
      </w:r>
    </w:p>
    <w:tbl>
      <w:tblPr>
        <w:tblW w:w="9322" w:type="dxa"/>
        <w:tblLayout w:type="fixed"/>
        <w:tblCellMar>
          <w:left w:w="62" w:type="dxa"/>
          <w:right w:w="62" w:type="dxa"/>
        </w:tblCellMar>
        <w:tblLook w:val="0000"/>
      </w:tblPr>
      <w:tblGrid>
        <w:gridCol w:w="2660"/>
        <w:gridCol w:w="6662"/>
      </w:tblGrid>
      <w:tr w:rsidTr="00EC34F4">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F6325C">
            <w:pPr>
              <w:pStyle w:val="BodyText"/>
              <w:rPr>
                <w:lang w:val="en-NZ"/>
              </w:rPr>
            </w:pPr>
            <w:r w:rsidRPr="00F6325C">
              <w:t xml:space="preserve">The Evidence Guide specifies the evidence required to demonstrate achievement in the unit of competency as a whole. It must be read in </w:t>
            </w:r>
            <w:r w:rsidRPr="00F6325C">
              <w:t>conjunction with the Unit descriptor, Performance Criteria, the Range Statement and the Assessment Guidelines for the Public Sector Training Package.</w:t>
            </w:r>
          </w:p>
        </w:tc>
      </w:tr>
      <w:tr w:rsidTr="00EC34F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F6325C" w:rsidP="00F6325C">
            <w:pPr>
              <w:pStyle w:val="BodyText"/>
            </w:pPr>
            <w:r w:rsidRPr="00F6325C">
              <w:rPr>
                <w:rStyle w:val="SpecialBold"/>
              </w:rPr>
              <w:t>Units to be assessed together</w:t>
            </w:r>
            <w:r w:rsidRPr="00F6325C">
              <w:t xml:space="preserve"> </w:t>
            </w:r>
          </w:p>
        </w:tc>
        <w:tc>
          <w:tcPr>
            <w:tcW w:w="6662" w:type="dxa"/>
            <w:tcBorders>
              <w:top w:val="nil"/>
              <w:left w:val="nil"/>
              <w:bottom w:val="nil"/>
              <w:right w:val="nil"/>
            </w:tcBorders>
            <w:tcMar>
              <w:top w:w="0" w:type="dxa"/>
              <w:left w:w="62" w:type="dxa"/>
              <w:bottom w:w="0" w:type="dxa"/>
              <w:right w:w="62" w:type="dxa"/>
            </w:tcMar>
          </w:tcPr>
          <w:p w:rsidR="00000000" w:rsidRPr="00F6325C" w:rsidP="00F6325C">
            <w:pPr>
              <w:pStyle w:val="ListBullet2"/>
            </w:pPr>
            <w:r w:rsidRPr="00F6325C">
              <w:rPr>
                <w:rStyle w:val="Emphasis"/>
              </w:rPr>
              <w:t>Pre</w:t>
            </w:r>
            <w:r w:rsidRPr="00F6325C">
              <w:t>-</w:t>
            </w:r>
            <w:r w:rsidRPr="00F6325C">
              <w:rPr>
                <w:rStyle w:val="Emphasis"/>
              </w:rPr>
              <w:t>requisite</w:t>
            </w:r>
            <w:r w:rsidRPr="00F6325C">
              <w:t xml:space="preserve"> units that must be achieved prior to this unit:</w:t>
            </w:r>
            <w:r w:rsidRPr="00F6325C">
              <w:rPr>
                <w:rStyle w:val="Emphasis"/>
              </w:rPr>
              <w:t>Nil</w:t>
            </w:r>
          </w:p>
          <w:p w:rsidR="00000000" w:rsidRPr="00F6325C" w:rsidP="00F6325C">
            <w:pPr>
              <w:pStyle w:val="ListBullet2"/>
            </w:pPr>
            <w:r w:rsidRPr="00F6325C">
              <w:rPr>
                <w:rStyle w:val="Emphasis"/>
              </w:rPr>
              <w:t>Co</w:t>
            </w:r>
            <w:r w:rsidRPr="00F6325C">
              <w:t>-</w:t>
            </w:r>
            <w:r w:rsidRPr="00F6325C">
              <w:rPr>
                <w:rStyle w:val="Emphasis"/>
              </w:rPr>
              <w:t>requisite</w:t>
            </w:r>
            <w:r w:rsidRPr="00F6325C">
              <w:t xml:space="preserve"> units that must be assessed with this unit:</w:t>
            </w:r>
            <w:r w:rsidRPr="00F6325C">
              <w:rPr>
                <w:rStyle w:val="Emphasis"/>
              </w:rPr>
              <w:t>Nil</w:t>
            </w:r>
          </w:p>
          <w:p w:rsidR="00000000" w:rsidRPr="00F6325C" w:rsidP="00F6325C">
            <w:pPr>
              <w:pStyle w:val="ListBullet2"/>
            </w:pPr>
            <w:r w:rsidRPr="00F6325C">
              <w:rPr>
                <w:rStyle w:val="Emphasis"/>
              </w:rPr>
              <w:t>Co</w:t>
            </w:r>
            <w:r w:rsidRPr="00F6325C">
              <w:t>-</w:t>
            </w:r>
            <w:r w:rsidRPr="00F6325C">
              <w:rPr>
                <w:rStyle w:val="Emphasis"/>
              </w:rPr>
              <w:t>assessed units</w:t>
            </w:r>
            <w:r w:rsidRPr="00F6325C">
              <w:t xml:space="preserve"> that may be assessed with this unit to increase the efficiency and realism of the assessment process include, but are not limited to:</w:t>
            </w:r>
          </w:p>
          <w:p w:rsidR="00000000" w:rsidRPr="00F6325C" w:rsidP="00F6325C">
            <w:pPr>
              <w:pStyle w:val="ListBullet3"/>
            </w:pPr>
            <w:r w:rsidRPr="00F6325C">
              <w:t>PSPETHC601B Maintain and enhance confidence in</w:t>
            </w:r>
            <w:r w:rsidRPr="00F6325C">
              <w:t xml:space="preserve"> public service </w:t>
            </w:r>
          </w:p>
          <w:p w:rsidR="00000000" w:rsidRPr="00F6325C" w:rsidP="00F6325C">
            <w:pPr>
              <w:pStyle w:val="ListBullet3"/>
            </w:pPr>
            <w:r w:rsidRPr="00F6325C">
              <w:t>PSPGOV601B Apply government systems</w:t>
            </w:r>
          </w:p>
          <w:p w:rsidR="00000000" w:rsidRPr="00F6325C" w:rsidP="00F6325C">
            <w:pPr>
              <w:pStyle w:val="ListBullet3"/>
            </w:pPr>
            <w:r w:rsidRPr="00F6325C">
              <w:t>PSPGOV602B Establish and maintain strategic networks</w:t>
            </w:r>
          </w:p>
          <w:p w:rsidR="00000000" w:rsidRPr="00F6325C" w:rsidP="00F6325C">
            <w:pPr>
              <w:pStyle w:val="ListBullet3"/>
            </w:pPr>
            <w:r w:rsidRPr="00F6325C">
              <w:t>PSPLEGN601B Manage compliance with legislation in the public sector</w:t>
            </w:r>
          </w:p>
          <w:p w:rsidR="00000000" w:rsidP="00F6325C">
            <w:pPr>
              <w:pStyle w:val="ListBullet3"/>
              <w:rPr>
                <w:lang w:val="en-NZ"/>
              </w:rPr>
            </w:pPr>
            <w:r w:rsidRPr="00F6325C">
              <w:t>PSPPOL603A Manage policy implementation</w:t>
            </w:r>
          </w:p>
        </w:tc>
      </w:tr>
      <w:tr w:rsidTr="00EC34F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6325C">
            <w:pPr>
              <w:pStyle w:val="BodyText"/>
              <w:rPr>
                <w:lang w:val="en-NZ"/>
              </w:rPr>
            </w:pPr>
            <w:r w:rsidRPr="00F6325C">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F6325C" w:rsidP="00F6325C">
            <w:pPr>
              <w:pStyle w:val="BodyText"/>
            </w:pPr>
            <w:r w:rsidRPr="00F6325C">
              <w:t>In addition to integrated demonstration of the elements and their related performance criteria, look for evidence that confirms:</w:t>
            </w:r>
          </w:p>
          <w:p w:rsidR="00000000" w:rsidRPr="00F6325C" w:rsidP="00F6325C">
            <w:pPr>
              <w:pStyle w:val="ListBullet2"/>
            </w:pPr>
            <w:r w:rsidRPr="00F6325C">
              <w:t xml:space="preserve">the knowledge requirements of this unit </w:t>
            </w:r>
          </w:p>
          <w:p w:rsidR="00000000" w:rsidRPr="00F6325C" w:rsidP="00F6325C">
            <w:pPr>
              <w:pStyle w:val="ListBullet2"/>
            </w:pPr>
            <w:r w:rsidRPr="00F6325C">
              <w:t>the skill requirements of this unit</w:t>
            </w:r>
          </w:p>
          <w:p w:rsidR="00000000" w:rsidRPr="00F6325C" w:rsidP="00F6325C">
            <w:pPr>
              <w:pStyle w:val="ListBullet2"/>
            </w:pPr>
            <w:r w:rsidRPr="00F6325C">
              <w:t>application of the Employability Skills as they relate to this unit (see Employability Summaries in Qualifications Framework)</w:t>
            </w:r>
          </w:p>
          <w:p w:rsidR="00000000" w:rsidP="00F6325C">
            <w:pPr>
              <w:pStyle w:val="ListBullet2"/>
              <w:rPr>
                <w:lang w:val="en-NZ"/>
              </w:rPr>
            </w:pPr>
            <w:r w:rsidRPr="00F6325C">
              <w:t>business case development in a range of (2 or more) contexts (or occasions, over time)</w:t>
            </w:r>
          </w:p>
        </w:tc>
      </w:tr>
      <w:tr w:rsidTr="00EC34F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6325C">
            <w:pPr>
              <w:pStyle w:val="BodyText"/>
              <w:rPr>
                <w:lang w:val="en-NZ"/>
              </w:rPr>
            </w:pPr>
            <w:r w:rsidRPr="00F6325C">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F6325C" w:rsidP="00F6325C">
            <w:pPr>
              <w:pStyle w:val="BodyText"/>
            </w:pPr>
            <w:r w:rsidRPr="00F6325C">
              <w:t>These resources include:</w:t>
            </w:r>
          </w:p>
          <w:p w:rsidR="00000000" w:rsidRPr="00F6325C" w:rsidP="00F6325C">
            <w:pPr>
              <w:pStyle w:val="ListBullet2"/>
            </w:pPr>
            <w:r w:rsidRPr="00F6325C">
              <w:t>legislation, procedures and protocols related to developing a business case</w:t>
            </w:r>
          </w:p>
          <w:p w:rsidR="00000000" w:rsidRPr="00F6325C" w:rsidP="00F6325C">
            <w:pPr>
              <w:pStyle w:val="ListBullet2"/>
            </w:pPr>
            <w:r w:rsidRPr="00F6325C">
              <w:t>workplace scenarios and case studies to capture the range of situations likely to be encountered when developing a business case</w:t>
            </w:r>
          </w:p>
          <w:p w:rsidR="00000000" w:rsidP="00F6325C">
            <w:pPr>
              <w:pStyle w:val="ListBullet2"/>
              <w:rPr>
                <w:lang w:val="en-NZ"/>
              </w:rPr>
            </w:pPr>
            <w:r w:rsidRPr="00F6325C">
              <w:t>guidelines for construct</w:t>
            </w:r>
            <w:r w:rsidRPr="00F6325C">
              <w:t>ing business cases in the public sector</w:t>
            </w:r>
          </w:p>
        </w:tc>
      </w:tr>
      <w:tr w:rsidTr="00EC34F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6325C">
            <w:pPr>
              <w:pStyle w:val="BodyText"/>
              <w:rPr>
                <w:lang w:val="en-NZ"/>
              </w:rPr>
            </w:pPr>
            <w:r w:rsidRPr="00F6325C">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F6325C" w:rsidP="00F6325C">
            <w:pPr>
              <w:pStyle w:val="BodyText"/>
            </w:pPr>
            <w:r w:rsidRPr="00F6325C">
              <w:t xml:space="preserve">Valid assessment of this unit requires: </w:t>
            </w:r>
          </w:p>
          <w:p w:rsidR="00000000" w:rsidRPr="00F6325C" w:rsidP="00F6325C">
            <w:pPr>
              <w:pStyle w:val="ListBullet2"/>
            </w:pPr>
            <w:r w:rsidRPr="00F6325C">
              <w:t>a workplace environment or one that closely resembles normal work practice and replicates the range of conditions likely to be encountered w</w:t>
            </w:r>
            <w:r w:rsidRPr="00F6325C">
              <w:t>hen developing a business case, including coping with difficulties, irregularities and breakdowns in routine</w:t>
            </w:r>
          </w:p>
          <w:p w:rsidR="00000000" w:rsidRPr="00F6325C" w:rsidP="00F6325C">
            <w:pPr>
              <w:pStyle w:val="ListBullet2"/>
            </w:pPr>
            <w:r w:rsidRPr="00F6325C">
              <w:t>business case development in a range of (2 or more) contexts (or occasions, over time)</w:t>
            </w:r>
          </w:p>
          <w:p w:rsidR="00000000" w:rsidRPr="00F6325C" w:rsidP="00F6325C">
            <w:pPr>
              <w:pStyle w:val="BodyText"/>
            </w:pPr>
            <w:r w:rsidRPr="00F6325C">
              <w:t>Assessment methods should reflect workplace demands, such as literacy, and the needs of particular groups, such as:</w:t>
            </w:r>
          </w:p>
          <w:p w:rsidR="00000000" w:rsidRPr="00F6325C" w:rsidP="00F6325C">
            <w:pPr>
              <w:pStyle w:val="ListBullet2"/>
            </w:pPr>
            <w:r w:rsidRPr="00F6325C">
              <w:t>people with disabilities</w:t>
            </w:r>
          </w:p>
          <w:p w:rsidR="00000000" w:rsidRPr="00F6325C" w:rsidP="00F6325C">
            <w:pPr>
              <w:pStyle w:val="ListBullet2"/>
            </w:pPr>
            <w:r w:rsidRPr="00F6325C">
              <w:t>people from culturally and linguistically diverse backgrounds</w:t>
            </w:r>
          </w:p>
          <w:p w:rsidR="00000000" w:rsidRPr="00F6325C" w:rsidP="00F6325C">
            <w:pPr>
              <w:pStyle w:val="ListBullet2"/>
            </w:pPr>
            <w:r w:rsidRPr="00F6325C">
              <w:t>Aboriginal and Torres Strait Islander people</w:t>
            </w:r>
          </w:p>
          <w:p w:rsidR="00000000" w:rsidRPr="00F6325C" w:rsidP="00F6325C">
            <w:pPr>
              <w:pStyle w:val="ListBullet2"/>
            </w:pPr>
            <w:r w:rsidRPr="00F6325C">
              <w:t>women</w:t>
            </w:r>
          </w:p>
          <w:p w:rsidR="00000000" w:rsidRPr="00F6325C" w:rsidP="00F6325C">
            <w:pPr>
              <w:pStyle w:val="ListBullet2"/>
            </w:pPr>
            <w:r w:rsidRPr="00F6325C">
              <w:t>y</w:t>
            </w:r>
            <w:r w:rsidRPr="00F6325C">
              <w:t>oung people</w:t>
            </w:r>
          </w:p>
          <w:p w:rsidR="00000000" w:rsidRPr="00F6325C" w:rsidP="00F6325C">
            <w:pPr>
              <w:pStyle w:val="ListBullet2"/>
            </w:pPr>
            <w:r w:rsidRPr="00F6325C">
              <w:t>older people</w:t>
            </w:r>
          </w:p>
          <w:p w:rsidR="00000000" w:rsidRPr="00F6325C" w:rsidP="00F6325C">
            <w:pPr>
              <w:pStyle w:val="ListBullet2"/>
            </w:pPr>
            <w:r w:rsidRPr="00F6325C">
              <w:t>people in rural and remote locations</w:t>
            </w:r>
          </w:p>
          <w:p w:rsidR="00000000" w:rsidRPr="00F6325C" w:rsidP="00F6325C">
            <w:pPr>
              <w:pStyle w:val="BodyText"/>
            </w:pPr>
            <w:r w:rsidRPr="00F6325C">
              <w:t xml:space="preserve">Assessment methods suitable for valid and reliable assessment of this competency may include, but are not limited to, a combination of 2 or more of: </w:t>
            </w:r>
          </w:p>
          <w:p w:rsidR="00000000" w:rsidRPr="00F6325C" w:rsidP="00F6325C">
            <w:pPr>
              <w:pStyle w:val="ListBullet2"/>
            </w:pPr>
            <w:r w:rsidRPr="00F6325C">
              <w:t>case studies</w:t>
            </w:r>
          </w:p>
          <w:p w:rsidR="00000000" w:rsidRPr="00F6325C" w:rsidP="00F6325C">
            <w:pPr>
              <w:pStyle w:val="ListBullet2"/>
            </w:pPr>
            <w:r w:rsidRPr="00F6325C">
              <w:t xml:space="preserve">demonstration </w:t>
            </w:r>
          </w:p>
          <w:p w:rsidR="00000000" w:rsidRPr="00F6325C" w:rsidP="00F6325C">
            <w:pPr>
              <w:pStyle w:val="ListBullet2"/>
            </w:pPr>
            <w:r w:rsidRPr="00F6325C">
              <w:t xml:space="preserve">portfolios </w:t>
            </w:r>
          </w:p>
          <w:p w:rsidR="00000000" w:rsidRPr="00F6325C" w:rsidP="00F6325C">
            <w:pPr>
              <w:pStyle w:val="ListBullet2"/>
            </w:pPr>
            <w:r w:rsidRPr="00F6325C">
              <w:t>pro</w:t>
            </w:r>
            <w:r w:rsidRPr="00F6325C">
              <w:t>jects</w:t>
            </w:r>
          </w:p>
          <w:p w:rsidR="00000000" w:rsidRPr="00F6325C" w:rsidP="00F6325C">
            <w:pPr>
              <w:pStyle w:val="ListBullet2"/>
            </w:pPr>
            <w:r w:rsidRPr="00F6325C">
              <w:t>questioning</w:t>
            </w:r>
          </w:p>
          <w:p w:rsidR="00000000" w:rsidRPr="00F6325C" w:rsidP="00F6325C">
            <w:pPr>
              <w:pStyle w:val="ListBullet2"/>
            </w:pPr>
            <w:r w:rsidRPr="00F6325C">
              <w:t>scenarios</w:t>
            </w:r>
          </w:p>
          <w:p w:rsidR="00000000" w:rsidRPr="00F6325C" w:rsidP="00F6325C">
            <w:pPr>
              <w:pStyle w:val="ListBullet2"/>
            </w:pPr>
            <w:r w:rsidRPr="00F6325C">
              <w:t>simulation or role plays</w:t>
            </w:r>
          </w:p>
          <w:p w:rsidR="00000000" w:rsidP="00F6325C">
            <w:pPr>
              <w:pStyle w:val="ListBullet2"/>
              <w:rPr>
                <w:lang w:val="en-NZ"/>
              </w:rPr>
            </w:pPr>
            <w:r w:rsidRPr="00F6325C">
              <w:t xml:space="preserve">authenticated evidence from the workplace and/or training courses  </w:t>
            </w:r>
          </w:p>
        </w:tc>
      </w:tr>
      <w:tr w:rsidTr="00EC34F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6325C">
            <w:pPr>
              <w:pStyle w:val="BodyText"/>
              <w:rPr>
                <w:lang w:val="en-NZ"/>
              </w:rPr>
            </w:pPr>
            <w:r w:rsidRPr="00F6325C">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F6325C" w:rsidP="00F6325C">
            <w:pPr>
              <w:pStyle w:val="BodyText"/>
            </w:pPr>
            <w:r w:rsidRPr="00F6325C">
              <w:t>Evidence must be gathered o</w:t>
            </w:r>
            <w:r w:rsidRPr="00F6325C">
              <w:t>ver time in a range of contexts to ensure the person can achieve the unit outcome and apply the competency in different situations or environments</w:t>
            </w:r>
          </w:p>
        </w:tc>
      </w:tr>
    </w:tbl>
    <w:p w:rsidR="00000000" w:rsidRPr="00F6325C" w:rsidP="00F6325C">
      <w:pPr>
        <w:pStyle w:val="BodyText"/>
      </w:pPr>
    </w:p>
    <w:p w:rsidR="00000000" w:rsidRPr="00F6325C" w:rsidP="00F6325C">
      <w:pPr>
        <w:pStyle w:val="AllowPageBreak"/>
      </w:pPr>
    </w:p>
    <w:p w:rsidR="00000000" w:rsidRPr="00F6325C" w:rsidP="00F6325C">
      <w:pPr>
        <w:pStyle w:val="Heading1"/>
      </w:pPr>
      <w:bookmarkStart w:id="11" w:name="O_497257"/>
      <w:bookmarkEnd w:id="11"/>
      <w:r w:rsidRPr="00F6325C">
        <w:t>Range Statement</w:t>
      </w:r>
    </w:p>
    <w:tbl>
      <w:tblPr>
        <w:tblW w:w="9322" w:type="dxa"/>
        <w:tblLayout w:type="fixed"/>
        <w:tblCellMar>
          <w:left w:w="62" w:type="dxa"/>
          <w:right w:w="62" w:type="dxa"/>
        </w:tblCellMar>
        <w:tblLook w:val="0000"/>
      </w:tblPr>
      <w:tblGrid>
        <w:gridCol w:w="2660"/>
        <w:gridCol w:w="6662"/>
      </w:tblGrid>
      <w:tr w:rsidTr="00EC34F4">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F6325C">
            <w:pPr>
              <w:pStyle w:val="BodyText"/>
              <w:rPr>
                <w:lang w:val="en-NZ"/>
              </w:rPr>
            </w:pPr>
            <w:r w:rsidRPr="00F6325C">
              <w:t>The Range Statement provides information about the context in which the un</w:t>
            </w:r>
            <w:r w:rsidRPr="00F6325C">
              <w:t>it of competency is carried out. The variables cater for differences between States and Territories and the Commonwealth, and between organisations and workplaces. They allow for different work requirements, work practices and knowledge. The Range Statemen</w:t>
            </w:r>
            <w:r w:rsidRPr="00F6325C">
              <w:t>t also provides a focus for assessment. It relates to the unit as a whole. Text in</w:t>
            </w:r>
            <w:r w:rsidRPr="00F6325C">
              <w:rPr>
                <w:rStyle w:val="BoldandItalics"/>
              </w:rPr>
              <w:t xml:space="preserve"> bold italics </w:t>
            </w:r>
            <w:r w:rsidRPr="00F6325C">
              <w:t>in the Performance Criteria is explained here.</w:t>
            </w:r>
          </w:p>
        </w:tc>
      </w:tr>
      <w:tr w:rsidTr="00EC34F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6325C">
            <w:pPr>
              <w:pStyle w:val="BodyText"/>
              <w:rPr>
                <w:lang w:val="en-NZ"/>
              </w:rPr>
            </w:pPr>
            <w:r w:rsidRPr="00F6325C">
              <w:rPr>
                <w:rStyle w:val="BoldandItalics"/>
              </w:rPr>
              <w:t xml:space="preserve">Stakeholders </w:t>
            </w:r>
            <w:r w:rsidRPr="00F6325C">
              <w:t>may include:</w:t>
            </w:r>
          </w:p>
        </w:tc>
        <w:tc>
          <w:tcPr>
            <w:tcW w:w="6662" w:type="dxa"/>
            <w:tcBorders>
              <w:top w:val="nil"/>
              <w:left w:val="nil"/>
              <w:bottom w:val="nil"/>
              <w:right w:val="nil"/>
            </w:tcBorders>
            <w:tcMar>
              <w:top w:w="0" w:type="dxa"/>
              <w:left w:w="62" w:type="dxa"/>
              <w:bottom w:w="0" w:type="dxa"/>
              <w:right w:w="62" w:type="dxa"/>
            </w:tcMar>
          </w:tcPr>
          <w:p w:rsidR="00000000" w:rsidRPr="00F6325C" w:rsidP="00F6325C">
            <w:pPr>
              <w:pStyle w:val="ListBullet2"/>
            </w:pPr>
            <w:r w:rsidRPr="00F6325C">
              <w:t xml:space="preserve">all those individuals and groups both inside and outside the organisation that have </w:t>
            </w:r>
            <w:r w:rsidRPr="00F6325C">
              <w:t>some direct interest in the organisation's behaviour, actions, products and services such as:</w:t>
            </w:r>
          </w:p>
          <w:p w:rsidR="00000000" w:rsidRPr="00F6325C" w:rsidP="00F6325C">
            <w:pPr>
              <w:pStyle w:val="ListBullet3"/>
            </w:pPr>
            <w:r w:rsidRPr="00F6325C">
              <w:t>employees at all levels of the organisation</w:t>
            </w:r>
          </w:p>
          <w:p w:rsidR="00000000" w:rsidRPr="00F6325C" w:rsidP="00F6325C">
            <w:pPr>
              <w:pStyle w:val="ListBullet3"/>
            </w:pPr>
            <w:r w:rsidRPr="00F6325C">
              <w:t>other public sector organisations</w:t>
            </w:r>
          </w:p>
          <w:p w:rsidR="00000000" w:rsidRPr="00F6325C" w:rsidP="00F6325C">
            <w:pPr>
              <w:pStyle w:val="ListBullet3"/>
            </w:pPr>
            <w:r w:rsidRPr="00F6325C">
              <w:t>union and association representatives</w:t>
            </w:r>
          </w:p>
          <w:p w:rsidR="00000000" w:rsidRPr="00F6325C" w:rsidP="00F6325C">
            <w:pPr>
              <w:pStyle w:val="ListBullet3"/>
            </w:pPr>
            <w:r w:rsidRPr="00F6325C">
              <w:t>boards of management</w:t>
            </w:r>
          </w:p>
          <w:p w:rsidR="00000000" w:rsidRPr="00F6325C" w:rsidP="00F6325C">
            <w:pPr>
              <w:pStyle w:val="ListBullet3"/>
            </w:pPr>
            <w:r w:rsidRPr="00F6325C">
              <w:t>government</w:t>
            </w:r>
          </w:p>
          <w:p w:rsidR="00000000" w:rsidRPr="00F6325C" w:rsidP="00F6325C">
            <w:pPr>
              <w:pStyle w:val="ListBullet3"/>
            </w:pPr>
            <w:r w:rsidRPr="00F6325C">
              <w:t>Ministers</w:t>
            </w:r>
          </w:p>
          <w:p w:rsidR="00000000" w:rsidP="00F6325C">
            <w:pPr>
              <w:pStyle w:val="ListBullet3"/>
              <w:rPr>
                <w:lang w:val="en-NZ"/>
              </w:rPr>
            </w:pPr>
            <w:r w:rsidRPr="00F6325C">
              <w:t>clients</w:t>
            </w:r>
          </w:p>
        </w:tc>
      </w:tr>
      <w:tr w:rsidTr="00EC34F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6325C">
            <w:pPr>
              <w:pStyle w:val="BodyText"/>
              <w:rPr>
                <w:lang w:val="en-NZ"/>
              </w:rPr>
            </w:pPr>
            <w:r w:rsidRPr="00F6325C">
              <w:rPr>
                <w:rStyle w:val="BoldandItalics"/>
              </w:rPr>
              <w:t>Factors to be considered in research phase</w:t>
            </w:r>
            <w:r w:rsidRPr="00F6325C">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F6325C" w:rsidP="00F6325C">
            <w:pPr>
              <w:pStyle w:val="ListBullet2"/>
            </w:pPr>
            <w:r w:rsidRPr="00F6325C">
              <w:t>required outcomes</w:t>
            </w:r>
          </w:p>
          <w:p w:rsidR="00000000" w:rsidRPr="00F6325C" w:rsidP="00F6325C">
            <w:pPr>
              <w:pStyle w:val="ListBullet2"/>
            </w:pPr>
            <w:r w:rsidRPr="00F6325C">
              <w:t>government policy and direction</w:t>
            </w:r>
          </w:p>
          <w:p w:rsidR="00000000" w:rsidRPr="00F6325C" w:rsidP="00F6325C">
            <w:pPr>
              <w:pStyle w:val="ListBullet2"/>
            </w:pPr>
            <w:r w:rsidRPr="00F6325C">
              <w:t>links to organisational goals and objectives</w:t>
            </w:r>
          </w:p>
          <w:p w:rsidR="00000000" w:rsidRPr="00F6325C" w:rsidP="00F6325C">
            <w:pPr>
              <w:pStyle w:val="ListBullet2"/>
            </w:pPr>
            <w:r w:rsidRPr="00F6325C">
              <w:t>market capabilities</w:t>
            </w:r>
          </w:p>
          <w:p w:rsidR="00000000" w:rsidRPr="00F6325C" w:rsidP="00F6325C">
            <w:pPr>
              <w:pStyle w:val="ListBullet2"/>
            </w:pPr>
            <w:r w:rsidRPr="00F6325C">
              <w:t>needs analysis</w:t>
            </w:r>
          </w:p>
          <w:p w:rsidR="00000000" w:rsidRPr="00F6325C" w:rsidP="00F6325C">
            <w:pPr>
              <w:pStyle w:val="ListBullet2"/>
            </w:pPr>
            <w:r w:rsidRPr="00F6325C">
              <w:t>background and current situation</w:t>
            </w:r>
          </w:p>
          <w:p w:rsidR="00000000" w:rsidRPr="00F6325C" w:rsidP="00F6325C">
            <w:pPr>
              <w:pStyle w:val="ListBullet2"/>
            </w:pPr>
            <w:r w:rsidRPr="00F6325C">
              <w:t>funding availability</w:t>
            </w:r>
          </w:p>
          <w:p w:rsidR="00000000" w:rsidRPr="00F6325C" w:rsidP="00F6325C">
            <w:pPr>
              <w:pStyle w:val="ListBullet2"/>
            </w:pPr>
            <w:r w:rsidRPr="00F6325C">
              <w:t>timing</w:t>
            </w:r>
          </w:p>
          <w:p w:rsidR="00000000" w:rsidRPr="00F6325C" w:rsidP="00F6325C">
            <w:pPr>
              <w:pStyle w:val="ListBullet2"/>
            </w:pPr>
            <w:r w:rsidRPr="00F6325C">
              <w:t>interdependency with other activities</w:t>
            </w:r>
          </w:p>
          <w:p w:rsidR="00000000" w:rsidRPr="00F6325C" w:rsidP="00F6325C">
            <w:pPr>
              <w:pStyle w:val="ListBullet2"/>
            </w:pPr>
            <w:r w:rsidRPr="00F6325C">
              <w:t>constraints</w:t>
            </w:r>
          </w:p>
          <w:p w:rsidR="00000000" w:rsidRPr="00F6325C" w:rsidP="00F6325C">
            <w:pPr>
              <w:pStyle w:val="ListBullet2"/>
            </w:pPr>
            <w:r w:rsidRPr="00F6325C">
              <w:t>cost-benefit ratio</w:t>
            </w:r>
          </w:p>
          <w:p w:rsidR="00000000" w:rsidRPr="00F6325C" w:rsidP="00F6325C">
            <w:pPr>
              <w:pStyle w:val="ListBullet2"/>
            </w:pPr>
            <w:r w:rsidRPr="00F6325C">
              <w:t>consultative processes</w:t>
            </w:r>
          </w:p>
          <w:p w:rsidR="00000000" w:rsidP="00F6325C">
            <w:pPr>
              <w:pStyle w:val="ListBullet2"/>
              <w:rPr>
                <w:lang w:val="en-NZ"/>
              </w:rPr>
            </w:pPr>
            <w:r w:rsidRPr="00F6325C">
              <w:t>ownership/sponsorship</w:t>
            </w:r>
          </w:p>
        </w:tc>
      </w:tr>
      <w:tr w:rsidTr="00EC34F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6325C">
            <w:pPr>
              <w:pStyle w:val="BodyText"/>
              <w:rPr>
                <w:lang w:val="en-NZ"/>
              </w:rPr>
            </w:pPr>
            <w:r w:rsidRPr="00F6325C">
              <w:rPr>
                <w:rStyle w:val="BoldandItalics"/>
              </w:rPr>
              <w:t>Market analysis</w:t>
            </w:r>
            <w:r w:rsidRPr="00F6325C">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F6325C" w:rsidP="00F6325C">
            <w:pPr>
              <w:pStyle w:val="ListBullet2"/>
            </w:pPr>
            <w:r w:rsidRPr="00F6325C">
              <w:t>structure of and 'players' in the market</w:t>
            </w:r>
          </w:p>
          <w:p w:rsidR="00000000" w:rsidRPr="00F6325C" w:rsidP="00F6325C">
            <w:pPr>
              <w:pStyle w:val="ListBullet2"/>
            </w:pPr>
            <w:r w:rsidRPr="00F6325C">
              <w:t>market capability</w:t>
            </w:r>
          </w:p>
          <w:p w:rsidR="00000000" w:rsidRPr="00F6325C" w:rsidP="00F6325C">
            <w:pPr>
              <w:pStyle w:val="ListBullet2"/>
            </w:pPr>
            <w:r w:rsidRPr="00F6325C">
              <w:t>market maturity</w:t>
            </w:r>
          </w:p>
          <w:p w:rsidR="00000000" w:rsidRPr="00F6325C" w:rsidP="00F6325C">
            <w:pPr>
              <w:pStyle w:val="ListBullet2"/>
            </w:pPr>
            <w:r w:rsidRPr="00F6325C">
              <w:t>market strength</w:t>
            </w:r>
          </w:p>
          <w:p w:rsidR="00000000" w:rsidRPr="00F6325C" w:rsidP="00F6325C">
            <w:pPr>
              <w:pStyle w:val="ListBullet2"/>
            </w:pPr>
            <w:r w:rsidRPr="00F6325C">
              <w:t>factors/conditions which may affect supply</w:t>
            </w:r>
          </w:p>
          <w:p w:rsidR="00000000" w:rsidRPr="00F6325C" w:rsidP="00F6325C">
            <w:pPr>
              <w:pStyle w:val="ListBullet2"/>
            </w:pPr>
            <w:r w:rsidRPr="00F6325C">
              <w:t>potential impact of intended activity</w:t>
            </w:r>
          </w:p>
          <w:p w:rsidR="00000000" w:rsidP="00F6325C">
            <w:pPr>
              <w:pStyle w:val="ListBullet2"/>
              <w:rPr>
                <w:lang w:val="en-NZ"/>
              </w:rPr>
            </w:pPr>
            <w:r w:rsidRPr="00F6325C">
              <w:t>environmental issues</w:t>
            </w:r>
          </w:p>
        </w:tc>
      </w:tr>
      <w:tr w:rsidTr="00EC34F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6325C">
            <w:pPr>
              <w:pStyle w:val="BodyText"/>
              <w:rPr>
                <w:lang w:val="en-NZ"/>
              </w:rPr>
            </w:pPr>
            <w:r w:rsidRPr="00F6325C">
              <w:rPr>
                <w:rStyle w:val="BoldandItalics"/>
              </w:rPr>
              <w:t>Legislation, policy and procedures</w:t>
            </w:r>
            <w:r w:rsidRPr="00F6325C">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F6325C" w:rsidP="00F6325C">
            <w:pPr>
              <w:pStyle w:val="ListBullet2"/>
            </w:pPr>
            <w:r w:rsidRPr="00F6325C">
              <w:t>Commonwealth and State/Territory legislation including equal employment opportunity and anti-discriminat</w:t>
            </w:r>
            <w:r w:rsidRPr="00F6325C">
              <w:t>ion law</w:t>
            </w:r>
          </w:p>
          <w:p w:rsidR="00000000" w:rsidRPr="00F6325C" w:rsidP="00F6325C">
            <w:pPr>
              <w:pStyle w:val="ListBullet2"/>
            </w:pPr>
            <w:r w:rsidRPr="00F6325C">
              <w:t>national and international codes of practice and standards</w:t>
            </w:r>
          </w:p>
          <w:p w:rsidR="00000000" w:rsidRPr="00F6325C" w:rsidP="00F6325C">
            <w:pPr>
              <w:pStyle w:val="ListBullet2"/>
            </w:pPr>
            <w:r w:rsidRPr="00F6325C">
              <w:t>the organisation's policies and practices</w:t>
            </w:r>
          </w:p>
          <w:p w:rsidR="00000000" w:rsidRPr="00F6325C" w:rsidP="00F6325C">
            <w:pPr>
              <w:pStyle w:val="ListBullet2"/>
            </w:pPr>
            <w:r w:rsidRPr="00F6325C">
              <w:t>government policy</w:t>
            </w:r>
          </w:p>
          <w:p w:rsidR="00000000" w:rsidRPr="00F6325C" w:rsidP="00F6325C">
            <w:pPr>
              <w:pStyle w:val="ListBullet2"/>
            </w:pPr>
            <w:r w:rsidRPr="00F6325C">
              <w:t>codes of conduct</w:t>
            </w:r>
          </w:p>
          <w:p w:rsidR="00000000" w:rsidP="00F6325C">
            <w:pPr>
              <w:pStyle w:val="ListBullet2"/>
              <w:rPr>
                <w:lang w:val="en-NZ"/>
              </w:rPr>
            </w:pPr>
            <w:r w:rsidRPr="00F6325C">
              <w:t>national competition policy</w:t>
            </w:r>
          </w:p>
        </w:tc>
      </w:tr>
      <w:tr w:rsidTr="00EC34F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6325C">
            <w:pPr>
              <w:pStyle w:val="BodyText"/>
              <w:rPr>
                <w:lang w:val="en-NZ"/>
              </w:rPr>
            </w:pPr>
            <w:r w:rsidRPr="00F6325C">
              <w:rPr>
                <w:rStyle w:val="BoldandItalics"/>
              </w:rPr>
              <w:t>Risk analysis</w:t>
            </w:r>
            <w:r w:rsidRPr="00F6325C">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F6325C" w:rsidP="00F6325C">
            <w:pPr>
              <w:pStyle w:val="ListBullet2"/>
            </w:pPr>
            <w:r w:rsidRPr="00F6325C">
              <w:t>financial matters</w:t>
            </w:r>
          </w:p>
          <w:p w:rsidR="00000000" w:rsidRPr="00F6325C" w:rsidP="00F6325C">
            <w:pPr>
              <w:pStyle w:val="ListBullet2"/>
            </w:pPr>
            <w:r w:rsidRPr="00F6325C">
              <w:t>people</w:t>
            </w:r>
          </w:p>
          <w:p w:rsidR="00000000" w:rsidRPr="00F6325C" w:rsidP="00F6325C">
            <w:pPr>
              <w:pStyle w:val="ListBullet2"/>
            </w:pPr>
            <w:r w:rsidRPr="00F6325C">
              <w:t>assets and physical environment</w:t>
            </w:r>
          </w:p>
          <w:p w:rsidR="00000000" w:rsidRPr="00F6325C" w:rsidP="00F6325C">
            <w:pPr>
              <w:pStyle w:val="ListBullet2"/>
            </w:pPr>
            <w:r w:rsidRPr="00F6325C">
              <w:t>reputation and image</w:t>
            </w:r>
          </w:p>
          <w:p w:rsidR="00000000" w:rsidRPr="00F6325C" w:rsidP="00F6325C">
            <w:pPr>
              <w:pStyle w:val="ListBullet2"/>
            </w:pPr>
            <w:r w:rsidRPr="00F6325C">
              <w:t>legal issues</w:t>
            </w:r>
          </w:p>
          <w:p w:rsidR="00000000" w:rsidRPr="00F6325C" w:rsidP="00F6325C">
            <w:pPr>
              <w:pStyle w:val="ListBullet2"/>
            </w:pPr>
            <w:r w:rsidRPr="00F6325C">
              <w:t>business continuity</w:t>
            </w:r>
          </w:p>
          <w:p w:rsidR="00000000" w:rsidRPr="00F6325C" w:rsidP="00F6325C">
            <w:pPr>
              <w:pStyle w:val="ListBullet2"/>
            </w:pPr>
            <w:r w:rsidRPr="00F6325C">
              <w:t>political impact</w:t>
            </w:r>
          </w:p>
          <w:p w:rsidR="00000000" w:rsidRPr="00F6325C" w:rsidP="00F6325C">
            <w:pPr>
              <w:pStyle w:val="ListBullet2"/>
            </w:pPr>
            <w:r w:rsidRPr="00F6325C">
              <w:t>community interest</w:t>
            </w:r>
          </w:p>
        </w:tc>
      </w:tr>
    </w:tbl>
    <w:p w:rsidR="00EC34F4" w:rsidP="00F6325C">
      <w:pPr>
        <w:pStyle w:val="BodyText"/>
      </w:pPr>
    </w:p>
    <w:p w:rsidR="00EC34F4" w:rsidP="00F6325C">
      <w:pPr>
        <w:pStyle w:val="BodyText"/>
      </w:pPr>
    </w:p>
    <w:p w:rsidR="00000000" w:rsidRPr="00F6325C" w:rsidP="00F6325C">
      <w:pPr>
        <w:pStyle w:val="Heading1"/>
      </w:pPr>
      <w:bookmarkStart w:id="12" w:name="O_497259"/>
      <w:bookmarkEnd w:id="12"/>
      <w:r w:rsidRPr="00F6325C">
        <w:t>Unit Sector(s)</w:t>
      </w:r>
    </w:p>
    <w:p w:rsidR="00000000" w:rsidRPr="00F6325C" w:rsidP="00F6325C">
      <w:pPr>
        <w:pStyle w:val="BodyText"/>
      </w:pPr>
      <w:r w:rsidRPr="00F6325C">
        <w:t>Not applicable.</w:t>
      </w:r>
    </w:p>
    <w:p w:rsidR="00000000" w:rsidRPr="00F6325C" w:rsidP="00F6325C">
      <w:pPr>
        <w:pStyle w:val="AllowPageBreak"/>
      </w:pPr>
    </w:p>
    <w:p w:rsidR="00000000" w:rsidRPr="00F6325C" w:rsidP="00F6325C">
      <w:pPr>
        <w:pStyle w:val="Heading1"/>
      </w:pPr>
      <w:bookmarkStart w:id="13" w:name="O_497269"/>
      <w:bookmarkEnd w:id="13"/>
      <w:r w:rsidRPr="00F6325C">
        <w:t>Competency field</w:t>
      </w:r>
    </w:p>
    <w:p w:rsidR="00000000" w:rsidRPr="00F6325C" w:rsidP="00F6325C">
      <w:pPr>
        <w:pStyle w:val="BodyText"/>
      </w:pPr>
      <w:r w:rsidRPr="00F6325C">
        <w:t>Management.</w:t>
      </w:r>
    </w:p>
    <w:p w:rsidR="00000000" w:rsidRPr="00F6325C" w:rsidP="00F6325C"/>
    <w:sectPr w:rsidSect="00F632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2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34F4" w:rsidP="00EC34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2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4F4" w:rsidP="00F632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C34F4" w:rsidP="00F6325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C34F4" w:rsidP="00F6325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2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25C" w:rsidRPr="00EC34F4" w:rsidP="00EC34F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2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4F4" w:rsidRPr="002D2AF8" w:rsidP="00F6325C">
    <w:pPr>
      <w:pStyle w:val="Header"/>
      <w:framePr w:wrap="around"/>
    </w:pPr>
    <w:r>
      <w:fldChar w:fldCharType="begin"/>
    </w:r>
    <w:r>
      <w:instrText xml:space="preserve"> TITLE   \* MERGEFORMAT </w:instrText>
    </w:r>
    <w:r>
      <w:fldChar w:fldCharType="separate"/>
    </w:r>
    <w:r>
      <w:t>PSPMNGT607B Develop a business case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EC34F4" w:rsidP="00F632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582B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7620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CC0E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32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325C"/>
    <w:pPr>
      <w:spacing w:before="360" w:after="60"/>
      <w:outlineLvl w:val="0"/>
    </w:pPr>
    <w:rPr>
      <w:sz w:val="32"/>
    </w:rPr>
  </w:style>
  <w:style w:type="paragraph" w:styleId="Heading2">
    <w:name w:val="heading 2"/>
    <w:basedOn w:val="HeadingBase"/>
    <w:next w:val="BodyText"/>
    <w:link w:val="Heading2Char"/>
    <w:qFormat/>
    <w:rsid w:val="00F6325C"/>
    <w:pPr>
      <w:keepLines/>
      <w:spacing w:before="240" w:after="120"/>
      <w:outlineLvl w:val="1"/>
    </w:pPr>
    <w:rPr>
      <w:sz w:val="28"/>
      <w:szCs w:val="40"/>
    </w:rPr>
  </w:style>
  <w:style w:type="paragraph" w:styleId="Heading3">
    <w:name w:val="heading 3"/>
    <w:basedOn w:val="HeadingBase"/>
    <w:next w:val="BodyText"/>
    <w:link w:val="Heading3Char"/>
    <w:qFormat/>
    <w:rsid w:val="00F6325C"/>
    <w:pPr>
      <w:spacing w:before="180" w:after="120"/>
      <w:outlineLvl w:val="2"/>
    </w:pPr>
    <w:rPr>
      <w:spacing w:val="-10"/>
      <w:kern w:val="32"/>
    </w:rPr>
  </w:style>
  <w:style w:type="paragraph" w:styleId="Heading4">
    <w:name w:val="heading 4"/>
    <w:basedOn w:val="HeadingBase"/>
    <w:next w:val="BodyText"/>
    <w:link w:val="Heading4Char"/>
    <w:qFormat/>
    <w:rsid w:val="00F6325C"/>
    <w:pPr>
      <w:spacing w:before="160" w:after="120"/>
      <w:outlineLvl w:val="3"/>
    </w:pPr>
    <w:rPr>
      <w:sz w:val="22"/>
    </w:rPr>
  </w:style>
  <w:style w:type="paragraph" w:styleId="Heading5">
    <w:name w:val="heading 5"/>
    <w:basedOn w:val="HeadingBase"/>
    <w:next w:val="Normal"/>
    <w:link w:val="Heading5Char"/>
    <w:qFormat/>
    <w:rsid w:val="00F6325C"/>
    <w:pPr>
      <w:spacing w:before="80"/>
      <w:outlineLvl w:val="4"/>
    </w:pPr>
    <w:rPr>
      <w:color w:val="918585"/>
      <w:sz w:val="20"/>
    </w:rPr>
  </w:style>
  <w:style w:type="paragraph" w:styleId="Heading6">
    <w:name w:val="heading 6"/>
    <w:basedOn w:val="HeadingBase"/>
    <w:next w:val="Normal"/>
    <w:link w:val="Heading6Char"/>
    <w:qFormat/>
    <w:rsid w:val="00F6325C"/>
    <w:pPr>
      <w:spacing w:before="60"/>
      <w:outlineLvl w:val="5"/>
    </w:pPr>
    <w:rPr>
      <w:color w:val="918585"/>
      <w:sz w:val="20"/>
    </w:rPr>
  </w:style>
  <w:style w:type="paragraph" w:styleId="Heading7">
    <w:name w:val="heading 7"/>
    <w:basedOn w:val="Normal"/>
    <w:next w:val="Normal"/>
    <w:link w:val="Heading7Char"/>
    <w:qFormat/>
    <w:rsid w:val="00F6325C"/>
    <w:pPr>
      <w:ind w:left="720"/>
      <w:outlineLvl w:val="6"/>
    </w:pPr>
    <w:rPr>
      <w:i/>
    </w:rPr>
  </w:style>
  <w:style w:type="paragraph" w:styleId="Heading8">
    <w:name w:val="heading 8"/>
    <w:basedOn w:val="Normal"/>
    <w:next w:val="Normal"/>
    <w:link w:val="Heading8Char"/>
    <w:qFormat/>
    <w:rsid w:val="00F6325C"/>
    <w:pPr>
      <w:ind w:left="720"/>
      <w:outlineLvl w:val="7"/>
    </w:pPr>
    <w:rPr>
      <w:i/>
    </w:rPr>
  </w:style>
  <w:style w:type="paragraph" w:styleId="Heading9">
    <w:name w:val="heading 9"/>
    <w:basedOn w:val="Normal"/>
    <w:next w:val="Normal"/>
    <w:link w:val="Heading9Char"/>
    <w:qFormat/>
    <w:rsid w:val="00F6325C"/>
    <w:pPr>
      <w:ind w:left="720"/>
      <w:outlineLvl w:val="8"/>
    </w:pPr>
    <w:rPr>
      <w:i/>
    </w:rPr>
  </w:style>
  <w:style w:type="character" w:default="1" w:styleId="DefaultParagraphFont">
    <w:name w:val="Default Paragraph Font"/>
    <w:uiPriority w:val="1"/>
    <w:unhideWhenUsed/>
    <w:rsid w:val="00F632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325C"/>
  </w:style>
  <w:style w:type="character" w:customStyle="1" w:styleId="Heading1Char">
    <w:name w:val="Heading 1 Char"/>
    <w:basedOn w:val="DefaultParagraphFont"/>
    <w:link w:val="Heading1"/>
    <w:rsid w:val="00F6325C"/>
    <w:rPr>
      <w:rFonts w:ascii="Times New Roman" w:eastAsia="Times New Roman" w:hAnsi="Times New Roman" w:cs="Times New Roman"/>
      <w:b/>
      <w:sz w:val="32"/>
      <w:szCs w:val="20"/>
      <w:lang w:eastAsia="en-US"/>
    </w:rPr>
  </w:style>
  <w:style w:type="paragraph" w:styleId="BodyText">
    <w:name w:val="Body Text"/>
    <w:basedOn w:val="Normal"/>
    <w:link w:val="BodyTextChar"/>
    <w:rsid w:val="00F6325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325C"/>
    <w:rPr>
      <w:rFonts w:ascii="Times New Roman" w:eastAsia="Times New Roman" w:hAnsi="Times New Roman" w:cs="Times New Roman"/>
      <w:sz w:val="24"/>
      <w:lang w:eastAsia="en-US"/>
    </w:rPr>
  </w:style>
  <w:style w:type="paragraph" w:styleId="Footer">
    <w:name w:val="footer"/>
    <w:basedOn w:val="Normal"/>
    <w:link w:val="FooterChar"/>
    <w:rsid w:val="00F632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325C"/>
    <w:rPr>
      <w:rFonts w:ascii="Times New Roman" w:eastAsia="Times New Roman" w:hAnsi="Times New Roman" w:cs="Times New Roman"/>
      <w:sz w:val="16"/>
      <w:lang w:eastAsia="en-US"/>
    </w:rPr>
  </w:style>
  <w:style w:type="paragraph" w:styleId="List">
    <w:name w:val="List"/>
    <w:basedOn w:val="BodyText"/>
    <w:next w:val="BodyText"/>
    <w:rsid w:val="00F6325C"/>
    <w:pPr>
      <w:tabs>
        <w:tab w:val="left" w:pos="340"/>
      </w:tabs>
      <w:spacing w:before="60" w:after="60"/>
      <w:ind w:left="340" w:hanging="340"/>
    </w:pPr>
  </w:style>
  <w:style w:type="paragraph" w:styleId="ListBullet">
    <w:name w:val="List Bullet"/>
    <w:basedOn w:val="List"/>
    <w:rsid w:val="00F6325C"/>
    <w:pPr>
      <w:numPr>
        <w:numId w:val="14"/>
      </w:numPr>
      <w:tabs>
        <w:tab w:val="clear" w:pos="340"/>
      </w:tabs>
      <w:spacing w:before="40" w:after="40"/>
    </w:pPr>
  </w:style>
  <w:style w:type="character" w:customStyle="1" w:styleId="SpecialBold">
    <w:name w:val="Special Bold"/>
    <w:basedOn w:val="DefaultParagraphFont"/>
    <w:rsid w:val="00F6325C"/>
    <w:rPr>
      <w:b/>
      <w:spacing w:val="0"/>
    </w:rPr>
  </w:style>
  <w:style w:type="paragraph" w:styleId="ListBullet2">
    <w:name w:val="List Bullet 2"/>
    <w:basedOn w:val="List2"/>
    <w:rsid w:val="00F6325C"/>
    <w:pPr>
      <w:numPr>
        <w:numId w:val="15"/>
      </w:numPr>
      <w:tabs>
        <w:tab w:val="clear" w:pos="680"/>
      </w:tabs>
    </w:pPr>
  </w:style>
  <w:style w:type="character" w:styleId="Emphasis">
    <w:name w:val="Emphasis"/>
    <w:basedOn w:val="DefaultParagraphFont"/>
    <w:qFormat/>
    <w:rsid w:val="00F6325C"/>
    <w:rPr>
      <w:i/>
    </w:rPr>
  </w:style>
  <w:style w:type="paragraph" w:customStyle="1" w:styleId="SuperHeading">
    <w:name w:val="SuperHeading"/>
    <w:basedOn w:val="Normal"/>
    <w:rsid w:val="00F6325C"/>
    <w:pPr>
      <w:spacing w:before="240" w:after="120"/>
      <w:outlineLvl w:val="0"/>
    </w:pPr>
    <w:rPr>
      <w:rFonts w:ascii="Times New Roman" w:hAnsi="Times New Roman"/>
      <w:b/>
      <w:sz w:val="28"/>
    </w:rPr>
  </w:style>
  <w:style w:type="paragraph" w:customStyle="1" w:styleId="AllowPageBreak">
    <w:name w:val="AllowPageBreak"/>
    <w:rsid w:val="00F6325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6325C"/>
    <w:pPr>
      <w:numPr>
        <w:numId w:val="3"/>
      </w:numPr>
      <w:tabs>
        <w:tab w:val="clear" w:pos="1021"/>
      </w:tabs>
      <w:ind w:left="1037" w:hanging="357"/>
    </w:pPr>
  </w:style>
  <w:style w:type="character" w:customStyle="1" w:styleId="BoldandItalics">
    <w:name w:val="Bold and Italics"/>
    <w:qFormat/>
    <w:rsid w:val="00F6325C"/>
    <w:rPr>
      <w:b/>
      <w:i/>
      <w:u w:val="none"/>
    </w:rPr>
  </w:style>
  <w:style w:type="character" w:customStyle="1" w:styleId="Heading2Char">
    <w:name w:val="Heading 2 Char"/>
    <w:basedOn w:val="DefaultParagraphFont"/>
    <w:link w:val="Heading2"/>
    <w:rsid w:val="00F632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32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32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32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32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32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32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325C"/>
    <w:rPr>
      <w:rFonts w:ascii="Courier New" w:eastAsia="Times New Roman" w:hAnsi="Courier New" w:cs="Times New Roman"/>
      <w:i/>
      <w:szCs w:val="20"/>
      <w:lang w:eastAsia="en-US"/>
    </w:rPr>
  </w:style>
  <w:style w:type="paragraph" w:customStyle="1" w:styleId="HeadingBase">
    <w:name w:val="Heading Base"/>
    <w:rsid w:val="00F632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325C"/>
    <w:pPr>
      <w:tabs>
        <w:tab w:val="right" w:leader="dot" w:pos="9072"/>
      </w:tabs>
      <w:ind w:left="567"/>
    </w:pPr>
    <w:rPr>
      <w:szCs w:val="22"/>
    </w:rPr>
  </w:style>
  <w:style w:type="paragraph" w:customStyle="1" w:styleId="TOCBase">
    <w:name w:val="TOC Base"/>
    <w:rsid w:val="00F632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325C"/>
    <w:pPr>
      <w:tabs>
        <w:tab w:val="right" w:leader="dot" w:pos="9072"/>
      </w:tabs>
      <w:spacing w:before="40" w:after="40"/>
      <w:ind w:left="284"/>
    </w:pPr>
    <w:rPr>
      <w:rFonts w:ascii="Times New Roman" w:hAnsi="Times New Roman"/>
    </w:rPr>
  </w:style>
  <w:style w:type="paragraph" w:styleId="TOC1">
    <w:name w:val="toc 1"/>
    <w:basedOn w:val="TOCBase"/>
    <w:next w:val="Normal"/>
    <w:rsid w:val="00F6325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6325C"/>
    <w:pPr>
      <w:spacing w:before="5040"/>
      <w:jc w:val="center"/>
    </w:pPr>
    <w:rPr>
      <w:sz w:val="48"/>
      <w:szCs w:val="72"/>
      <w:lang w:val="en-US"/>
    </w:rPr>
  </w:style>
  <w:style w:type="character" w:customStyle="1" w:styleId="TitleChar">
    <w:name w:val="Title Char"/>
    <w:basedOn w:val="DefaultParagraphFont"/>
    <w:link w:val="Title"/>
    <w:rsid w:val="00F632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325C"/>
    <w:pPr>
      <w:tabs>
        <w:tab w:val="left" w:pos="3600"/>
        <w:tab w:val="left" w:pos="3958"/>
      </w:tabs>
    </w:pPr>
  </w:style>
  <w:style w:type="paragraph" w:customStyle="1" w:styleId="Note">
    <w:name w:val="Note"/>
    <w:basedOn w:val="BodyText"/>
    <w:rsid w:val="00F632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325C"/>
    <w:pPr>
      <w:framePr w:wrap="auto" w:hAnchor="text" w:y="6049"/>
    </w:pPr>
    <w:rPr>
      <w:color w:val="000000"/>
      <w:sz w:val="40"/>
    </w:rPr>
  </w:style>
  <w:style w:type="paragraph" w:customStyle="1" w:styleId="TOCTitle">
    <w:name w:val="TOCTitle"/>
    <w:basedOn w:val="Heading1"/>
    <w:rsid w:val="00F6325C"/>
    <w:pPr>
      <w:spacing w:after="240"/>
      <w:jc w:val="center"/>
      <w:outlineLvl w:val="9"/>
    </w:pPr>
    <w:rPr>
      <w:caps/>
    </w:rPr>
  </w:style>
  <w:style w:type="paragraph" w:customStyle="1" w:styleId="Version">
    <w:name w:val="Version"/>
    <w:rsid w:val="00F632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325C"/>
    <w:pPr>
      <w:keepNext w:val="0"/>
      <w:tabs>
        <w:tab w:val="right" w:pos="4176"/>
      </w:tabs>
      <w:ind w:left="198" w:hanging="198"/>
    </w:pPr>
    <w:rPr>
      <w:rFonts w:ascii="Garamond" w:hAnsi="Garamond"/>
    </w:rPr>
  </w:style>
  <w:style w:type="paragraph" w:styleId="IndexHeading">
    <w:name w:val="index heading"/>
    <w:basedOn w:val="Normal"/>
    <w:next w:val="Index1"/>
    <w:semiHidden/>
    <w:rsid w:val="00F6325C"/>
    <w:pPr>
      <w:spacing w:before="120" w:after="120"/>
    </w:pPr>
    <w:rPr>
      <w:rFonts w:ascii="Arial" w:hAnsi="Arial"/>
      <w:b/>
      <w:color w:val="918585"/>
      <w:sz w:val="24"/>
    </w:rPr>
  </w:style>
  <w:style w:type="paragraph" w:styleId="Header">
    <w:name w:val="header"/>
    <w:basedOn w:val="Normal"/>
    <w:link w:val="HeaderChar"/>
    <w:rsid w:val="00F632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325C"/>
    <w:rPr>
      <w:rFonts w:ascii="Times New Roman" w:eastAsia="Times New Roman" w:hAnsi="Times New Roman" w:cs="Times New Roman"/>
      <w:sz w:val="16"/>
      <w:szCs w:val="20"/>
      <w:lang w:val="en-GB" w:eastAsia="en-US"/>
    </w:rPr>
  </w:style>
  <w:style w:type="paragraph" w:customStyle="1" w:styleId="Chapter">
    <w:name w:val="Chapter"/>
    <w:basedOn w:val="Normal"/>
    <w:rsid w:val="00F6325C"/>
    <w:pPr>
      <w:spacing w:before="240"/>
    </w:pPr>
    <w:rPr>
      <w:rFonts w:ascii="Times New Roman" w:hAnsi="Times New Roman"/>
      <w:smallCaps/>
      <w:spacing w:val="80"/>
      <w:sz w:val="28"/>
    </w:rPr>
  </w:style>
  <w:style w:type="paragraph" w:customStyle="1" w:styleId="InChapter">
    <w:name w:val="InChapter"/>
    <w:basedOn w:val="Heading3"/>
    <w:rsid w:val="00F6325C"/>
    <w:pPr>
      <w:spacing w:after="240"/>
      <w:outlineLvl w:val="9"/>
    </w:pPr>
    <w:rPr>
      <w:noProof/>
    </w:rPr>
  </w:style>
  <w:style w:type="paragraph" w:styleId="Index2">
    <w:name w:val="index 2"/>
    <w:basedOn w:val="Normal"/>
    <w:next w:val="Normal"/>
    <w:semiHidden/>
    <w:rsid w:val="00F6325C"/>
    <w:pPr>
      <w:tabs>
        <w:tab w:val="right" w:pos="4176"/>
      </w:tabs>
      <w:ind w:left="568" w:hanging="284"/>
    </w:pPr>
    <w:rPr>
      <w:rFonts w:ascii="Garamond" w:hAnsi="Garamond"/>
    </w:rPr>
  </w:style>
  <w:style w:type="paragraph" w:customStyle="1" w:styleId="Byline">
    <w:name w:val="Byline"/>
    <w:rsid w:val="00F632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325C"/>
    <w:pPr>
      <w:tabs>
        <w:tab w:val="clear" w:pos="3600"/>
        <w:tab w:val="clear" w:pos="3958"/>
      </w:tabs>
      <w:jc w:val="right"/>
    </w:pPr>
  </w:style>
  <w:style w:type="paragraph" w:styleId="Caption">
    <w:name w:val="caption"/>
    <w:basedOn w:val="BodyText"/>
    <w:next w:val="Normal"/>
    <w:qFormat/>
    <w:rsid w:val="00F6325C"/>
    <w:pPr>
      <w:framePr w:w="2268" w:hSpace="181" w:vSpace="181" w:wrap="around" w:vAnchor="text" w:hAnchor="page" w:x="1135" w:y="285" w:anchorLock="1"/>
    </w:pPr>
    <w:rPr>
      <w:i/>
    </w:rPr>
  </w:style>
  <w:style w:type="paragraph" w:customStyle="1" w:styleId="MiniTOCTitle">
    <w:name w:val="MiniTOCTitle"/>
    <w:basedOn w:val="Heading4"/>
    <w:rsid w:val="00F6325C"/>
    <w:pPr>
      <w:spacing w:before="240"/>
      <w:outlineLvl w:val="9"/>
    </w:pPr>
    <w:rPr>
      <w:noProof/>
      <w:sz w:val="24"/>
    </w:rPr>
  </w:style>
  <w:style w:type="paragraph" w:customStyle="1" w:styleId="MiniTOCItem">
    <w:name w:val="MiniTOCItem"/>
    <w:basedOn w:val="ListBullet"/>
    <w:rsid w:val="00F6325C"/>
    <w:pPr>
      <w:numPr>
        <w:numId w:val="0"/>
      </w:numPr>
      <w:tabs>
        <w:tab w:val="right" w:leader="dot" w:pos="6521"/>
      </w:tabs>
      <w:spacing w:before="0" w:after="0"/>
    </w:pPr>
  </w:style>
  <w:style w:type="paragraph" w:customStyle="1" w:styleId="TOFTitle">
    <w:name w:val="TOFTitle"/>
    <w:basedOn w:val="TOCTitle"/>
    <w:rsid w:val="00F6325C"/>
  </w:style>
  <w:style w:type="paragraph" w:styleId="TableofFigures">
    <w:name w:val="table of figures"/>
    <w:basedOn w:val="Normal"/>
    <w:next w:val="Normal"/>
    <w:semiHidden/>
    <w:rsid w:val="00F6325C"/>
    <w:pPr>
      <w:tabs>
        <w:tab w:val="right" w:leader="dot" w:pos="9072"/>
      </w:tabs>
      <w:ind w:left="970" w:hanging="403"/>
    </w:pPr>
    <w:rPr>
      <w:rFonts w:ascii="Times New Roman" w:hAnsi="Times New Roman"/>
      <w:b/>
    </w:rPr>
  </w:style>
  <w:style w:type="paragraph" w:styleId="ListNumber">
    <w:name w:val="List Number"/>
    <w:basedOn w:val="List"/>
    <w:rsid w:val="00F6325C"/>
    <w:pPr>
      <w:numPr>
        <w:numId w:val="12"/>
      </w:numPr>
    </w:pPr>
  </w:style>
  <w:style w:type="character" w:customStyle="1" w:styleId="WingdingSymbols">
    <w:name w:val="Wingding Symbols"/>
    <w:rsid w:val="00F6325C"/>
    <w:rPr>
      <w:rFonts w:ascii="Wingdings" w:hAnsi="Wingdings"/>
    </w:rPr>
  </w:style>
  <w:style w:type="paragraph" w:customStyle="1" w:styleId="TableHeading">
    <w:name w:val="Table Heading"/>
    <w:basedOn w:val="HeadingBase"/>
    <w:rsid w:val="00F6325C"/>
    <w:pPr>
      <w:keepLines/>
      <w:pBdr>
        <w:bottom w:val="single" w:sz="6" w:space="1" w:color="918585"/>
      </w:pBdr>
      <w:spacing w:before="240"/>
    </w:pPr>
  </w:style>
  <w:style w:type="character" w:customStyle="1" w:styleId="HotSpot">
    <w:name w:val="HotSpot"/>
    <w:rsid w:val="00F6325C"/>
    <w:rPr>
      <w:color w:val="0033CC"/>
      <w:u w:val="none"/>
    </w:rPr>
  </w:style>
  <w:style w:type="paragraph" w:customStyle="1" w:styleId="BodyTextRight">
    <w:name w:val="Body Text Right"/>
    <w:basedOn w:val="BodyText"/>
    <w:rsid w:val="00F6325C"/>
    <w:pPr>
      <w:spacing w:before="0" w:after="0"/>
      <w:jc w:val="right"/>
    </w:pPr>
  </w:style>
  <w:style w:type="paragraph" w:styleId="Index3">
    <w:name w:val="index 3"/>
    <w:basedOn w:val="ListNumber2"/>
    <w:next w:val="Normal"/>
    <w:semiHidden/>
    <w:rsid w:val="00F6325C"/>
    <w:pPr>
      <w:numPr>
        <w:numId w:val="0"/>
      </w:numPr>
      <w:tabs>
        <w:tab w:val="right" w:leader="dot" w:pos="4176"/>
      </w:tabs>
    </w:pPr>
  </w:style>
  <w:style w:type="paragraph" w:styleId="ListNumber2">
    <w:name w:val="List Number 2"/>
    <w:basedOn w:val="List2"/>
    <w:rsid w:val="00F6325C"/>
    <w:pPr>
      <w:numPr>
        <w:numId w:val="11"/>
      </w:numPr>
      <w:tabs>
        <w:tab w:val="clear" w:pos="1060"/>
      </w:tabs>
    </w:pPr>
  </w:style>
  <w:style w:type="paragraph" w:customStyle="1" w:styleId="MarginNote">
    <w:name w:val="Margin Note"/>
    <w:basedOn w:val="BodyText"/>
    <w:rsid w:val="00F632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32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32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325C"/>
    <w:rPr>
      <w:sz w:val="32"/>
    </w:rPr>
  </w:style>
  <w:style w:type="paragraph" w:customStyle="1" w:styleId="HeadingProcedure">
    <w:name w:val="Heading Procedure"/>
    <w:basedOn w:val="HeadingBase"/>
    <w:next w:val="Normal"/>
    <w:rsid w:val="00F6325C"/>
    <w:pPr>
      <w:tabs>
        <w:tab w:val="left" w:pos="0"/>
      </w:tabs>
      <w:spacing w:before="120" w:after="60"/>
    </w:pPr>
    <w:rPr>
      <w:i/>
      <w:color w:val="918585"/>
      <w:sz w:val="22"/>
    </w:rPr>
  </w:style>
  <w:style w:type="paragraph" w:customStyle="1" w:styleId="TableBodyText">
    <w:name w:val="Table Body Text"/>
    <w:basedOn w:val="BodyText"/>
    <w:rsid w:val="00F6325C"/>
    <w:pPr>
      <w:spacing w:before="60" w:after="60"/>
    </w:pPr>
  </w:style>
  <w:style w:type="paragraph" w:styleId="ListContinue">
    <w:name w:val="List Continue"/>
    <w:basedOn w:val="List"/>
    <w:rsid w:val="00F6325C"/>
    <w:pPr>
      <w:ind w:firstLine="0"/>
    </w:pPr>
  </w:style>
  <w:style w:type="paragraph" w:customStyle="1" w:styleId="ListNote">
    <w:name w:val="List Note"/>
    <w:basedOn w:val="List"/>
    <w:rsid w:val="00F6325C"/>
    <w:pPr>
      <w:pBdr>
        <w:top w:val="single" w:sz="6" w:space="2" w:color="918585"/>
        <w:bottom w:val="single" w:sz="6" w:space="2" w:color="918585"/>
      </w:pBdr>
      <w:tabs>
        <w:tab w:val="left" w:pos="1021"/>
      </w:tabs>
      <w:ind w:firstLine="0"/>
    </w:pPr>
  </w:style>
  <w:style w:type="paragraph" w:customStyle="1" w:styleId="Warning">
    <w:name w:val="Warning"/>
    <w:basedOn w:val="BodyText"/>
    <w:rsid w:val="00F6325C"/>
    <w:pPr>
      <w:shd w:val="clear" w:color="auto" w:fill="D9D9D9"/>
      <w:tabs>
        <w:tab w:val="left" w:pos="992"/>
      </w:tabs>
      <w:ind w:left="119" w:right="119"/>
    </w:pPr>
    <w:rPr>
      <w:sz w:val="20"/>
    </w:rPr>
  </w:style>
  <w:style w:type="paragraph" w:customStyle="1" w:styleId="MarginIcons">
    <w:name w:val="Margin Icons"/>
    <w:basedOn w:val="BodyText"/>
    <w:rsid w:val="00F632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325C"/>
    <w:rPr>
      <w:rFonts w:ascii="Courier New" w:hAnsi="Courier New"/>
    </w:rPr>
  </w:style>
  <w:style w:type="paragraph" w:customStyle="1" w:styleId="NoteBullet">
    <w:name w:val="Note Bullet"/>
    <w:basedOn w:val="Note"/>
    <w:rsid w:val="00F6325C"/>
    <w:pPr>
      <w:tabs>
        <w:tab w:val="clear" w:pos="680"/>
      </w:tabs>
      <w:spacing w:before="60" w:after="60"/>
    </w:pPr>
  </w:style>
  <w:style w:type="paragraph" w:customStyle="1" w:styleId="SubHeading2">
    <w:name w:val="SubHeading2"/>
    <w:basedOn w:val="HeadingBase"/>
    <w:rsid w:val="00F6325C"/>
    <w:pPr>
      <w:spacing w:before="240" w:after="60"/>
    </w:pPr>
    <w:rPr>
      <w:sz w:val="20"/>
    </w:rPr>
  </w:style>
  <w:style w:type="paragraph" w:customStyle="1" w:styleId="SubHeading1">
    <w:name w:val="SubHeading1"/>
    <w:basedOn w:val="HeadingBase"/>
    <w:rsid w:val="00F6325C"/>
    <w:pPr>
      <w:spacing w:before="240" w:after="60"/>
    </w:pPr>
    <w:rPr>
      <w:color w:val="918585"/>
      <w:sz w:val="22"/>
    </w:rPr>
  </w:style>
  <w:style w:type="paragraph" w:customStyle="1" w:styleId="SideHeading">
    <w:name w:val="Side Heading"/>
    <w:basedOn w:val="HeadingBase"/>
    <w:rsid w:val="00F632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325C"/>
    <w:pPr>
      <w:numPr>
        <w:numId w:val="13"/>
      </w:numPr>
    </w:pPr>
  </w:style>
  <w:style w:type="paragraph" w:styleId="PlainText">
    <w:name w:val="Plain Text"/>
    <w:basedOn w:val="Normal"/>
    <w:link w:val="PlainTextChar"/>
    <w:rsid w:val="00F6325C"/>
    <w:rPr>
      <w:sz w:val="20"/>
    </w:rPr>
  </w:style>
  <w:style w:type="character" w:customStyle="1" w:styleId="PlainTextChar">
    <w:name w:val="Plain Text Char"/>
    <w:basedOn w:val="DefaultParagraphFont"/>
    <w:link w:val="PlainText"/>
    <w:rsid w:val="00F6325C"/>
    <w:rPr>
      <w:rFonts w:ascii="Courier New" w:eastAsia="Times New Roman" w:hAnsi="Courier New" w:cs="Times New Roman"/>
      <w:sz w:val="20"/>
      <w:szCs w:val="20"/>
      <w:lang w:eastAsia="en-US"/>
    </w:rPr>
  </w:style>
  <w:style w:type="character" w:customStyle="1" w:styleId="MenuOption">
    <w:name w:val="Menu Option"/>
    <w:basedOn w:val="DefaultParagraphFont"/>
    <w:rsid w:val="00F6325C"/>
    <w:rPr>
      <w:b/>
      <w:smallCaps/>
    </w:rPr>
  </w:style>
  <w:style w:type="paragraph" w:customStyle="1" w:styleId="TableListNumber">
    <w:name w:val="Table List Number"/>
    <w:basedOn w:val="ListNumber"/>
    <w:rsid w:val="00F6325C"/>
    <w:pPr>
      <w:numPr>
        <w:numId w:val="0"/>
      </w:numPr>
    </w:pPr>
  </w:style>
  <w:style w:type="paragraph" w:styleId="TOC4">
    <w:name w:val="toc 4"/>
    <w:basedOn w:val="TOCBase"/>
    <w:next w:val="Normal"/>
    <w:semiHidden/>
    <w:rsid w:val="00F6325C"/>
    <w:pPr>
      <w:tabs>
        <w:tab w:val="right" w:leader="dot" w:pos="9071"/>
      </w:tabs>
      <w:ind w:left="1701"/>
    </w:pPr>
  </w:style>
  <w:style w:type="paragraph" w:customStyle="1" w:styleId="ListAlpha">
    <w:name w:val="List Alpha"/>
    <w:basedOn w:val="List"/>
    <w:rsid w:val="00F6325C"/>
    <w:pPr>
      <w:numPr>
        <w:numId w:val="10"/>
      </w:numPr>
    </w:pPr>
  </w:style>
  <w:style w:type="paragraph" w:customStyle="1" w:styleId="ListAlpha2">
    <w:name w:val="List Alpha 2"/>
    <w:basedOn w:val="List2"/>
    <w:rsid w:val="00F6325C"/>
    <w:pPr>
      <w:numPr>
        <w:numId w:val="9"/>
      </w:numPr>
    </w:pPr>
  </w:style>
  <w:style w:type="paragraph" w:styleId="List2">
    <w:name w:val="List 2"/>
    <w:basedOn w:val="BodyText"/>
    <w:rsid w:val="00F6325C"/>
    <w:pPr>
      <w:tabs>
        <w:tab w:val="left" w:pos="680"/>
      </w:tabs>
      <w:spacing w:before="60" w:after="60"/>
      <w:ind w:left="680" w:hanging="340"/>
    </w:pPr>
  </w:style>
  <w:style w:type="paragraph" w:styleId="List3">
    <w:name w:val="List 3"/>
    <w:basedOn w:val="BodyText"/>
    <w:rsid w:val="00F6325C"/>
    <w:pPr>
      <w:tabs>
        <w:tab w:val="left" w:pos="1021"/>
      </w:tabs>
      <w:spacing w:before="60" w:after="60"/>
      <w:ind w:left="1020" w:hanging="340"/>
    </w:pPr>
  </w:style>
  <w:style w:type="paragraph" w:styleId="List4">
    <w:name w:val="List 4"/>
    <w:basedOn w:val="BodyText"/>
    <w:rsid w:val="00F6325C"/>
    <w:pPr>
      <w:tabs>
        <w:tab w:val="left" w:pos="1361"/>
      </w:tabs>
      <w:spacing w:before="60" w:after="60"/>
      <w:ind w:left="1361" w:hanging="340"/>
    </w:pPr>
  </w:style>
  <w:style w:type="paragraph" w:styleId="List5">
    <w:name w:val="List 5"/>
    <w:basedOn w:val="BodyText"/>
    <w:rsid w:val="00F6325C"/>
    <w:pPr>
      <w:tabs>
        <w:tab w:val="left" w:pos="1701"/>
      </w:tabs>
      <w:spacing w:before="60" w:after="60"/>
      <w:ind w:left="1701" w:hanging="340"/>
    </w:pPr>
  </w:style>
  <w:style w:type="paragraph" w:styleId="ListBullet4">
    <w:name w:val="List Bullet 4"/>
    <w:basedOn w:val="List4"/>
    <w:rsid w:val="00F6325C"/>
    <w:pPr>
      <w:numPr>
        <w:numId w:val="4"/>
      </w:numPr>
    </w:pPr>
  </w:style>
  <w:style w:type="paragraph" w:styleId="ListBullet5">
    <w:name w:val="List Bullet 5"/>
    <w:basedOn w:val="List5"/>
    <w:rsid w:val="00F6325C"/>
    <w:pPr>
      <w:numPr>
        <w:numId w:val="5"/>
      </w:numPr>
    </w:pPr>
  </w:style>
  <w:style w:type="paragraph" w:styleId="ListContinue2">
    <w:name w:val="List Continue 2"/>
    <w:basedOn w:val="List2"/>
    <w:rsid w:val="00F6325C"/>
    <w:pPr>
      <w:ind w:firstLine="0"/>
    </w:pPr>
  </w:style>
  <w:style w:type="paragraph" w:styleId="ListContinue3">
    <w:name w:val="List Continue 3"/>
    <w:basedOn w:val="List3"/>
    <w:rsid w:val="00F6325C"/>
    <w:pPr>
      <w:ind w:left="1021" w:firstLine="0"/>
    </w:pPr>
  </w:style>
  <w:style w:type="paragraph" w:styleId="ListContinue4">
    <w:name w:val="List Continue 4"/>
    <w:basedOn w:val="List4"/>
    <w:rsid w:val="00F6325C"/>
    <w:pPr>
      <w:ind w:firstLine="0"/>
    </w:pPr>
  </w:style>
  <w:style w:type="paragraph" w:styleId="ListContinue5">
    <w:name w:val="List Continue 5"/>
    <w:basedOn w:val="List5"/>
    <w:rsid w:val="00F6325C"/>
    <w:pPr>
      <w:ind w:firstLine="0"/>
    </w:pPr>
  </w:style>
  <w:style w:type="paragraph" w:styleId="ListNumber3">
    <w:name w:val="List Number 3"/>
    <w:basedOn w:val="List3"/>
    <w:rsid w:val="00F6325C"/>
    <w:pPr>
      <w:numPr>
        <w:numId w:val="6"/>
      </w:numPr>
    </w:pPr>
  </w:style>
  <w:style w:type="paragraph" w:styleId="ListNumber4">
    <w:name w:val="List Number 4"/>
    <w:basedOn w:val="List4"/>
    <w:rsid w:val="00F6325C"/>
    <w:pPr>
      <w:numPr>
        <w:numId w:val="7"/>
      </w:numPr>
    </w:pPr>
  </w:style>
  <w:style w:type="paragraph" w:styleId="ListNumber5">
    <w:name w:val="List Number 5"/>
    <w:basedOn w:val="List5"/>
    <w:rsid w:val="00F6325C"/>
    <w:pPr>
      <w:numPr>
        <w:numId w:val="8"/>
      </w:numPr>
    </w:pPr>
  </w:style>
  <w:style w:type="paragraph" w:styleId="BlockText">
    <w:name w:val="Block Text"/>
    <w:basedOn w:val="Normal"/>
    <w:rsid w:val="00F6325C"/>
    <w:pPr>
      <w:spacing w:after="120"/>
      <w:ind w:left="1440" w:right="1440"/>
    </w:pPr>
  </w:style>
  <w:style w:type="character" w:customStyle="1" w:styleId="Subscript">
    <w:name w:val="Subscript"/>
    <w:basedOn w:val="DefaultParagraphFont"/>
    <w:rsid w:val="00F6325C"/>
    <w:rPr>
      <w:sz w:val="16"/>
      <w:vertAlign w:val="subscript"/>
    </w:rPr>
  </w:style>
  <w:style w:type="character" w:customStyle="1" w:styleId="Superscript">
    <w:name w:val="Superscript"/>
    <w:basedOn w:val="DefaultParagraphFont"/>
    <w:rsid w:val="00F6325C"/>
    <w:rPr>
      <w:sz w:val="16"/>
      <w:vertAlign w:val="superscript"/>
    </w:rPr>
  </w:style>
  <w:style w:type="character" w:customStyle="1" w:styleId="Symbols">
    <w:name w:val="Symbols"/>
    <w:basedOn w:val="DefaultParagraphFont"/>
    <w:rsid w:val="00F6325C"/>
    <w:rPr>
      <w:rFonts w:ascii="Symbol" w:hAnsi="Symbol"/>
    </w:rPr>
  </w:style>
  <w:style w:type="character" w:customStyle="1" w:styleId="MenuOptions">
    <w:name w:val="Menu Options"/>
    <w:basedOn w:val="DefaultParagraphFont"/>
    <w:rsid w:val="00F6325C"/>
    <w:rPr>
      <w:rFonts w:ascii="Arial Narrow" w:hAnsi="Arial Narrow"/>
      <w:smallCaps/>
    </w:rPr>
  </w:style>
  <w:style w:type="character" w:customStyle="1" w:styleId="Buttons">
    <w:name w:val="Buttons"/>
    <w:basedOn w:val="DefaultParagraphFont"/>
    <w:rsid w:val="00F6325C"/>
    <w:rPr>
      <w:b/>
    </w:rPr>
  </w:style>
  <w:style w:type="character" w:customStyle="1" w:styleId="Underlined">
    <w:name w:val="Underlined"/>
    <w:basedOn w:val="DefaultParagraphFont"/>
    <w:rsid w:val="00F6325C"/>
    <w:rPr>
      <w:u w:val="single"/>
    </w:rPr>
  </w:style>
  <w:style w:type="paragraph" w:customStyle="1" w:styleId="TableBodyTextRight">
    <w:name w:val="Table Body Text Right"/>
    <w:basedOn w:val="TableBodyText"/>
    <w:rsid w:val="00F6325C"/>
    <w:pPr>
      <w:widowControl w:val="0"/>
      <w:autoSpaceDE w:val="0"/>
      <w:autoSpaceDN w:val="0"/>
      <w:adjustRightInd w:val="0"/>
      <w:jc w:val="right"/>
    </w:pPr>
    <w:rPr>
      <w:rFonts w:cs="Arial"/>
      <w:szCs w:val="18"/>
    </w:rPr>
  </w:style>
  <w:style w:type="paragraph" w:customStyle="1" w:styleId="CopyrightText">
    <w:name w:val="Copyright Text"/>
    <w:basedOn w:val="BodyText"/>
    <w:rsid w:val="00F6325C"/>
    <w:rPr>
      <w:sz w:val="18"/>
    </w:rPr>
  </w:style>
  <w:style w:type="paragraph" w:customStyle="1" w:styleId="BodySmallRight">
    <w:name w:val="Body Small Right"/>
    <w:basedOn w:val="BodyTextRight"/>
    <w:rsid w:val="00F6325C"/>
    <w:rPr>
      <w:sz w:val="18"/>
      <w:szCs w:val="18"/>
    </w:rPr>
  </w:style>
  <w:style w:type="paragraph" w:customStyle="1" w:styleId="MarginEdition">
    <w:name w:val="Margin Edition"/>
    <w:basedOn w:val="MarginNote"/>
    <w:rsid w:val="00F6325C"/>
    <w:pPr>
      <w:spacing w:before="0" w:after="0"/>
    </w:pPr>
    <w:rPr>
      <w:rFonts w:ascii="Times New Roman" w:hAnsi="Times New Roman"/>
      <w:color w:val="999999"/>
    </w:rPr>
  </w:style>
  <w:style w:type="paragraph" w:customStyle="1" w:styleId="Spacer">
    <w:name w:val="Spacer"/>
    <w:basedOn w:val="Normal"/>
    <w:rsid w:val="00F6325C"/>
    <w:rPr>
      <w:sz w:val="2"/>
      <w:szCs w:val="2"/>
    </w:rPr>
  </w:style>
  <w:style w:type="character" w:customStyle="1" w:styleId="Small">
    <w:name w:val="Small"/>
    <w:basedOn w:val="DefaultParagraphFont"/>
    <w:rsid w:val="00F6325C"/>
    <w:rPr>
      <w:sz w:val="16"/>
    </w:rPr>
  </w:style>
  <w:style w:type="paragraph" w:customStyle="1" w:styleId="WideTable">
    <w:name w:val="Wide Table"/>
    <w:basedOn w:val="Normal"/>
    <w:rsid w:val="00F6325C"/>
    <w:pPr>
      <w:ind w:left="-1418"/>
    </w:pPr>
    <w:rPr>
      <w:sz w:val="2"/>
      <w:szCs w:val="2"/>
    </w:rPr>
  </w:style>
  <w:style w:type="character" w:styleId="PageNumber">
    <w:name w:val="page number"/>
    <w:basedOn w:val="DefaultParagraphFont"/>
    <w:rsid w:val="00F6325C"/>
  </w:style>
  <w:style w:type="paragraph" w:styleId="Quote">
    <w:name w:val="Quote"/>
    <w:basedOn w:val="Heading1"/>
    <w:link w:val="QuoteChar"/>
    <w:qFormat/>
    <w:rsid w:val="00F6325C"/>
    <w:rPr>
      <w:b w:val="0"/>
      <w:sz w:val="72"/>
      <w:szCs w:val="72"/>
      <w:lang w:val="en-NZ"/>
    </w:rPr>
  </w:style>
  <w:style w:type="character" w:customStyle="1" w:styleId="QuoteChar">
    <w:name w:val="Quote Char"/>
    <w:basedOn w:val="DefaultParagraphFont"/>
    <w:link w:val="Quote"/>
    <w:rsid w:val="00F632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325C"/>
    <w:pPr>
      <w:pageBreakBefore/>
    </w:pPr>
  </w:style>
  <w:style w:type="paragraph" w:customStyle="1" w:styleId="Border">
    <w:name w:val="Border"/>
    <w:basedOn w:val="Normal"/>
    <w:qFormat/>
    <w:rsid w:val="00F632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325C"/>
    <w:rPr>
      <w:b/>
      <w:bCs/>
      <w:i/>
      <w:iCs/>
      <w:color w:val="auto"/>
    </w:rPr>
  </w:style>
  <w:style w:type="paragraph" w:styleId="IntenseQuote">
    <w:name w:val="Intense Quote"/>
    <w:basedOn w:val="Normal"/>
    <w:next w:val="Normal"/>
    <w:link w:val="IntenseQuoteChar"/>
    <w:uiPriority w:val="30"/>
    <w:qFormat/>
    <w:rsid w:val="00F632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32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325C"/>
    <w:rPr>
      <w:smallCaps/>
      <w:color w:val="auto"/>
      <w:u w:val="single"/>
    </w:rPr>
  </w:style>
  <w:style w:type="character" w:styleId="IntenseReference">
    <w:name w:val="Intense Reference"/>
    <w:basedOn w:val="DefaultParagraphFont"/>
    <w:uiPriority w:val="32"/>
    <w:qFormat/>
    <w:rsid w:val="00F6325C"/>
    <w:rPr>
      <w:b/>
      <w:bCs/>
      <w:smallCaps/>
      <w:color w:val="auto"/>
      <w:spacing w:val="5"/>
      <w:u w:val="single"/>
    </w:rPr>
  </w:style>
  <w:style w:type="paragraph" w:customStyle="1" w:styleId="2ColumnHeading">
    <w:name w:val="2Column Heading"/>
    <w:basedOn w:val="BodyText"/>
    <w:qFormat/>
    <w:rsid w:val="00F6325C"/>
    <w:pPr>
      <w:spacing w:after="60"/>
      <w:ind w:left="-2268"/>
    </w:pPr>
    <w:rPr>
      <w:b/>
    </w:rPr>
  </w:style>
  <w:style w:type="paragraph" w:customStyle="1" w:styleId="Heading1TOC">
    <w:name w:val="Heading1 TOC"/>
    <w:basedOn w:val="Normal"/>
    <w:qFormat/>
    <w:rsid w:val="00F6325C"/>
    <w:pPr>
      <w:spacing w:before="240" w:after="120"/>
    </w:pPr>
    <w:rPr>
      <w:rFonts w:ascii="Times New Roman" w:hAnsi="Times New Roman"/>
      <w:b/>
      <w:sz w:val="32"/>
    </w:rPr>
  </w:style>
  <w:style w:type="paragraph" w:customStyle="1" w:styleId="Heading2TOC">
    <w:name w:val="Heading2 TOC"/>
    <w:basedOn w:val="Normal"/>
    <w:qFormat/>
    <w:rsid w:val="00F6325C"/>
    <w:pPr>
      <w:spacing w:before="240" w:after="60"/>
    </w:pPr>
    <w:rPr>
      <w:rFonts w:ascii="Times New Roman" w:hAnsi="Times New Roman"/>
      <w:b/>
      <w:sz w:val="28"/>
    </w:rPr>
  </w:style>
  <w:style w:type="character" w:customStyle="1" w:styleId="Underline">
    <w:name w:val="Underline"/>
    <w:basedOn w:val="DefaultParagraphFont"/>
    <w:qFormat/>
    <w:rsid w:val="00F6325C"/>
    <w:rPr>
      <w:u w:val="single"/>
    </w:rPr>
  </w:style>
  <w:style w:type="paragraph" w:styleId="BalloonText">
    <w:name w:val="Balloon Text"/>
    <w:basedOn w:val="Normal"/>
    <w:link w:val="BalloonTextChar"/>
    <w:rsid w:val="00F6325C"/>
    <w:rPr>
      <w:rFonts w:ascii="Tahoma" w:hAnsi="Tahoma" w:cs="Tahoma"/>
      <w:sz w:val="16"/>
      <w:szCs w:val="16"/>
    </w:rPr>
  </w:style>
  <w:style w:type="character" w:customStyle="1" w:styleId="BalloonTextChar">
    <w:name w:val="Balloon Text Char"/>
    <w:basedOn w:val="DefaultParagraphFont"/>
    <w:link w:val="BalloonText"/>
    <w:rsid w:val="00F632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325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32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325C"/>
    <w:rPr>
      <w:b/>
      <w:color w:val="660033"/>
      <w:spacing w:val="0"/>
    </w:rPr>
  </w:style>
  <w:style w:type="paragraph" w:customStyle="1" w:styleId="Nameditemlist">
    <w:name w:val="Named item list"/>
    <w:basedOn w:val="BodyText"/>
    <w:qFormat/>
    <w:rsid w:val="00F6325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1254</Words>
  <Characters>7990</Characters>
  <Application>Microsoft Office Word</Application>
  <DocSecurity>0</DocSecurity>
  <Lines>275</Lines>
  <Paragraphs>175</Paragraphs>
  <ScaleCrop>false</ScaleCrop>
  <Company>Author-it Software Corporation Ltd.</Company>
  <LinksUpToDate>false</LinksUpToDate>
  <CharactersWithSpaces>9175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PSPMNGT607B Develop a business case</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2012-11-01T03:28:00Z</dcterms:created>
  <dcterms:modified xsi:type="dcterms:W3CDTF">2012-11-01T03:28:00Z</dcterms:modified>
</cp:coreProperties>
</file>