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67FF" w:rsidP="007C67FF">
      <w:pPr>
        <w:pStyle w:val="Title"/>
      </w:pPr>
      <w:bookmarkStart w:id="0" w:name="_GoBack"/>
      <w:bookmarkEnd w:id="0"/>
      <w:r>
        <w:fldChar w:fldCharType="begin"/>
      </w:r>
      <w:r>
        <w:instrText xml:space="preserve"> TITLE   \* MERGEFORMAT </w:instrText>
      </w:r>
      <w:r>
        <w:fldChar w:fldCharType="separate"/>
      </w:r>
      <w:r>
        <w:t>PSPMNGT604B Manage change</w:t>
      </w:r>
      <w:r>
        <w:fldChar w:fldCharType="end"/>
      </w:r>
    </w:p>
    <w:p w:rsidR="007C67FF" w:rsidP="007C67FF">
      <w:pPr>
        <w:pStyle w:val="Version"/>
        <w:sectPr w:rsidSect="006715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6715E4" w:rsidP="006715E4">
      <w:pPr>
        <w:pStyle w:val="SuperHeading"/>
      </w:pPr>
      <w:r w:rsidRPr="006715E4">
        <w:t>PSPMNGT604B Manage change</w:t>
      </w:r>
    </w:p>
    <w:p w:rsidR="00000000" w:rsidRPr="006715E4" w:rsidP="006715E4">
      <w:pPr>
        <w:pStyle w:val="SuperHeading"/>
      </w:pPr>
    </w:p>
    <w:p w:rsidR="00000000" w:rsidRPr="006715E4" w:rsidP="006715E4">
      <w:pPr>
        <w:pStyle w:val="Heading1"/>
      </w:pPr>
      <w:bookmarkStart w:id="1" w:name="O_497192"/>
      <w:bookmarkEnd w:id="1"/>
      <w:r w:rsidRPr="006715E4">
        <w:t>Modification History</w:t>
      </w:r>
    </w:p>
    <w:tbl>
      <w:tblPr>
        <w:tblW w:w="0" w:type="auto"/>
        <w:tblLayout w:type="fixed"/>
        <w:tblCellMar>
          <w:left w:w="62" w:type="dxa"/>
          <w:right w:w="62" w:type="dxa"/>
        </w:tblCellMar>
        <w:tblLook w:val="0000"/>
      </w:tblPr>
      <w:tblGrid>
        <w:gridCol w:w="3052"/>
        <w:gridCol w:w="3052"/>
        <w:gridCol w:w="3052"/>
      </w:tblGrid>
      <w:tr w:rsidTr="007C67F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5E4" w:rsidP="006715E4">
            <w:pPr>
              <w:pStyle w:val="BodyText"/>
            </w:pPr>
            <w:r w:rsidRPr="006715E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5E4" w:rsidP="006715E4">
            <w:pPr>
              <w:pStyle w:val="BodyText"/>
            </w:pPr>
            <w:r w:rsidRPr="006715E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5E4">
            <w:pPr>
              <w:pStyle w:val="BodyText"/>
              <w:rPr>
                <w:lang w:val="en-NZ"/>
              </w:rPr>
            </w:pPr>
            <w:r w:rsidRPr="006715E4">
              <w:rPr>
                <w:rStyle w:val="SpecialBold"/>
              </w:rPr>
              <w:t>Comments</w:t>
            </w:r>
          </w:p>
        </w:tc>
      </w:tr>
      <w:tr w:rsidTr="007C67F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5E4">
            <w:pPr>
              <w:pStyle w:val="BodyText"/>
              <w:rPr>
                <w:lang w:val="en-NZ"/>
              </w:rPr>
            </w:pPr>
            <w:r w:rsidRPr="006715E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5E4">
            <w:pPr>
              <w:pStyle w:val="BodyText"/>
              <w:rPr>
                <w:lang w:val="en-NZ"/>
              </w:rPr>
            </w:pPr>
            <w:r w:rsidRPr="006715E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5E4">
            <w:pPr>
              <w:pStyle w:val="BodyText"/>
              <w:rPr>
                <w:lang w:val="en-NZ"/>
              </w:rPr>
            </w:pPr>
            <w:r w:rsidRPr="006715E4">
              <w:t xml:space="preserve">Unit descriptor edited. </w:t>
            </w:r>
          </w:p>
        </w:tc>
      </w:tr>
      <w:tr w:rsidTr="007C67F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5E4">
            <w:pPr>
              <w:pStyle w:val="BodyText"/>
              <w:rPr>
                <w:lang w:val="en-NZ"/>
              </w:rPr>
            </w:pPr>
            <w:r w:rsidRPr="006715E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5E4">
            <w:pPr>
              <w:pStyle w:val="BodyText"/>
              <w:rPr>
                <w:lang w:val="en-NZ"/>
              </w:rPr>
            </w:pPr>
            <w:r w:rsidRPr="006715E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5E4">
            <w:pPr>
              <w:pStyle w:val="BodyText"/>
              <w:rPr>
                <w:lang w:val="en-NZ"/>
              </w:rPr>
            </w:pPr>
            <w:r w:rsidRPr="006715E4">
              <w:t>Layout adjusted. No changes to content.</w:t>
            </w:r>
          </w:p>
        </w:tc>
      </w:tr>
      <w:tr w:rsidTr="007C67F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5E4">
            <w:pPr>
              <w:pStyle w:val="BodyText"/>
              <w:rPr>
                <w:lang w:val="en-NZ"/>
              </w:rPr>
            </w:pPr>
            <w:r w:rsidRPr="006715E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5E4">
            <w:pPr>
              <w:pStyle w:val="BodyText"/>
              <w:rPr>
                <w:lang w:val="en-NZ"/>
              </w:rPr>
            </w:pPr>
            <w:r w:rsidRPr="006715E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5E4" w:rsidP="006715E4">
            <w:pPr>
              <w:pStyle w:val="BodyText"/>
            </w:pPr>
            <w:r w:rsidRPr="006715E4">
              <w:t>Primary release.</w:t>
            </w:r>
          </w:p>
        </w:tc>
      </w:tr>
    </w:tbl>
    <w:p w:rsidR="007C67FF" w:rsidP="006715E4">
      <w:pPr>
        <w:pStyle w:val="BodyText"/>
      </w:pPr>
    </w:p>
    <w:p w:rsidR="007C67FF" w:rsidP="006715E4">
      <w:pPr>
        <w:pStyle w:val="BodyText"/>
      </w:pPr>
    </w:p>
    <w:p w:rsidR="00000000" w:rsidRPr="006715E4" w:rsidP="006715E4">
      <w:pPr>
        <w:pStyle w:val="Heading1"/>
      </w:pPr>
      <w:bookmarkStart w:id="2" w:name="O_497197"/>
      <w:bookmarkEnd w:id="2"/>
      <w:r w:rsidRPr="006715E4">
        <w:t>Unit Descriptor</w:t>
      </w:r>
    </w:p>
    <w:p w:rsidR="00000000" w:rsidRPr="006715E4" w:rsidP="006715E4">
      <w:pPr>
        <w:pStyle w:val="BodyText"/>
      </w:pPr>
      <w:r w:rsidRPr="006715E4">
        <w:t>This unit covers the management of planned change (rather than emergent change) that may be caused by restructuring or Machinery of Government chang</w:t>
      </w:r>
      <w:r w:rsidRPr="006715E4">
        <w:t>es, change imposed by others, or business unit initiated change. It includes confirming that change is required, determining the likely impact of change, developing a change management strategy, fostering commitment to workplace change, and implementing th</w:t>
      </w:r>
      <w:r w:rsidRPr="006715E4">
        <w:t>e change management strategy.</w:t>
      </w:r>
    </w:p>
    <w:p w:rsidR="00000000" w:rsidRPr="006715E4" w:rsidP="006715E4">
      <w:pPr>
        <w:pStyle w:val="BodyText"/>
      </w:pPr>
      <w:r w:rsidRPr="006715E4">
        <w:t>In practice, managing change occurs in the context of other generalist or specialist public sector workplace activities such as managing client service delivery, managing policy implementation, applying government systems, net</w:t>
      </w:r>
      <w:r w:rsidRPr="006715E4">
        <w:t>working etc.</w:t>
      </w:r>
    </w:p>
    <w:p w:rsidR="00000000" w:rsidRPr="006715E4" w:rsidP="006715E4">
      <w:pPr>
        <w:pStyle w:val="BodyText"/>
      </w:pPr>
      <w:r w:rsidRPr="006715E4">
        <w:t xml:space="preserve">This unit is one of 6 units of competency in the </w:t>
      </w:r>
      <w:r w:rsidRPr="006715E4">
        <w:rPr>
          <w:rStyle w:val="Emphasis"/>
        </w:rPr>
        <w:t>Working in Government</w:t>
      </w:r>
      <w:r w:rsidRPr="006715E4">
        <w:t xml:space="preserve"> and </w:t>
      </w:r>
      <w:r w:rsidRPr="006715E4">
        <w:rPr>
          <w:rStyle w:val="Emphasis"/>
        </w:rPr>
        <w:t>Management</w:t>
      </w:r>
      <w:r w:rsidRPr="006715E4">
        <w:t xml:space="preserve"> Competency fields that deal with change. Related units are:</w:t>
      </w:r>
    </w:p>
    <w:p w:rsidR="00000000" w:rsidRPr="006715E4" w:rsidP="006715E4">
      <w:pPr>
        <w:pStyle w:val="ListBullet"/>
      </w:pPr>
      <w:r w:rsidRPr="006715E4">
        <w:t>PSPGOV205B Participate in workplace change</w:t>
      </w:r>
    </w:p>
    <w:p w:rsidR="00000000" w:rsidRPr="006715E4" w:rsidP="006715E4">
      <w:pPr>
        <w:pStyle w:val="ListBullet"/>
      </w:pPr>
      <w:r w:rsidRPr="006715E4">
        <w:t>PSPGOV306B Implement change</w:t>
      </w:r>
    </w:p>
    <w:p w:rsidR="00000000" w:rsidRPr="006715E4" w:rsidP="006715E4">
      <w:pPr>
        <w:pStyle w:val="ListBullet"/>
      </w:pPr>
      <w:r w:rsidRPr="006715E4">
        <w:t>PSPGOV405B Provide input to change processes</w:t>
      </w:r>
    </w:p>
    <w:p w:rsidR="00000000" w:rsidRPr="006715E4" w:rsidP="006715E4">
      <w:pPr>
        <w:pStyle w:val="ListBullet"/>
      </w:pPr>
      <w:r w:rsidRPr="006715E4">
        <w:t>PSPGOV514A Facilitate change</w:t>
      </w:r>
    </w:p>
    <w:p w:rsidR="00000000" w:rsidRPr="006715E4" w:rsidP="006715E4">
      <w:pPr>
        <w:pStyle w:val="ListBullet"/>
      </w:pPr>
      <w:r w:rsidRPr="006715E4">
        <w:t>PSPMNGT703A Lead and influence change</w:t>
      </w:r>
    </w:p>
    <w:p w:rsidR="00000000" w:rsidRPr="006715E4" w:rsidP="006715E4">
      <w:pPr>
        <w:pStyle w:val="BodyText"/>
      </w:pPr>
      <w:r w:rsidRPr="006715E4">
        <w:t xml:space="preserve">This unit replaces and, for qualification purposes, is equivalent to </w:t>
      </w:r>
      <w:r w:rsidRPr="006715E4">
        <w:rPr>
          <w:rStyle w:val="Emphasis"/>
        </w:rPr>
        <w:t>PSPMNGT604A Manage change</w:t>
      </w:r>
      <w:r w:rsidRPr="006715E4">
        <w:t>. The unit no longer includes evaluation of change</w:t>
      </w:r>
      <w:r w:rsidRPr="006715E4">
        <w:t xml:space="preserve"> management strategies. Evaluation is addressed in </w:t>
      </w:r>
      <w:r w:rsidRPr="006715E4">
        <w:rPr>
          <w:rStyle w:val="Emphasis"/>
        </w:rPr>
        <w:t>PSPMNGT611A Manage evaluations</w:t>
      </w:r>
      <w:r w:rsidRPr="006715E4">
        <w:t xml:space="preserve"> in the </w:t>
      </w:r>
      <w:r w:rsidRPr="006715E4">
        <w:rPr>
          <w:rStyle w:val="Emphasis"/>
        </w:rPr>
        <w:t>Management</w:t>
      </w:r>
      <w:r w:rsidRPr="006715E4">
        <w:t xml:space="preserve"> Competency field of the Training Package.</w:t>
      </w:r>
    </w:p>
    <w:p w:rsidR="007C67FF" w:rsidP="006715E4">
      <w:pPr>
        <w:pStyle w:val="BodyText"/>
      </w:pPr>
      <w:r w:rsidRPr="006715E4">
        <w:t>No licensing, legislative, regulatory or certification requirements apply to this unit at the time of publication</w:t>
      </w:r>
    </w:p>
    <w:p w:rsidR="007C67FF" w:rsidP="006715E4">
      <w:pPr>
        <w:pStyle w:val="BodyText"/>
      </w:pPr>
    </w:p>
    <w:p w:rsidR="00000000" w:rsidRPr="006715E4" w:rsidP="006715E4">
      <w:pPr>
        <w:pStyle w:val="Heading1"/>
      </w:pPr>
      <w:bookmarkStart w:id="3" w:name="O_497205"/>
      <w:bookmarkEnd w:id="3"/>
      <w:r w:rsidRPr="006715E4">
        <w:t>Application of the Unit</w:t>
      </w:r>
    </w:p>
    <w:p w:rsidR="00000000" w:rsidRPr="006715E4" w:rsidP="006715E4">
      <w:pPr>
        <w:pStyle w:val="BodyText"/>
      </w:pPr>
      <w:r w:rsidRPr="006715E4">
        <w:t>Not applicable.</w:t>
      </w:r>
    </w:p>
    <w:p w:rsidR="00000000" w:rsidRPr="006715E4" w:rsidP="006715E4">
      <w:pPr>
        <w:pStyle w:val="AllowPageBreak"/>
      </w:pPr>
    </w:p>
    <w:p w:rsidR="00000000" w:rsidRPr="006715E4" w:rsidP="006715E4">
      <w:pPr>
        <w:pStyle w:val="Heading1"/>
      </w:pPr>
      <w:bookmarkStart w:id="4" w:name="O_497195"/>
      <w:bookmarkEnd w:id="4"/>
      <w:r w:rsidRPr="006715E4">
        <w:t>Licensing/Regulatory Information</w:t>
      </w:r>
    </w:p>
    <w:p w:rsidR="00000000" w:rsidRPr="006715E4" w:rsidP="006715E4">
      <w:pPr>
        <w:pStyle w:val="BodyText"/>
      </w:pPr>
      <w:r w:rsidRPr="006715E4">
        <w:t>Not applicable.</w:t>
      </w:r>
    </w:p>
    <w:p w:rsidR="00000000" w:rsidRPr="006715E4" w:rsidP="006715E4">
      <w:pPr>
        <w:pStyle w:val="AllowPageBreak"/>
      </w:pPr>
    </w:p>
    <w:p w:rsidR="00000000" w:rsidRPr="006715E4" w:rsidP="006715E4">
      <w:pPr>
        <w:pStyle w:val="Heading1"/>
      </w:pPr>
      <w:bookmarkStart w:id="5" w:name="O_497199"/>
      <w:bookmarkEnd w:id="5"/>
      <w:r w:rsidRPr="006715E4">
        <w:t>Pre-Requisites</w:t>
      </w:r>
    </w:p>
    <w:p w:rsidR="00000000" w:rsidRPr="006715E4" w:rsidP="006715E4">
      <w:pPr>
        <w:pStyle w:val="BodyText"/>
      </w:pPr>
      <w:r w:rsidRPr="006715E4">
        <w:t>Not applicable.</w:t>
      </w:r>
    </w:p>
    <w:p w:rsidR="00000000" w:rsidRPr="006715E4" w:rsidP="006715E4">
      <w:pPr>
        <w:pStyle w:val="AllowPageBreak"/>
      </w:pPr>
    </w:p>
    <w:p w:rsidR="00000000" w:rsidRPr="006715E4" w:rsidP="006715E4">
      <w:pPr>
        <w:pStyle w:val="Heading1"/>
      </w:pPr>
      <w:bookmarkStart w:id="6" w:name="O_497201"/>
      <w:bookmarkEnd w:id="6"/>
      <w:r w:rsidRPr="006715E4">
        <w:t>Employability Skills Information</w:t>
      </w:r>
    </w:p>
    <w:p w:rsidR="00000000" w:rsidRPr="006715E4" w:rsidP="006715E4">
      <w:pPr>
        <w:pStyle w:val="BodyText"/>
      </w:pPr>
      <w:r w:rsidRPr="006715E4">
        <w:t>This unit contains employability skills.</w:t>
      </w:r>
    </w:p>
    <w:p w:rsidR="00000000" w:rsidRPr="006715E4" w:rsidP="006715E4">
      <w:pPr>
        <w:pStyle w:val="AllowPageBreak"/>
      </w:pPr>
    </w:p>
    <w:p w:rsidR="00000000" w:rsidRPr="006715E4" w:rsidP="006715E4">
      <w:pPr>
        <w:pStyle w:val="Heading1"/>
      </w:pPr>
      <w:bookmarkStart w:id="7" w:name="O_497202"/>
      <w:bookmarkEnd w:id="7"/>
      <w:r w:rsidRPr="006715E4">
        <w:t>Elements and Performance Criteria Pre-Content</w:t>
      </w:r>
    </w:p>
    <w:tbl>
      <w:tblPr>
        <w:tblW w:w="9322" w:type="dxa"/>
        <w:tblLayout w:type="fixed"/>
        <w:tblCellMar>
          <w:left w:w="62" w:type="dxa"/>
          <w:right w:w="62" w:type="dxa"/>
        </w:tblCellMar>
        <w:tblLook w:val="0000"/>
      </w:tblPr>
      <w:tblGrid>
        <w:gridCol w:w="2660"/>
        <w:gridCol w:w="6662"/>
      </w:tblGrid>
      <w:tr w:rsidTr="007C67F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15E4">
            <w:pPr>
              <w:pStyle w:val="BodyText"/>
              <w:rPr>
                <w:lang w:val="en-NZ"/>
              </w:rPr>
            </w:pPr>
            <w:r w:rsidRPr="006715E4">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6715E4" w:rsidP="006715E4">
            <w:pPr>
              <w:pStyle w:val="BodyText"/>
            </w:pPr>
            <w:r w:rsidRPr="006715E4">
              <w:t xml:space="preserve">Together, performance criteria specify the requirements for competent performance. Text in </w:t>
            </w:r>
            <w:r w:rsidRPr="006715E4">
              <w:rPr>
                <w:rStyle w:val="BoldandItalics"/>
              </w:rPr>
              <w:t xml:space="preserve">bold italics </w:t>
            </w:r>
            <w:r w:rsidRPr="006715E4">
              <w:t xml:space="preserve"> is explained in the Range Statement following.</w:t>
            </w:r>
          </w:p>
        </w:tc>
      </w:tr>
    </w:tbl>
    <w:p w:rsidR="00000000" w:rsidRPr="006715E4" w:rsidP="006715E4">
      <w:pPr>
        <w:pStyle w:val="BodyText"/>
      </w:pPr>
    </w:p>
    <w:p w:rsidR="00000000" w:rsidRPr="006715E4" w:rsidP="006715E4">
      <w:pPr>
        <w:pStyle w:val="AllowPageBreak"/>
      </w:pPr>
    </w:p>
    <w:p w:rsidR="00000000" w:rsidRPr="006715E4" w:rsidP="006715E4">
      <w:pPr>
        <w:pStyle w:val="Heading1"/>
      </w:pPr>
      <w:bookmarkStart w:id="8" w:name="O_497204"/>
      <w:bookmarkEnd w:id="8"/>
      <w:r w:rsidRPr="006715E4">
        <w:t>Elements and Performance Criteria</w:t>
      </w:r>
    </w:p>
    <w:tbl>
      <w:tblPr>
        <w:tblW w:w="9322" w:type="dxa"/>
        <w:tblLayout w:type="fixed"/>
        <w:tblCellMar>
          <w:left w:w="62" w:type="dxa"/>
          <w:right w:w="62" w:type="dxa"/>
        </w:tblCellMar>
        <w:tblLook w:val="0000"/>
      </w:tblPr>
      <w:tblGrid>
        <w:gridCol w:w="2660"/>
        <w:gridCol w:w="6662"/>
      </w:tblGrid>
      <w:tr w:rsidTr="007C67FF">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6715E4" w:rsidP="006715E4">
            <w:pPr>
              <w:pStyle w:val="BodyText"/>
            </w:pPr>
            <w:r w:rsidRPr="006715E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715E4">
            <w:pPr>
              <w:pStyle w:val="BodyText"/>
              <w:rPr>
                <w:lang w:val="en-NZ"/>
              </w:rPr>
            </w:pPr>
            <w:r w:rsidRPr="006715E4">
              <w:rPr>
                <w:rStyle w:val="SpecialBold"/>
              </w:rPr>
              <w:t>PERFORMANCE CRITERIA</w:t>
            </w:r>
          </w:p>
        </w:tc>
      </w:tr>
      <w:tr w:rsidTr="007C67F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15E4">
            <w:pPr>
              <w:pStyle w:val="List"/>
              <w:rPr>
                <w:lang w:val="en-NZ"/>
              </w:rPr>
            </w:pPr>
            <w:r w:rsidRPr="006715E4">
              <w:rPr>
                <w:rStyle w:val="SpecialBold"/>
              </w:rPr>
              <w:t>1</w:t>
            </w:r>
            <w:r w:rsidRPr="006715E4">
              <w:t>.</w:t>
            </w:r>
            <w:r w:rsidRPr="006715E4">
              <w:tab/>
            </w:r>
            <w:r w:rsidRPr="006715E4">
              <w:rPr>
                <w:rStyle w:val="SpecialBold"/>
              </w:rPr>
              <w:t>Confirm that chang</w:t>
            </w:r>
            <w:r w:rsidRPr="006715E4">
              <w:rPr>
                <w:rStyle w:val="SpecialBold"/>
              </w:rPr>
              <w:t>e is required</w:t>
            </w:r>
          </w:p>
        </w:tc>
        <w:tc>
          <w:tcPr>
            <w:tcW w:w="6662" w:type="dxa"/>
            <w:tcBorders>
              <w:top w:val="nil"/>
              <w:left w:val="nil"/>
              <w:bottom w:val="nil"/>
              <w:right w:val="nil"/>
            </w:tcBorders>
            <w:tcMar>
              <w:top w:w="0" w:type="dxa"/>
              <w:left w:w="62" w:type="dxa"/>
              <w:bottom w:w="0" w:type="dxa"/>
              <w:right w:w="62" w:type="dxa"/>
            </w:tcMar>
          </w:tcPr>
          <w:p w:rsidR="00000000" w:rsidRPr="006715E4" w:rsidP="006715E4">
            <w:pPr>
              <w:pStyle w:val="List"/>
            </w:pPr>
            <w:r w:rsidRPr="006715E4">
              <w:t>1.1</w:t>
            </w:r>
            <w:r w:rsidRPr="006715E4">
              <w:tab/>
              <w:t xml:space="preserve">The requirement for </w:t>
            </w:r>
            <w:r w:rsidRPr="006715E4">
              <w:rPr>
                <w:rStyle w:val="BoldandItalics"/>
              </w:rPr>
              <w:t xml:space="preserve">change </w:t>
            </w:r>
            <w:r w:rsidRPr="006715E4">
              <w:t>is confirmed through consideration of factors impacting upon the</w:t>
            </w:r>
            <w:r w:rsidRPr="006715E4">
              <w:rPr>
                <w:rStyle w:val="BoldandItalics"/>
              </w:rPr>
              <w:t xml:space="preserve"> business unit</w:t>
            </w:r>
            <w:r w:rsidRPr="006715E4">
              <w:t>, the organisation or within the political environment.</w:t>
            </w:r>
          </w:p>
          <w:p w:rsidR="00000000" w:rsidRPr="006715E4" w:rsidP="006715E4">
            <w:pPr>
              <w:pStyle w:val="List"/>
            </w:pPr>
            <w:r w:rsidRPr="006715E4">
              <w:t>1.2</w:t>
            </w:r>
            <w:r w:rsidRPr="006715E4">
              <w:tab/>
              <w:t xml:space="preserve">Key </w:t>
            </w:r>
            <w:r w:rsidRPr="006715E4">
              <w:rPr>
                <w:rStyle w:val="BoldandItalics"/>
              </w:rPr>
              <w:t xml:space="preserve">stakeholders </w:t>
            </w:r>
            <w:r w:rsidRPr="006715E4">
              <w:t>are consulted in establishing that change is required/im</w:t>
            </w:r>
            <w:r w:rsidRPr="006715E4">
              <w:t>minent and the nature of the change.</w:t>
            </w:r>
          </w:p>
          <w:p w:rsidR="00000000" w:rsidRPr="006715E4" w:rsidP="006715E4">
            <w:pPr>
              <w:pStyle w:val="List"/>
            </w:pPr>
            <w:r w:rsidRPr="006715E4">
              <w:t>1.3</w:t>
            </w:r>
            <w:r w:rsidRPr="006715E4">
              <w:tab/>
              <w:t>Benchmarking is conducted with other similar organisations/functions/best practice standards to confirm the need for change.</w:t>
            </w:r>
          </w:p>
          <w:p w:rsidR="00000000" w:rsidRPr="006715E4" w:rsidP="006715E4">
            <w:pPr>
              <w:pStyle w:val="List"/>
            </w:pPr>
            <w:r w:rsidRPr="006715E4">
              <w:t>1.4</w:t>
            </w:r>
            <w:r w:rsidRPr="006715E4">
              <w:tab/>
            </w:r>
            <w:r w:rsidRPr="006715E4">
              <w:t>Specialists and experts are consulted as required to assist in the identification of major change requirements or opportunities.</w:t>
            </w:r>
          </w:p>
          <w:p w:rsidR="00000000" w:rsidP="006715E4">
            <w:pPr>
              <w:pStyle w:val="List"/>
              <w:rPr>
                <w:lang w:val="en-NZ"/>
              </w:rPr>
            </w:pPr>
            <w:r w:rsidRPr="006715E4">
              <w:t>1.5</w:t>
            </w:r>
            <w:r w:rsidRPr="006715E4">
              <w:tab/>
              <w:t>The need for management support, expertise and advice is identified and addressed to maximise the advantages of change mana</w:t>
            </w:r>
            <w:r w:rsidRPr="006715E4">
              <w:t>gement strategies.</w:t>
            </w:r>
          </w:p>
        </w:tc>
      </w:tr>
      <w:tr w:rsidTr="007C67F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15E4">
            <w:pPr>
              <w:pStyle w:val="List"/>
              <w:rPr>
                <w:lang w:val="en-NZ"/>
              </w:rPr>
            </w:pPr>
            <w:r w:rsidRPr="006715E4">
              <w:rPr>
                <w:rStyle w:val="SpecialBold"/>
              </w:rPr>
              <w:t>2</w:t>
            </w:r>
            <w:r w:rsidRPr="006715E4">
              <w:t>.</w:t>
            </w:r>
            <w:r w:rsidRPr="006715E4">
              <w:tab/>
            </w:r>
            <w:r w:rsidRPr="006715E4">
              <w:rPr>
                <w:rStyle w:val="SpecialBold"/>
              </w:rPr>
              <w:t>Determine the likely impact of change</w:t>
            </w:r>
          </w:p>
        </w:tc>
        <w:tc>
          <w:tcPr>
            <w:tcW w:w="6662" w:type="dxa"/>
            <w:tcBorders>
              <w:top w:val="nil"/>
              <w:left w:val="nil"/>
              <w:bottom w:val="nil"/>
              <w:right w:val="nil"/>
            </w:tcBorders>
            <w:tcMar>
              <w:top w:w="0" w:type="dxa"/>
              <w:left w:w="62" w:type="dxa"/>
              <w:bottom w:w="0" w:type="dxa"/>
              <w:right w:w="62" w:type="dxa"/>
            </w:tcMar>
          </w:tcPr>
          <w:p w:rsidR="00000000" w:rsidRPr="006715E4" w:rsidP="006715E4">
            <w:pPr>
              <w:pStyle w:val="List"/>
            </w:pPr>
            <w:r w:rsidRPr="006715E4">
              <w:t>2.1</w:t>
            </w:r>
            <w:r w:rsidRPr="006715E4">
              <w:tab/>
              <w:t>The proposed change is analysed in relation to organisational structure and function, and business unit strategic objectives.</w:t>
            </w:r>
          </w:p>
          <w:p w:rsidR="00000000" w:rsidRPr="006715E4" w:rsidP="006715E4">
            <w:pPr>
              <w:pStyle w:val="List"/>
            </w:pPr>
            <w:r w:rsidRPr="006715E4">
              <w:t>2.2</w:t>
            </w:r>
            <w:r w:rsidRPr="006715E4">
              <w:tab/>
              <w:t>The individuals, groups and others likely to be affected by c</w:t>
            </w:r>
            <w:r w:rsidRPr="006715E4">
              <w:t>hange are identified and their expectations and concerns are identified.</w:t>
            </w:r>
          </w:p>
          <w:p w:rsidR="00000000" w:rsidRPr="006715E4" w:rsidP="006715E4">
            <w:pPr>
              <w:pStyle w:val="List"/>
            </w:pPr>
            <w:r w:rsidRPr="006715E4">
              <w:t>2.3</w:t>
            </w:r>
            <w:r w:rsidRPr="006715E4">
              <w:tab/>
              <w:t>The eventual impact of the proposed change on employees and employee relations within the business unit is identified and explained in line with individuals' specific needs and th</w:t>
            </w:r>
            <w:r w:rsidRPr="006715E4">
              <w:t>eir differing responses to change.</w:t>
            </w:r>
          </w:p>
          <w:p w:rsidR="00000000" w:rsidRPr="006715E4" w:rsidP="006715E4">
            <w:pPr>
              <w:pStyle w:val="List"/>
            </w:pPr>
            <w:r w:rsidRPr="006715E4">
              <w:t>2.4</w:t>
            </w:r>
            <w:r w:rsidRPr="006715E4">
              <w:tab/>
              <w:t>Options and specific proposals for change and the consequences are discussed with staff and feedback is invited to ensure that people are involved in the decisions that affect them.</w:t>
            </w:r>
          </w:p>
          <w:p w:rsidR="00000000" w:rsidRPr="006715E4" w:rsidP="006715E4">
            <w:pPr>
              <w:pStyle w:val="List"/>
            </w:pPr>
            <w:r w:rsidRPr="006715E4">
              <w:t>2.5</w:t>
            </w:r>
            <w:r w:rsidRPr="006715E4">
              <w:tab/>
              <w:t>Potential risks associated with</w:t>
            </w:r>
            <w:r w:rsidRPr="006715E4">
              <w:t xml:space="preserve"> change are identified and planned for in accordance with the organisation's risk management procedures.</w:t>
            </w:r>
          </w:p>
          <w:p w:rsidR="00000000" w:rsidP="006715E4">
            <w:pPr>
              <w:pStyle w:val="List"/>
              <w:rPr>
                <w:lang w:val="en-NZ"/>
              </w:rPr>
            </w:pPr>
            <w:r w:rsidRPr="006715E4">
              <w:t>2.6</w:t>
            </w:r>
            <w:r w:rsidRPr="006715E4">
              <w:tab/>
              <w:t>The requirements and planned outcomes for change are communicated in accordance with government requirements.</w:t>
            </w:r>
          </w:p>
        </w:tc>
      </w:tr>
      <w:tr w:rsidTr="007C67F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15E4">
            <w:pPr>
              <w:pStyle w:val="List"/>
              <w:rPr>
                <w:lang w:val="en-NZ"/>
              </w:rPr>
            </w:pPr>
            <w:r w:rsidRPr="006715E4">
              <w:rPr>
                <w:rStyle w:val="SpecialBold"/>
              </w:rPr>
              <w:t>3</w:t>
            </w:r>
            <w:r w:rsidRPr="006715E4">
              <w:t>.</w:t>
            </w:r>
            <w:r w:rsidRPr="006715E4">
              <w:tab/>
            </w:r>
            <w:r w:rsidRPr="006715E4">
              <w:rPr>
                <w:rStyle w:val="SpecialBold"/>
              </w:rPr>
              <w:t>Develop a change management strat</w:t>
            </w:r>
            <w:r w:rsidRPr="006715E4">
              <w:rPr>
                <w:rStyle w:val="SpecialBold"/>
              </w:rPr>
              <w:t>egy</w:t>
            </w:r>
          </w:p>
        </w:tc>
        <w:tc>
          <w:tcPr>
            <w:tcW w:w="6662" w:type="dxa"/>
            <w:tcBorders>
              <w:top w:val="nil"/>
              <w:left w:val="nil"/>
              <w:bottom w:val="nil"/>
              <w:right w:val="nil"/>
            </w:tcBorders>
            <w:tcMar>
              <w:top w:w="0" w:type="dxa"/>
              <w:left w:w="62" w:type="dxa"/>
              <w:bottom w:w="0" w:type="dxa"/>
              <w:right w:w="62" w:type="dxa"/>
            </w:tcMar>
          </w:tcPr>
          <w:p w:rsidR="00000000" w:rsidRPr="006715E4" w:rsidP="006715E4">
            <w:pPr>
              <w:pStyle w:val="List"/>
            </w:pPr>
            <w:r w:rsidRPr="006715E4">
              <w:t>3.1</w:t>
            </w:r>
            <w:r w:rsidRPr="006715E4">
              <w:tab/>
              <w:t>Change management strategy and related communication strategies are prepared participatively with key stakeholders.</w:t>
            </w:r>
          </w:p>
          <w:p w:rsidR="00000000" w:rsidRPr="006715E4" w:rsidP="006715E4">
            <w:pPr>
              <w:pStyle w:val="List"/>
            </w:pPr>
            <w:r w:rsidRPr="006715E4">
              <w:t>3.2</w:t>
            </w:r>
            <w:r w:rsidRPr="006715E4">
              <w:tab/>
              <w:t xml:space="preserve">The </w:t>
            </w:r>
            <w:r w:rsidRPr="006715E4">
              <w:rPr>
                <w:rStyle w:val="BoldandItalics"/>
              </w:rPr>
              <w:t xml:space="preserve">strategy </w:t>
            </w:r>
            <w:r w:rsidRPr="006715E4">
              <w:t>is structured to address the transition from present to future arrangements and identifies tactics for dealing with</w:t>
            </w:r>
            <w:r w:rsidRPr="006715E4">
              <w:t xml:space="preserve"> ambiguity in roles, functions, organisational priorities or structures.</w:t>
            </w:r>
          </w:p>
          <w:p w:rsidR="00000000" w:rsidRPr="006715E4" w:rsidP="006715E4">
            <w:pPr>
              <w:pStyle w:val="List"/>
            </w:pPr>
            <w:r w:rsidRPr="006715E4">
              <w:t>3.3</w:t>
            </w:r>
            <w:r w:rsidRPr="006715E4">
              <w:tab/>
              <w:t>Future trends and organisational needs are discussed and considered in the process of developing strategies for dealing with change.</w:t>
            </w:r>
          </w:p>
          <w:p w:rsidR="00000000" w:rsidRPr="006715E4" w:rsidP="006715E4">
            <w:pPr>
              <w:pStyle w:val="List"/>
            </w:pPr>
            <w:r w:rsidRPr="006715E4">
              <w:t>3.4</w:t>
            </w:r>
            <w:r w:rsidRPr="006715E4">
              <w:tab/>
              <w:t xml:space="preserve">Change management activities are designed </w:t>
            </w:r>
            <w:r w:rsidRPr="006715E4">
              <w:t>to comply with the framework provided by relevant</w:t>
            </w:r>
            <w:r w:rsidRPr="006715E4">
              <w:rPr>
                <w:rStyle w:val="BoldandItalics"/>
              </w:rPr>
              <w:t xml:space="preserve"> legislation and organisational policy</w:t>
            </w:r>
            <w:r w:rsidRPr="006715E4">
              <w:rPr>
                <w:rStyle w:val="Emphasis"/>
              </w:rPr>
              <w:t>.</w:t>
            </w:r>
          </w:p>
          <w:p w:rsidR="00000000" w:rsidRPr="006715E4" w:rsidP="006715E4">
            <w:pPr>
              <w:pStyle w:val="List"/>
            </w:pPr>
            <w:r w:rsidRPr="006715E4">
              <w:t>3.5</w:t>
            </w:r>
            <w:r w:rsidRPr="006715E4">
              <w:tab/>
              <w:t>Time schedules, performance standards and</w:t>
            </w:r>
            <w:r w:rsidRPr="006715E4">
              <w:rPr>
                <w:rStyle w:val="BoldandItalics"/>
              </w:rPr>
              <w:t xml:space="preserve"> interim checkpoints</w:t>
            </w:r>
            <w:r w:rsidRPr="006715E4">
              <w:t xml:space="preserve"> are devised for change management strategies.</w:t>
            </w:r>
          </w:p>
          <w:p w:rsidR="00000000" w:rsidP="006715E4">
            <w:pPr>
              <w:pStyle w:val="List"/>
              <w:rPr>
                <w:lang w:val="en-NZ"/>
              </w:rPr>
            </w:pPr>
            <w:r w:rsidRPr="006715E4">
              <w:t>3.6</w:t>
            </w:r>
            <w:r w:rsidRPr="006715E4">
              <w:tab/>
              <w:t xml:space="preserve">Approval to implement the chosen change management </w:t>
            </w:r>
            <w:r w:rsidRPr="006715E4">
              <w:t>strategy is obtained from senior management.</w:t>
            </w:r>
          </w:p>
        </w:tc>
      </w:tr>
      <w:tr w:rsidTr="007C67F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15E4">
            <w:pPr>
              <w:pStyle w:val="List"/>
              <w:rPr>
                <w:lang w:val="en-NZ"/>
              </w:rPr>
            </w:pPr>
            <w:r w:rsidRPr="006715E4">
              <w:rPr>
                <w:rStyle w:val="SpecialBold"/>
              </w:rPr>
              <w:t>4</w:t>
            </w:r>
            <w:r w:rsidRPr="006715E4">
              <w:t>.</w:t>
            </w:r>
            <w:r w:rsidRPr="006715E4">
              <w:tab/>
            </w:r>
            <w:r w:rsidRPr="006715E4">
              <w:rPr>
                <w:rStyle w:val="SpecialBold"/>
              </w:rPr>
              <w:t>Foster commitment to workplace change</w:t>
            </w:r>
          </w:p>
        </w:tc>
        <w:tc>
          <w:tcPr>
            <w:tcW w:w="6662" w:type="dxa"/>
            <w:tcBorders>
              <w:top w:val="nil"/>
              <w:left w:val="nil"/>
              <w:bottom w:val="nil"/>
              <w:right w:val="nil"/>
            </w:tcBorders>
            <w:tcMar>
              <w:top w:w="0" w:type="dxa"/>
              <w:left w:w="62" w:type="dxa"/>
              <w:bottom w:w="0" w:type="dxa"/>
              <w:right w:w="62" w:type="dxa"/>
            </w:tcMar>
          </w:tcPr>
          <w:p w:rsidR="00000000" w:rsidRPr="006715E4" w:rsidP="006715E4">
            <w:pPr>
              <w:pStyle w:val="List"/>
            </w:pPr>
            <w:r w:rsidRPr="006715E4">
              <w:t>4.1</w:t>
            </w:r>
            <w:r w:rsidRPr="006715E4">
              <w:tab/>
              <w:t xml:space="preserve">A range of </w:t>
            </w:r>
            <w:r w:rsidRPr="006715E4">
              <w:rPr>
                <w:rStyle w:val="BoldandItalics"/>
              </w:rPr>
              <w:t xml:space="preserve">strategies </w:t>
            </w:r>
            <w:r w:rsidRPr="006715E4">
              <w:t>is used to foster a positive attitude to change, especially from the individuals on whom the organisational change will have the most effect.</w:t>
            </w:r>
          </w:p>
          <w:p w:rsidR="00000000" w:rsidRPr="006715E4" w:rsidP="006715E4">
            <w:pPr>
              <w:pStyle w:val="List"/>
            </w:pPr>
            <w:r w:rsidRPr="006715E4">
              <w:t>4</w:t>
            </w:r>
            <w:r w:rsidRPr="006715E4">
              <w:t>.2</w:t>
            </w:r>
            <w:r w:rsidRPr="006715E4">
              <w:tab/>
              <w:t>Advice is provided to key stakeholders on strategies for effective change management and sensitivity is shown to people's individual responses to change.</w:t>
            </w:r>
          </w:p>
          <w:p w:rsidR="00000000" w:rsidRPr="006715E4" w:rsidP="006715E4">
            <w:pPr>
              <w:pStyle w:val="List"/>
            </w:pPr>
            <w:r w:rsidRPr="006715E4">
              <w:t>4.3</w:t>
            </w:r>
            <w:r w:rsidRPr="006715E4">
              <w:tab/>
              <w:t>Resources required to implement change within the business unit are obtained and used.</w:t>
            </w:r>
          </w:p>
          <w:p w:rsidR="00000000" w:rsidP="006715E4">
            <w:pPr>
              <w:pStyle w:val="List"/>
              <w:rPr>
                <w:lang w:val="en-NZ"/>
              </w:rPr>
            </w:pPr>
            <w:r w:rsidRPr="006715E4">
              <w:t>4.4</w:t>
            </w:r>
            <w:r w:rsidRPr="006715E4">
              <w:tab/>
            </w:r>
            <w:r w:rsidRPr="006715E4">
              <w:rPr>
                <w:rStyle w:val="BoldandItalics"/>
              </w:rPr>
              <w:t xml:space="preserve">Leadership </w:t>
            </w:r>
            <w:r w:rsidRPr="006715E4">
              <w:t xml:space="preserve">and communication </w:t>
            </w:r>
            <w:r w:rsidRPr="006715E4">
              <w:rPr>
                <w:rStyle w:val="BoldandItalics"/>
              </w:rPr>
              <w:t xml:space="preserve">strategies </w:t>
            </w:r>
            <w:r w:rsidRPr="006715E4">
              <w:t>are used to assist others to deal with ambiguity and adapt to change.</w:t>
            </w:r>
          </w:p>
        </w:tc>
      </w:tr>
      <w:tr w:rsidTr="007C67F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15E4">
            <w:pPr>
              <w:pStyle w:val="List"/>
              <w:rPr>
                <w:lang w:val="en-NZ"/>
              </w:rPr>
            </w:pPr>
            <w:r w:rsidRPr="006715E4">
              <w:rPr>
                <w:rStyle w:val="SpecialBold"/>
              </w:rPr>
              <w:t>5</w:t>
            </w:r>
            <w:r w:rsidRPr="006715E4">
              <w:t>.</w:t>
            </w:r>
            <w:r w:rsidRPr="006715E4">
              <w:tab/>
            </w:r>
            <w:r w:rsidRPr="006715E4">
              <w:rPr>
                <w:rStyle w:val="SpecialBold"/>
              </w:rPr>
              <w:t>Implement a change management strategy</w:t>
            </w:r>
          </w:p>
        </w:tc>
        <w:tc>
          <w:tcPr>
            <w:tcW w:w="6662" w:type="dxa"/>
            <w:tcBorders>
              <w:top w:val="nil"/>
              <w:left w:val="nil"/>
              <w:bottom w:val="nil"/>
              <w:right w:val="nil"/>
            </w:tcBorders>
            <w:tcMar>
              <w:top w:w="0" w:type="dxa"/>
              <w:left w:w="62" w:type="dxa"/>
              <w:bottom w:w="0" w:type="dxa"/>
              <w:right w:w="62" w:type="dxa"/>
            </w:tcMar>
          </w:tcPr>
          <w:p w:rsidR="00000000" w:rsidRPr="006715E4" w:rsidP="006715E4">
            <w:pPr>
              <w:pStyle w:val="List"/>
            </w:pPr>
            <w:r w:rsidRPr="006715E4">
              <w:t>5.1</w:t>
            </w:r>
            <w:r w:rsidRPr="006715E4">
              <w:tab/>
              <w:t>Policies, practices and procedures are altered and implemented as required to suppo</w:t>
            </w:r>
            <w:r w:rsidRPr="006715E4">
              <w:t>rt the change management strategy.</w:t>
            </w:r>
          </w:p>
          <w:p w:rsidR="00000000" w:rsidRPr="006715E4" w:rsidP="006715E4">
            <w:pPr>
              <w:pStyle w:val="List"/>
            </w:pPr>
            <w:r w:rsidRPr="006715E4">
              <w:t>5.2</w:t>
            </w:r>
            <w:r w:rsidRPr="006715E4">
              <w:tab/>
            </w:r>
            <w:r w:rsidRPr="006715E4">
              <w:rPr>
                <w:rStyle w:val="BoldandItalics"/>
              </w:rPr>
              <w:t xml:space="preserve">Barriers to change </w:t>
            </w:r>
            <w:r w:rsidRPr="006715E4">
              <w:t>are identified and addressed in accordance with the organisation's risk management plan.</w:t>
            </w:r>
          </w:p>
          <w:p w:rsidR="00000000" w:rsidRPr="006715E4" w:rsidP="006715E4">
            <w:pPr>
              <w:pStyle w:val="List"/>
            </w:pPr>
            <w:r w:rsidRPr="006715E4">
              <w:t>5.3</w:t>
            </w:r>
            <w:r w:rsidRPr="006715E4">
              <w:tab/>
              <w:t>Priorities are identified, reviewed and renegotiated with key stakeholders in light of changing circumsta</w:t>
            </w:r>
            <w:r w:rsidRPr="006715E4">
              <w:t>nces.</w:t>
            </w:r>
          </w:p>
          <w:p w:rsidR="00000000" w:rsidRPr="006715E4" w:rsidP="006715E4">
            <w:pPr>
              <w:pStyle w:val="List"/>
            </w:pPr>
            <w:r w:rsidRPr="006715E4">
              <w:t>5.4</w:t>
            </w:r>
            <w:r w:rsidRPr="006715E4">
              <w:tab/>
              <w:t>Strategies for embedding the change are activated in accordance with the change management strategy.</w:t>
            </w:r>
          </w:p>
          <w:p w:rsidR="00000000" w:rsidRPr="006715E4" w:rsidP="006715E4">
            <w:pPr>
              <w:pStyle w:val="List"/>
            </w:pPr>
            <w:r w:rsidRPr="006715E4">
              <w:t>5.5</w:t>
            </w:r>
            <w:r w:rsidRPr="006715E4">
              <w:tab/>
              <w:t>A system/process and performance indicators are developed to monitor the impact of change.</w:t>
            </w:r>
          </w:p>
          <w:p w:rsidR="00000000" w:rsidRPr="006715E4" w:rsidP="006715E4">
            <w:pPr>
              <w:pStyle w:val="List"/>
            </w:pPr>
            <w:r w:rsidRPr="006715E4">
              <w:t>5.6</w:t>
            </w:r>
            <w:r w:rsidRPr="006715E4">
              <w:tab/>
              <w:t xml:space="preserve">Adjustments to the change management strategy </w:t>
            </w:r>
            <w:r w:rsidRPr="006715E4">
              <w:t>are implemented if necessary as a result of performance monitoring, to ensure change is managed effectively for sustained positive outcomes.</w:t>
            </w:r>
          </w:p>
        </w:tc>
      </w:tr>
    </w:tbl>
    <w:p w:rsidR="00000000" w:rsidRPr="006715E4" w:rsidP="006715E4">
      <w:pPr>
        <w:pStyle w:val="BodyText"/>
      </w:pPr>
    </w:p>
    <w:p w:rsidR="00000000" w:rsidRPr="006715E4" w:rsidP="006715E4">
      <w:pPr>
        <w:pStyle w:val="AllowPageBreak"/>
      </w:pPr>
    </w:p>
    <w:p w:rsidR="00000000" w:rsidRPr="006715E4" w:rsidP="006715E4">
      <w:pPr>
        <w:pStyle w:val="Heading1"/>
      </w:pPr>
      <w:bookmarkStart w:id="9" w:name="O_497196"/>
      <w:bookmarkEnd w:id="9"/>
      <w:r w:rsidRPr="006715E4">
        <w:t>Required Skills and Knowledge</w:t>
      </w:r>
    </w:p>
    <w:tbl>
      <w:tblPr>
        <w:tblW w:w="0" w:type="auto"/>
        <w:tblLayout w:type="fixed"/>
        <w:tblCellMar>
          <w:left w:w="62" w:type="dxa"/>
          <w:right w:w="62" w:type="dxa"/>
        </w:tblCellMar>
        <w:tblLook w:val="0000"/>
      </w:tblPr>
      <w:tblGrid>
        <w:gridCol w:w="8553"/>
      </w:tblGrid>
      <w:tr w:rsidTr="007C67FF">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6715E4">
            <w:pPr>
              <w:pStyle w:val="BodyText"/>
              <w:rPr>
                <w:lang w:val="en-NZ"/>
              </w:rPr>
            </w:pPr>
            <w:r w:rsidRPr="006715E4">
              <w:t>This section describes the essential skills and knowledge and thei</w:t>
            </w:r>
            <w:r w:rsidRPr="006715E4">
              <w:t>r level, required for this unit.</w:t>
            </w:r>
          </w:p>
        </w:tc>
      </w:tr>
      <w:tr w:rsidTr="007C67FF">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6715E4" w:rsidP="006715E4">
            <w:pPr>
              <w:pStyle w:val="BodyText"/>
            </w:pPr>
            <w:r w:rsidRPr="006715E4">
              <w:rPr>
                <w:rStyle w:val="SpecialBold"/>
              </w:rPr>
              <w:t>Skill requirements</w:t>
            </w:r>
          </w:p>
          <w:p w:rsidR="00000000" w:rsidRPr="006715E4" w:rsidP="006715E4">
            <w:pPr>
              <w:pStyle w:val="BodyText"/>
            </w:pPr>
            <w:r w:rsidRPr="006715E4">
              <w:t>Look for evidence that confirms skills in:</w:t>
            </w:r>
          </w:p>
          <w:p w:rsidR="00000000" w:rsidRPr="006715E4" w:rsidP="006715E4">
            <w:pPr>
              <w:pStyle w:val="ListBullet2"/>
            </w:pPr>
            <w:r w:rsidRPr="006715E4">
              <w:t xml:space="preserve">influencing and counselling in the context of change management </w:t>
            </w:r>
          </w:p>
          <w:p w:rsidR="00000000" w:rsidRPr="006715E4" w:rsidP="006715E4">
            <w:pPr>
              <w:pStyle w:val="ListBullet2"/>
            </w:pPr>
            <w:r w:rsidRPr="006715E4">
              <w:t>engaging in negotiation and conflict resolution in a change management environment</w:t>
            </w:r>
          </w:p>
          <w:p w:rsidR="00000000" w:rsidRPr="006715E4" w:rsidP="006715E4">
            <w:pPr>
              <w:pStyle w:val="ListBullet2"/>
            </w:pPr>
            <w:r w:rsidRPr="006715E4">
              <w:t>monitoring change management strategies</w:t>
            </w:r>
          </w:p>
          <w:p w:rsidR="00000000" w:rsidRPr="006715E4" w:rsidP="006715E4">
            <w:pPr>
              <w:pStyle w:val="ListBullet2"/>
            </w:pPr>
            <w:r w:rsidRPr="006715E4">
              <w:t>consulting with stakeholders using a variety of words and language structures to explain complex ideas to different audiences</w:t>
            </w:r>
          </w:p>
          <w:p w:rsidR="00000000" w:rsidRPr="006715E4" w:rsidP="006715E4">
            <w:pPr>
              <w:pStyle w:val="ListBullet2"/>
            </w:pPr>
            <w:r w:rsidRPr="006715E4">
              <w:t>interpreting and explaining complex, formal documents and assisting others to apply them i</w:t>
            </w:r>
            <w:r w:rsidRPr="006715E4">
              <w:t>n the workplace</w:t>
            </w:r>
          </w:p>
          <w:p w:rsidR="00000000" w:rsidRPr="006715E4" w:rsidP="006715E4">
            <w:pPr>
              <w:pStyle w:val="ListBullet2"/>
            </w:pPr>
            <w:r w:rsidRPr="006715E4">
              <w:t>preparing written advice and reports requiring reasoning and precision of expression</w:t>
            </w:r>
          </w:p>
          <w:p w:rsidR="00000000" w:rsidRPr="006715E4" w:rsidP="006715E4">
            <w:pPr>
              <w:pStyle w:val="ListBullet2"/>
            </w:pPr>
            <w:r w:rsidRPr="006715E4">
              <w:t>responding to diversity, including gender, disability</w:t>
            </w:r>
          </w:p>
          <w:p w:rsidR="00000000" w:rsidP="006715E4">
            <w:pPr>
              <w:pStyle w:val="ListBullet2"/>
              <w:rPr>
                <w:lang w:val="en-NZ"/>
              </w:rPr>
            </w:pPr>
            <w:r w:rsidRPr="006715E4">
              <w:t>applying public sector legislation such as occupational health and safety and environmental and susta</w:t>
            </w:r>
            <w:r w:rsidRPr="006715E4">
              <w:t>inability requirements in the context of change management</w:t>
            </w:r>
          </w:p>
        </w:tc>
      </w:tr>
      <w:tr w:rsidTr="007C67FF">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6715E4" w:rsidP="006715E4">
            <w:pPr>
              <w:pStyle w:val="BodyText"/>
            </w:pPr>
            <w:r w:rsidRPr="006715E4">
              <w:rPr>
                <w:rStyle w:val="SpecialBold"/>
              </w:rPr>
              <w:t>Knowledge requirements</w:t>
            </w:r>
          </w:p>
          <w:p w:rsidR="00000000" w:rsidRPr="006715E4" w:rsidP="006715E4">
            <w:pPr>
              <w:pStyle w:val="BodyText"/>
            </w:pPr>
            <w:r w:rsidRPr="006715E4">
              <w:t xml:space="preserve"> Look for evidence that confirms knowledge and understanding of:</w:t>
            </w:r>
          </w:p>
          <w:p w:rsidR="00000000" w:rsidRPr="006715E4" w:rsidP="006715E4">
            <w:pPr>
              <w:pStyle w:val="ListBullet2"/>
            </w:pPr>
            <w:r w:rsidRPr="006715E4">
              <w:t>change management strategies</w:t>
            </w:r>
          </w:p>
          <w:p w:rsidR="00000000" w:rsidRPr="006715E4" w:rsidP="006715E4">
            <w:pPr>
              <w:pStyle w:val="ListBullet2"/>
            </w:pPr>
            <w:r w:rsidRPr="006715E4">
              <w:t>effects of change</w:t>
            </w:r>
          </w:p>
          <w:p w:rsidR="00000000" w:rsidRPr="006715E4" w:rsidP="006715E4">
            <w:pPr>
              <w:pStyle w:val="ListBullet2"/>
            </w:pPr>
            <w:r w:rsidRPr="006715E4">
              <w:t>industrial relations issues as applicable to change process</w:t>
            </w:r>
            <w:r w:rsidRPr="006715E4">
              <w:t>es</w:t>
            </w:r>
          </w:p>
          <w:p w:rsidR="00000000" w:rsidRPr="006715E4" w:rsidP="006715E4">
            <w:pPr>
              <w:pStyle w:val="ListBullet2"/>
            </w:pPr>
            <w:r w:rsidRPr="006715E4">
              <w:t>negotiation processes</w:t>
            </w:r>
          </w:p>
          <w:p w:rsidR="00000000" w:rsidRPr="006715E4" w:rsidP="006715E4">
            <w:pPr>
              <w:pStyle w:val="ListBullet2"/>
            </w:pPr>
            <w:r w:rsidRPr="006715E4">
              <w:t xml:space="preserve">key factors in the internal and external operating environment </w:t>
            </w:r>
          </w:p>
          <w:p w:rsidR="00000000" w:rsidRPr="006715E4" w:rsidP="006715E4">
            <w:pPr>
              <w:pStyle w:val="ListBullet2"/>
            </w:pPr>
            <w:r w:rsidRPr="006715E4">
              <w:t>equal employment opportunity, equity and diversity principles</w:t>
            </w:r>
          </w:p>
          <w:p w:rsidR="00000000" w:rsidRPr="006715E4" w:rsidP="006715E4">
            <w:pPr>
              <w:pStyle w:val="ListBullet2"/>
            </w:pPr>
            <w:r w:rsidRPr="006715E4">
              <w:t xml:space="preserve">understanding of organisational goals, policies and procedures </w:t>
            </w:r>
          </w:p>
          <w:p w:rsidR="00000000" w:rsidRPr="006715E4" w:rsidP="006715E4">
            <w:pPr>
              <w:pStyle w:val="ListBullet2"/>
            </w:pPr>
            <w:r w:rsidRPr="006715E4">
              <w:t xml:space="preserve">jurisdictional legislation applicable to </w:t>
            </w:r>
            <w:r w:rsidRPr="006715E4">
              <w:t>management and human resource management functions</w:t>
            </w:r>
          </w:p>
        </w:tc>
      </w:tr>
    </w:tbl>
    <w:p w:rsidR="00000000" w:rsidRPr="006715E4" w:rsidP="006715E4">
      <w:pPr>
        <w:pStyle w:val="BodyText"/>
      </w:pPr>
    </w:p>
    <w:p w:rsidR="00000000" w:rsidRPr="006715E4" w:rsidP="006715E4">
      <w:pPr>
        <w:pStyle w:val="AllowPageBreak"/>
      </w:pPr>
    </w:p>
    <w:p w:rsidR="00000000" w:rsidRPr="006715E4" w:rsidP="006715E4">
      <w:pPr>
        <w:pStyle w:val="Heading1"/>
      </w:pPr>
      <w:bookmarkStart w:id="10" w:name="O_497200"/>
      <w:bookmarkEnd w:id="10"/>
      <w:r w:rsidRPr="006715E4">
        <w:t>Evidence Guide</w:t>
      </w:r>
    </w:p>
    <w:tbl>
      <w:tblPr>
        <w:tblW w:w="9322" w:type="dxa"/>
        <w:tblLayout w:type="fixed"/>
        <w:tblCellMar>
          <w:left w:w="62" w:type="dxa"/>
          <w:right w:w="62" w:type="dxa"/>
        </w:tblCellMar>
        <w:tblLook w:val="0000"/>
      </w:tblPr>
      <w:tblGrid>
        <w:gridCol w:w="2660"/>
        <w:gridCol w:w="6662"/>
      </w:tblGrid>
      <w:tr w:rsidTr="007C67F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715E4">
            <w:pPr>
              <w:pStyle w:val="BodyText"/>
              <w:rPr>
                <w:lang w:val="en-NZ"/>
              </w:rPr>
            </w:pPr>
            <w:r w:rsidRPr="006715E4">
              <w:t>The Evidence Guide specifies the evidence required to demonstrate achievement in the unit of competency as a whole. It must be read in conjunction with the Unit descriptor</w:t>
            </w:r>
            <w:r w:rsidRPr="006715E4">
              <w:t>, Performance Criteria, the Range Statement and the Assessment Guidelines for the Public Sector Training Package.</w:t>
            </w:r>
          </w:p>
        </w:tc>
      </w:tr>
      <w:tr w:rsidTr="007C67F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6715E4" w:rsidP="006715E4">
            <w:pPr>
              <w:pStyle w:val="BodyText"/>
            </w:pPr>
            <w:r w:rsidRPr="006715E4">
              <w:rPr>
                <w:rStyle w:val="SpecialBold"/>
              </w:rPr>
              <w:t>Units to be assessed together</w:t>
            </w:r>
            <w:r w:rsidRPr="006715E4">
              <w:t xml:space="preserve"> </w:t>
            </w:r>
          </w:p>
        </w:tc>
        <w:tc>
          <w:tcPr>
            <w:tcW w:w="6662" w:type="dxa"/>
            <w:tcBorders>
              <w:top w:val="nil"/>
              <w:left w:val="nil"/>
              <w:bottom w:val="nil"/>
              <w:right w:val="nil"/>
            </w:tcBorders>
            <w:tcMar>
              <w:top w:w="0" w:type="dxa"/>
              <w:left w:w="62" w:type="dxa"/>
              <w:bottom w:w="0" w:type="dxa"/>
              <w:right w:w="62" w:type="dxa"/>
            </w:tcMar>
          </w:tcPr>
          <w:p w:rsidR="00000000" w:rsidRPr="006715E4" w:rsidP="006715E4">
            <w:pPr>
              <w:pStyle w:val="ListBullet2"/>
            </w:pPr>
            <w:r w:rsidRPr="006715E4">
              <w:rPr>
                <w:rStyle w:val="Emphasis"/>
              </w:rPr>
              <w:t>Pre</w:t>
            </w:r>
            <w:r w:rsidRPr="006715E4">
              <w:t>-</w:t>
            </w:r>
            <w:r w:rsidRPr="006715E4">
              <w:rPr>
                <w:rStyle w:val="Emphasis"/>
              </w:rPr>
              <w:t>requisite</w:t>
            </w:r>
            <w:r w:rsidRPr="006715E4">
              <w:t xml:space="preserve"> units that must be achieved prior to this unit:</w:t>
            </w:r>
            <w:r w:rsidRPr="006715E4">
              <w:rPr>
                <w:rStyle w:val="Emphasis"/>
              </w:rPr>
              <w:t>Nil</w:t>
            </w:r>
          </w:p>
          <w:p w:rsidR="00000000" w:rsidRPr="006715E4" w:rsidP="006715E4">
            <w:pPr>
              <w:pStyle w:val="ListBullet2"/>
            </w:pPr>
            <w:r w:rsidRPr="006715E4">
              <w:rPr>
                <w:rStyle w:val="Emphasis"/>
              </w:rPr>
              <w:t>Co</w:t>
            </w:r>
            <w:r w:rsidRPr="006715E4">
              <w:t>-</w:t>
            </w:r>
            <w:r w:rsidRPr="006715E4">
              <w:rPr>
                <w:rStyle w:val="Emphasis"/>
              </w:rPr>
              <w:t>requisite</w:t>
            </w:r>
            <w:r w:rsidRPr="006715E4">
              <w:t xml:space="preserve"> units that must be assessed with this unit:</w:t>
            </w:r>
            <w:r w:rsidRPr="006715E4">
              <w:rPr>
                <w:rStyle w:val="Emphasis"/>
              </w:rPr>
              <w:t>Nil</w:t>
            </w:r>
          </w:p>
          <w:p w:rsidR="00000000" w:rsidRPr="006715E4" w:rsidP="006715E4">
            <w:pPr>
              <w:pStyle w:val="ListBullet2"/>
            </w:pPr>
            <w:r w:rsidRPr="006715E4">
              <w:rPr>
                <w:rStyle w:val="Emphasis"/>
              </w:rPr>
              <w:t>Co</w:t>
            </w:r>
            <w:r w:rsidRPr="006715E4">
              <w:t>-</w:t>
            </w:r>
            <w:r w:rsidRPr="006715E4">
              <w:rPr>
                <w:rStyle w:val="Emphasis"/>
              </w:rPr>
              <w:t>assessed units</w:t>
            </w:r>
            <w:r w:rsidRPr="006715E4">
              <w:t xml:space="preserve"> that may be assessed with this unit to increase the efficiency and realism of the assessment process include, but are not limited to:</w:t>
            </w:r>
          </w:p>
          <w:p w:rsidR="00000000" w:rsidRPr="006715E4" w:rsidP="006715E4">
            <w:pPr>
              <w:pStyle w:val="ListBullet3"/>
            </w:pPr>
            <w:r w:rsidRPr="006715E4">
              <w:t>PSPETHC601B Maintain and enhance confidence in public s</w:t>
            </w:r>
            <w:r w:rsidRPr="006715E4">
              <w:t xml:space="preserve">ervice </w:t>
            </w:r>
          </w:p>
          <w:p w:rsidR="00000000" w:rsidRPr="006715E4" w:rsidP="006715E4">
            <w:pPr>
              <w:pStyle w:val="ListBullet3"/>
            </w:pPr>
            <w:r w:rsidRPr="006715E4">
              <w:t>PSPGOV601B Apply government systems</w:t>
            </w:r>
          </w:p>
          <w:p w:rsidR="00000000" w:rsidRPr="006715E4" w:rsidP="006715E4">
            <w:pPr>
              <w:pStyle w:val="ListBullet3"/>
            </w:pPr>
            <w:r w:rsidRPr="006715E4">
              <w:t>PSPGOV602B Establish and maintain strategic networks</w:t>
            </w:r>
          </w:p>
          <w:p w:rsidR="00000000" w:rsidRPr="006715E4" w:rsidP="006715E4">
            <w:pPr>
              <w:pStyle w:val="ListBullet3"/>
            </w:pPr>
            <w:r w:rsidRPr="006715E4">
              <w:t>PSPLEGN601B Manage compliance with legislation in the public sector</w:t>
            </w:r>
          </w:p>
          <w:p w:rsidR="00000000" w:rsidP="006715E4">
            <w:pPr>
              <w:pStyle w:val="ListBullet3"/>
              <w:rPr>
                <w:lang w:val="en-NZ"/>
              </w:rPr>
            </w:pPr>
            <w:r w:rsidRPr="006715E4">
              <w:t>PSPPOL603A Manage policy implementation</w:t>
            </w:r>
          </w:p>
        </w:tc>
      </w:tr>
      <w:tr w:rsidTr="007C67F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15E4">
            <w:pPr>
              <w:pStyle w:val="BodyText"/>
              <w:rPr>
                <w:lang w:val="en-NZ"/>
              </w:rPr>
            </w:pPr>
            <w:r w:rsidRPr="006715E4">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6715E4" w:rsidP="006715E4">
            <w:pPr>
              <w:pStyle w:val="BodyText"/>
            </w:pPr>
            <w:r w:rsidRPr="006715E4">
              <w:t>In addition to integrated demonstration of the elements and their related performance criteria, look for evidence that confirms:</w:t>
            </w:r>
          </w:p>
          <w:p w:rsidR="00000000" w:rsidRPr="006715E4" w:rsidP="006715E4">
            <w:pPr>
              <w:pStyle w:val="ListBullet2"/>
            </w:pPr>
            <w:r w:rsidRPr="006715E4">
              <w:t xml:space="preserve">the knowledge requirements of this unit </w:t>
            </w:r>
          </w:p>
          <w:p w:rsidR="00000000" w:rsidRPr="006715E4" w:rsidP="006715E4">
            <w:pPr>
              <w:pStyle w:val="ListBullet2"/>
            </w:pPr>
            <w:r w:rsidRPr="006715E4">
              <w:t>the skill requirements of this unit</w:t>
            </w:r>
          </w:p>
          <w:p w:rsidR="00000000" w:rsidRPr="006715E4" w:rsidP="006715E4">
            <w:pPr>
              <w:pStyle w:val="ListBullet2"/>
            </w:pPr>
            <w:r w:rsidRPr="006715E4">
              <w:t>application of the Employability Skills as they relate to this unit (see Employability Summaries in Qualifications Framework)</w:t>
            </w:r>
          </w:p>
          <w:p w:rsidR="00000000" w:rsidP="006715E4">
            <w:pPr>
              <w:pStyle w:val="ListBullet2"/>
              <w:rPr>
                <w:lang w:val="en-NZ"/>
              </w:rPr>
            </w:pPr>
            <w:r w:rsidRPr="006715E4">
              <w:t>change management in a range of (2 or more) contexts (or occasions, over time)</w:t>
            </w:r>
          </w:p>
        </w:tc>
      </w:tr>
      <w:tr w:rsidTr="007C67F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15E4">
            <w:pPr>
              <w:pStyle w:val="BodyText"/>
              <w:rPr>
                <w:lang w:val="en-NZ"/>
              </w:rPr>
            </w:pPr>
            <w:r w:rsidRPr="006715E4">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6715E4" w:rsidP="006715E4">
            <w:pPr>
              <w:pStyle w:val="BodyText"/>
            </w:pPr>
            <w:r w:rsidRPr="006715E4">
              <w:t>These r</w:t>
            </w:r>
            <w:r w:rsidRPr="006715E4">
              <w:t>esources include:</w:t>
            </w:r>
          </w:p>
          <w:p w:rsidR="00000000" w:rsidRPr="006715E4" w:rsidP="006715E4">
            <w:pPr>
              <w:pStyle w:val="ListBullet2"/>
            </w:pPr>
            <w:r w:rsidRPr="006715E4">
              <w:t>legislation, procedures and protocols</w:t>
            </w:r>
          </w:p>
          <w:p w:rsidR="00000000" w:rsidRPr="006715E4" w:rsidP="006715E4">
            <w:pPr>
              <w:pStyle w:val="ListBullet2"/>
            </w:pPr>
            <w:r w:rsidRPr="006715E4">
              <w:t>workplace scenarios and case studies to capture the range of situations likely to be encountered when managing change in the public sector</w:t>
            </w:r>
          </w:p>
          <w:p w:rsidR="00000000" w:rsidRPr="006715E4" w:rsidP="006715E4">
            <w:pPr>
              <w:pStyle w:val="ListBullet2"/>
            </w:pPr>
            <w:r w:rsidRPr="006715E4">
              <w:t>change management strategies applicable to the public sector</w:t>
            </w:r>
          </w:p>
          <w:p w:rsidR="00000000" w:rsidP="006715E4">
            <w:pPr>
              <w:pStyle w:val="ListBullet2"/>
              <w:rPr>
                <w:lang w:val="en-NZ"/>
              </w:rPr>
            </w:pPr>
            <w:r w:rsidRPr="006715E4">
              <w:t>tactics for dealing with ambiguity</w:t>
            </w:r>
          </w:p>
        </w:tc>
      </w:tr>
      <w:tr w:rsidTr="007C67F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15E4">
            <w:pPr>
              <w:pStyle w:val="BodyText"/>
              <w:rPr>
                <w:lang w:val="en-NZ"/>
              </w:rPr>
            </w:pPr>
            <w:r w:rsidRPr="006715E4">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6715E4" w:rsidP="006715E4">
            <w:pPr>
              <w:pStyle w:val="BodyText"/>
            </w:pPr>
            <w:r w:rsidRPr="006715E4">
              <w:t xml:space="preserve">Valid assessment of this unit requires: </w:t>
            </w:r>
          </w:p>
          <w:p w:rsidR="00000000" w:rsidRPr="006715E4" w:rsidP="006715E4">
            <w:pPr>
              <w:pStyle w:val="ListBullet2"/>
            </w:pPr>
            <w:r w:rsidRPr="006715E4">
              <w:t>a workplace environment, or one that closely resembles normal work practice and replicates the range of conditions likely to be encountered when</w:t>
            </w:r>
            <w:r w:rsidRPr="006715E4">
              <w:t xml:space="preserve"> managing change, including coping with difficulties, irregularities and breakdowns in routine</w:t>
            </w:r>
          </w:p>
          <w:p w:rsidR="00000000" w:rsidRPr="006715E4" w:rsidP="006715E4">
            <w:pPr>
              <w:pStyle w:val="ListBullet2"/>
            </w:pPr>
            <w:r w:rsidRPr="006715E4">
              <w:t>management of change in a range of (2 or more) contexts (or occasions, over time)</w:t>
            </w:r>
          </w:p>
          <w:p w:rsidR="00000000" w:rsidRPr="006715E4" w:rsidP="006715E4">
            <w:pPr>
              <w:pStyle w:val="ListBullet2"/>
            </w:pPr>
            <w:r w:rsidRPr="006715E4">
              <w:t>a variety of contexts that reflect the co</w:t>
            </w:r>
            <w:r w:rsidRPr="006715E4">
              <w:t xml:space="preserve">ntinuum of change management, from dealing with concrete change requirements to managing ambiguity and uncertainty </w:t>
            </w:r>
          </w:p>
          <w:p w:rsidR="00000000" w:rsidRPr="006715E4" w:rsidP="006715E4">
            <w:pPr>
              <w:pStyle w:val="BodyText"/>
            </w:pPr>
            <w:r w:rsidRPr="006715E4">
              <w:t>Assessment methods should reflect workplace demands, such as literacy, and the needs of particular groups, such as:</w:t>
            </w:r>
          </w:p>
          <w:p w:rsidR="00000000" w:rsidRPr="006715E4" w:rsidP="006715E4">
            <w:pPr>
              <w:pStyle w:val="ListBullet2"/>
            </w:pPr>
            <w:r w:rsidRPr="006715E4">
              <w:t>people with disabilitie</w:t>
            </w:r>
            <w:r w:rsidRPr="006715E4">
              <w:t>s</w:t>
            </w:r>
          </w:p>
          <w:p w:rsidR="00000000" w:rsidRPr="006715E4" w:rsidP="006715E4">
            <w:pPr>
              <w:pStyle w:val="ListBullet2"/>
            </w:pPr>
            <w:r w:rsidRPr="006715E4">
              <w:t>people from culturally and linguistically diverse backgrounds</w:t>
            </w:r>
          </w:p>
          <w:p w:rsidR="00000000" w:rsidRPr="006715E4" w:rsidP="006715E4">
            <w:pPr>
              <w:pStyle w:val="ListBullet2"/>
            </w:pPr>
            <w:r w:rsidRPr="006715E4">
              <w:t>Aboriginal and Torres Strait Islander people</w:t>
            </w:r>
          </w:p>
          <w:p w:rsidR="00000000" w:rsidRPr="006715E4" w:rsidP="006715E4">
            <w:pPr>
              <w:pStyle w:val="ListBullet2"/>
            </w:pPr>
            <w:r w:rsidRPr="006715E4">
              <w:t>women</w:t>
            </w:r>
          </w:p>
          <w:p w:rsidR="00000000" w:rsidRPr="006715E4" w:rsidP="006715E4">
            <w:pPr>
              <w:pStyle w:val="ListBullet2"/>
            </w:pPr>
            <w:r w:rsidRPr="006715E4">
              <w:t>young people</w:t>
            </w:r>
          </w:p>
          <w:p w:rsidR="00000000" w:rsidRPr="006715E4" w:rsidP="006715E4">
            <w:pPr>
              <w:pStyle w:val="ListBullet2"/>
            </w:pPr>
            <w:r w:rsidRPr="006715E4">
              <w:t>older people</w:t>
            </w:r>
          </w:p>
          <w:p w:rsidR="00000000" w:rsidRPr="006715E4" w:rsidP="006715E4">
            <w:pPr>
              <w:pStyle w:val="ListBullet2"/>
            </w:pPr>
            <w:r w:rsidRPr="006715E4">
              <w:t>people in rural and remote locations</w:t>
            </w:r>
          </w:p>
          <w:p w:rsidR="00000000" w:rsidRPr="006715E4" w:rsidP="006715E4">
            <w:pPr>
              <w:pStyle w:val="BodyText"/>
            </w:pPr>
            <w:r w:rsidRPr="006715E4">
              <w:t>Assessment methods suitable for valid and reliable assessment of this competen</w:t>
            </w:r>
            <w:r w:rsidRPr="006715E4">
              <w:t xml:space="preserve">cy may include, but are not limited to, a combination of 2 or more of: </w:t>
            </w:r>
          </w:p>
          <w:p w:rsidR="00000000" w:rsidRPr="006715E4" w:rsidP="006715E4">
            <w:pPr>
              <w:pStyle w:val="ListBullet2"/>
            </w:pPr>
            <w:r w:rsidRPr="006715E4">
              <w:t>case studies</w:t>
            </w:r>
          </w:p>
          <w:p w:rsidR="00000000" w:rsidRPr="006715E4" w:rsidP="006715E4">
            <w:pPr>
              <w:pStyle w:val="ListBullet2"/>
            </w:pPr>
            <w:r w:rsidRPr="006715E4">
              <w:t xml:space="preserve">portfolios </w:t>
            </w:r>
          </w:p>
          <w:p w:rsidR="00000000" w:rsidRPr="006715E4" w:rsidP="006715E4">
            <w:pPr>
              <w:pStyle w:val="ListBullet2"/>
            </w:pPr>
            <w:r w:rsidRPr="006715E4">
              <w:t>projects</w:t>
            </w:r>
          </w:p>
          <w:p w:rsidR="00000000" w:rsidRPr="006715E4" w:rsidP="006715E4">
            <w:pPr>
              <w:pStyle w:val="ListBullet2"/>
            </w:pPr>
            <w:r w:rsidRPr="006715E4">
              <w:t>questioning</w:t>
            </w:r>
          </w:p>
          <w:p w:rsidR="00000000" w:rsidRPr="006715E4" w:rsidP="006715E4">
            <w:pPr>
              <w:pStyle w:val="ListBullet2"/>
            </w:pPr>
            <w:r w:rsidRPr="006715E4">
              <w:t>scenarios</w:t>
            </w:r>
          </w:p>
          <w:p w:rsidR="00000000" w:rsidP="006715E4">
            <w:pPr>
              <w:pStyle w:val="ListBullet2"/>
              <w:rPr>
                <w:lang w:val="en-NZ"/>
              </w:rPr>
            </w:pPr>
            <w:r w:rsidRPr="006715E4">
              <w:t xml:space="preserve">authenticated evidence from the workplace and/or training courses   </w:t>
            </w:r>
          </w:p>
        </w:tc>
      </w:tr>
      <w:tr w:rsidTr="007C67F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15E4">
            <w:pPr>
              <w:pStyle w:val="BodyText"/>
              <w:rPr>
                <w:lang w:val="en-NZ"/>
              </w:rPr>
            </w:pPr>
            <w:r w:rsidRPr="006715E4">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6715E4" w:rsidP="006715E4">
            <w:pPr>
              <w:pStyle w:val="BodyText"/>
            </w:pPr>
            <w:r w:rsidRPr="006715E4">
              <w:t>Evidence must be gathered over time in a range of contexts to ensure the person can achieve the unit outcome and apply the competency in different situations or environments</w:t>
            </w:r>
          </w:p>
        </w:tc>
      </w:tr>
    </w:tbl>
    <w:p w:rsidR="00000000" w:rsidRPr="006715E4" w:rsidP="006715E4">
      <w:pPr>
        <w:pStyle w:val="BodyText"/>
      </w:pPr>
    </w:p>
    <w:p w:rsidR="00000000" w:rsidRPr="006715E4" w:rsidP="006715E4">
      <w:pPr>
        <w:pStyle w:val="AllowPageBreak"/>
      </w:pPr>
    </w:p>
    <w:p w:rsidR="00000000" w:rsidRPr="006715E4" w:rsidP="006715E4">
      <w:pPr>
        <w:pStyle w:val="Heading1"/>
      </w:pPr>
      <w:bookmarkStart w:id="11" w:name="O_497194"/>
      <w:bookmarkEnd w:id="11"/>
      <w:r w:rsidRPr="006715E4">
        <w:t>Range Statement</w:t>
      </w:r>
    </w:p>
    <w:tbl>
      <w:tblPr>
        <w:tblW w:w="9322" w:type="dxa"/>
        <w:tblLayout w:type="fixed"/>
        <w:tblCellMar>
          <w:left w:w="62" w:type="dxa"/>
          <w:right w:w="62" w:type="dxa"/>
        </w:tblCellMar>
        <w:tblLook w:val="0000"/>
      </w:tblPr>
      <w:tblGrid>
        <w:gridCol w:w="2660"/>
        <w:gridCol w:w="6662"/>
      </w:tblGrid>
      <w:tr w:rsidTr="007C67F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715E4">
            <w:pPr>
              <w:pStyle w:val="BodyText"/>
              <w:rPr>
                <w:lang w:val="en-NZ"/>
              </w:rPr>
            </w:pPr>
            <w:r w:rsidRPr="006715E4">
              <w:t xml:space="preserve">The Range Statement provides information about </w:t>
            </w:r>
            <w:r w:rsidRPr="006715E4">
              <w:t>the context in which the unit of competency is carried out. The variables cater for differences between States and Territories and the Commonwealth, and between organisations and workplaces. They allow for different work requirements, work practices and kn</w:t>
            </w:r>
            <w:r w:rsidRPr="006715E4">
              <w:t xml:space="preserve">owledge. The Range Statement also provides a focus for assessment. It relates to the unit as a whole. Text in </w:t>
            </w:r>
            <w:r w:rsidRPr="006715E4">
              <w:rPr>
                <w:rStyle w:val="BoldandItalics"/>
              </w:rPr>
              <w:t xml:space="preserve">bold italics </w:t>
            </w:r>
            <w:r w:rsidRPr="006715E4">
              <w:t>in the Performance Criteria is explained here.</w:t>
            </w:r>
          </w:p>
        </w:tc>
      </w:tr>
      <w:tr w:rsidTr="007C67F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15E4">
            <w:pPr>
              <w:pStyle w:val="BodyText"/>
              <w:rPr>
                <w:lang w:val="en-NZ"/>
              </w:rPr>
            </w:pPr>
            <w:r w:rsidRPr="006715E4">
              <w:rPr>
                <w:rStyle w:val="BoldandItalics"/>
              </w:rPr>
              <w:t xml:space="preserve">Change </w:t>
            </w:r>
            <w:r w:rsidRPr="006715E4">
              <w:t>may occur:</w:t>
            </w:r>
          </w:p>
        </w:tc>
        <w:tc>
          <w:tcPr>
            <w:tcW w:w="6662" w:type="dxa"/>
            <w:tcBorders>
              <w:top w:val="nil"/>
              <w:left w:val="nil"/>
              <w:bottom w:val="nil"/>
              <w:right w:val="nil"/>
            </w:tcBorders>
            <w:tcMar>
              <w:top w:w="0" w:type="dxa"/>
              <w:left w:w="62" w:type="dxa"/>
              <w:bottom w:w="0" w:type="dxa"/>
              <w:right w:w="62" w:type="dxa"/>
            </w:tcMar>
          </w:tcPr>
          <w:p w:rsidR="00000000" w:rsidRPr="006715E4" w:rsidP="006715E4">
            <w:pPr>
              <w:pStyle w:val="ListBullet2"/>
            </w:pPr>
            <w:r w:rsidRPr="006715E4">
              <w:t>in response to government policy or Ministerial direction</w:t>
            </w:r>
          </w:p>
          <w:p w:rsidR="00000000" w:rsidRPr="006715E4" w:rsidP="006715E4">
            <w:pPr>
              <w:pStyle w:val="ListBullet2"/>
            </w:pPr>
            <w:r w:rsidRPr="006715E4">
              <w:t>in response to Machinery of Government changes</w:t>
            </w:r>
          </w:p>
          <w:p w:rsidR="00000000" w:rsidRPr="006715E4" w:rsidP="006715E4">
            <w:pPr>
              <w:pStyle w:val="ListBullet2"/>
            </w:pPr>
            <w:r w:rsidRPr="006715E4">
              <w:t>through organisational development or design strategies created by senior management</w:t>
            </w:r>
          </w:p>
          <w:p w:rsidR="00000000" w:rsidRPr="006715E4" w:rsidP="006715E4">
            <w:pPr>
              <w:pStyle w:val="ListBullet2"/>
            </w:pPr>
            <w:r w:rsidRPr="006715E4">
              <w:t>through business unit level initiatives</w:t>
            </w:r>
          </w:p>
          <w:p w:rsidR="00000000" w:rsidP="006715E4">
            <w:pPr>
              <w:pStyle w:val="ListBullet2"/>
              <w:rPr>
                <w:lang w:val="en-NZ"/>
              </w:rPr>
            </w:pPr>
            <w:r w:rsidRPr="006715E4">
              <w:t>in response to technology changes</w:t>
            </w:r>
          </w:p>
        </w:tc>
      </w:tr>
      <w:tr w:rsidTr="007C67F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15E4">
            <w:pPr>
              <w:pStyle w:val="BodyText"/>
              <w:rPr>
                <w:lang w:val="en-NZ"/>
              </w:rPr>
            </w:pPr>
            <w:r w:rsidRPr="006715E4">
              <w:rPr>
                <w:rStyle w:val="BoldandItalics"/>
              </w:rPr>
              <w:t>Business unit</w:t>
            </w:r>
            <w:r w:rsidRPr="006715E4">
              <w:t xml:space="preserve"> may refer to:</w:t>
            </w:r>
          </w:p>
        </w:tc>
        <w:tc>
          <w:tcPr>
            <w:tcW w:w="6662" w:type="dxa"/>
            <w:tcBorders>
              <w:top w:val="nil"/>
              <w:left w:val="nil"/>
              <w:bottom w:val="nil"/>
              <w:right w:val="nil"/>
            </w:tcBorders>
            <w:tcMar>
              <w:top w:w="0" w:type="dxa"/>
              <w:left w:w="62" w:type="dxa"/>
              <w:bottom w:w="0" w:type="dxa"/>
              <w:right w:w="62" w:type="dxa"/>
            </w:tcMar>
          </w:tcPr>
          <w:p w:rsidR="00000000" w:rsidRPr="006715E4" w:rsidP="006715E4">
            <w:pPr>
              <w:pStyle w:val="ListBullet2"/>
            </w:pPr>
            <w:r w:rsidRPr="006715E4">
              <w:t>a program</w:t>
            </w:r>
          </w:p>
          <w:p w:rsidR="00000000" w:rsidRPr="006715E4" w:rsidP="006715E4">
            <w:pPr>
              <w:pStyle w:val="ListBullet2"/>
            </w:pPr>
            <w:r w:rsidRPr="006715E4">
              <w:t>sub-progra</w:t>
            </w:r>
            <w:r w:rsidRPr="006715E4">
              <w:t>m</w:t>
            </w:r>
          </w:p>
          <w:p w:rsidR="00000000" w:rsidRPr="006715E4" w:rsidP="006715E4">
            <w:pPr>
              <w:pStyle w:val="ListBullet2"/>
            </w:pPr>
            <w:r w:rsidRPr="006715E4">
              <w:t>cost centre</w:t>
            </w:r>
          </w:p>
          <w:p w:rsidR="00000000" w:rsidRPr="006715E4" w:rsidP="006715E4">
            <w:pPr>
              <w:pStyle w:val="ListBullet2"/>
            </w:pPr>
            <w:r w:rsidRPr="006715E4">
              <w:t>area</w:t>
            </w:r>
          </w:p>
          <w:p w:rsidR="00000000" w:rsidRPr="006715E4" w:rsidP="006715E4">
            <w:pPr>
              <w:pStyle w:val="ListBullet2"/>
            </w:pPr>
            <w:r w:rsidRPr="006715E4">
              <w:t>division</w:t>
            </w:r>
          </w:p>
          <w:p w:rsidR="00000000" w:rsidRPr="006715E4" w:rsidP="006715E4">
            <w:pPr>
              <w:pStyle w:val="ListBullet2"/>
            </w:pPr>
            <w:r w:rsidRPr="006715E4">
              <w:t>branch</w:t>
            </w:r>
          </w:p>
          <w:p w:rsidR="00000000" w:rsidP="006715E4">
            <w:pPr>
              <w:pStyle w:val="ListBullet2"/>
              <w:rPr>
                <w:lang w:val="en-NZ"/>
              </w:rPr>
            </w:pPr>
            <w:r w:rsidRPr="006715E4">
              <w:t>production unit or section located within the organisation</w:t>
            </w:r>
          </w:p>
        </w:tc>
      </w:tr>
      <w:tr w:rsidTr="007C67F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15E4">
            <w:pPr>
              <w:pStyle w:val="BodyText"/>
              <w:rPr>
                <w:lang w:val="en-NZ"/>
              </w:rPr>
            </w:pPr>
            <w:r w:rsidRPr="006715E4">
              <w:rPr>
                <w:rStyle w:val="BoldandItalics"/>
              </w:rPr>
              <w:t xml:space="preserve">Stakeholders </w:t>
            </w:r>
            <w:r w:rsidRPr="006715E4">
              <w:t xml:space="preserve">may include: </w:t>
            </w:r>
          </w:p>
        </w:tc>
        <w:tc>
          <w:tcPr>
            <w:tcW w:w="6662" w:type="dxa"/>
            <w:tcBorders>
              <w:top w:val="nil"/>
              <w:left w:val="nil"/>
              <w:bottom w:val="nil"/>
              <w:right w:val="nil"/>
            </w:tcBorders>
            <w:tcMar>
              <w:top w:w="0" w:type="dxa"/>
              <w:left w:w="62" w:type="dxa"/>
              <w:bottom w:w="0" w:type="dxa"/>
              <w:right w:w="62" w:type="dxa"/>
            </w:tcMar>
          </w:tcPr>
          <w:p w:rsidR="00000000" w:rsidRPr="006715E4" w:rsidP="006715E4">
            <w:pPr>
              <w:pStyle w:val="ListBullet2"/>
            </w:pPr>
            <w:r w:rsidRPr="006715E4">
              <w:t xml:space="preserve">all those individuals and groups both inside and outside the organisation that have </w:t>
            </w:r>
            <w:r w:rsidRPr="006715E4">
              <w:t>some direct interest in the organisation's behaviour, actions, products and services such as:</w:t>
            </w:r>
          </w:p>
          <w:p w:rsidR="00000000" w:rsidRPr="006715E4" w:rsidP="006715E4">
            <w:pPr>
              <w:pStyle w:val="ListBullet2"/>
            </w:pPr>
            <w:r w:rsidRPr="006715E4">
              <w:t>employees at all levels of the organisation</w:t>
            </w:r>
          </w:p>
          <w:p w:rsidR="00000000" w:rsidRPr="006715E4" w:rsidP="006715E4">
            <w:pPr>
              <w:pStyle w:val="ListBullet2"/>
            </w:pPr>
            <w:r w:rsidRPr="006715E4">
              <w:t xml:space="preserve">community </w:t>
            </w:r>
          </w:p>
          <w:p w:rsidR="00000000" w:rsidRPr="006715E4" w:rsidP="006715E4">
            <w:pPr>
              <w:pStyle w:val="ListBullet2"/>
            </w:pPr>
            <w:r w:rsidRPr="006715E4">
              <w:t>clients</w:t>
            </w:r>
          </w:p>
          <w:p w:rsidR="00000000" w:rsidRPr="006715E4" w:rsidP="006715E4">
            <w:pPr>
              <w:pStyle w:val="ListBullet2"/>
            </w:pPr>
            <w:r w:rsidRPr="006715E4">
              <w:t>other public sector organisations</w:t>
            </w:r>
          </w:p>
          <w:p w:rsidR="00000000" w:rsidRPr="006715E4" w:rsidP="006715E4">
            <w:pPr>
              <w:pStyle w:val="ListBullet2"/>
            </w:pPr>
            <w:r w:rsidRPr="006715E4">
              <w:t>union and association representatives</w:t>
            </w:r>
          </w:p>
          <w:p w:rsidR="00000000" w:rsidRPr="006715E4" w:rsidP="006715E4">
            <w:pPr>
              <w:pStyle w:val="ListBullet2"/>
            </w:pPr>
            <w:r w:rsidRPr="006715E4">
              <w:t>boards of management</w:t>
            </w:r>
          </w:p>
          <w:p w:rsidR="00000000" w:rsidRPr="006715E4" w:rsidP="006715E4">
            <w:pPr>
              <w:pStyle w:val="ListBullet2"/>
            </w:pPr>
            <w:r w:rsidRPr="006715E4">
              <w:t>govern</w:t>
            </w:r>
            <w:r w:rsidRPr="006715E4">
              <w:t>ment</w:t>
            </w:r>
          </w:p>
          <w:p w:rsidR="00000000" w:rsidRPr="006715E4" w:rsidP="006715E4">
            <w:pPr>
              <w:pStyle w:val="ListBullet2"/>
            </w:pPr>
            <w:r w:rsidRPr="006715E4">
              <w:t>Ministers</w:t>
            </w:r>
          </w:p>
          <w:p w:rsidR="00000000" w:rsidP="006715E4">
            <w:pPr>
              <w:pStyle w:val="ListBullet2"/>
              <w:rPr>
                <w:lang w:val="en-NZ"/>
              </w:rPr>
            </w:pPr>
            <w:r w:rsidRPr="006715E4">
              <w:t>human resources specialists</w:t>
            </w:r>
          </w:p>
        </w:tc>
      </w:tr>
      <w:tr w:rsidTr="007C67F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15E4">
            <w:pPr>
              <w:pStyle w:val="BodyText"/>
              <w:rPr>
                <w:lang w:val="en-NZ"/>
              </w:rPr>
            </w:pPr>
            <w:r w:rsidRPr="006715E4">
              <w:rPr>
                <w:rStyle w:val="BoldandItalics"/>
              </w:rPr>
              <w:t>Change management strategy</w:t>
            </w:r>
            <w:r w:rsidRPr="006715E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715E4" w:rsidP="006715E4">
            <w:pPr>
              <w:pStyle w:val="ListBullet2"/>
            </w:pPr>
            <w:r w:rsidRPr="006715E4">
              <w:t>risk management plan</w:t>
            </w:r>
          </w:p>
          <w:p w:rsidR="00000000" w:rsidRPr="006715E4" w:rsidP="006715E4">
            <w:pPr>
              <w:pStyle w:val="ListBullet2"/>
            </w:pPr>
            <w:r w:rsidRPr="006715E4">
              <w:t>communication strategy</w:t>
            </w:r>
          </w:p>
          <w:p w:rsidR="00000000" w:rsidRPr="006715E4" w:rsidP="006715E4">
            <w:pPr>
              <w:pStyle w:val="ListBullet2"/>
            </w:pPr>
            <w:r w:rsidRPr="006715E4">
              <w:t>timeframes</w:t>
            </w:r>
          </w:p>
          <w:p w:rsidR="00000000" w:rsidRPr="006715E4" w:rsidP="006715E4">
            <w:pPr>
              <w:pStyle w:val="ListBullet2"/>
            </w:pPr>
            <w:r w:rsidRPr="006715E4">
              <w:t>milestones</w:t>
            </w:r>
          </w:p>
          <w:p w:rsidR="00000000" w:rsidP="006715E4">
            <w:pPr>
              <w:pStyle w:val="ListBullet2"/>
              <w:rPr>
                <w:lang w:val="en-NZ"/>
              </w:rPr>
            </w:pPr>
            <w:r w:rsidRPr="006715E4">
              <w:t>performance indicators</w:t>
            </w:r>
          </w:p>
        </w:tc>
      </w:tr>
      <w:tr w:rsidTr="007C67F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15E4">
            <w:pPr>
              <w:pStyle w:val="BodyText"/>
              <w:rPr>
                <w:lang w:val="en-NZ"/>
              </w:rPr>
            </w:pPr>
            <w:r w:rsidRPr="006715E4">
              <w:rPr>
                <w:rStyle w:val="BoldandItalics"/>
              </w:rPr>
              <w:t>Legislation and organisational policy</w:t>
            </w:r>
            <w:r w:rsidRPr="006715E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715E4" w:rsidP="006715E4">
            <w:pPr>
              <w:pStyle w:val="ListBullet2"/>
            </w:pPr>
            <w:r w:rsidRPr="006715E4">
              <w:t>Commonwealth and State/Territory legislation including equal employment opportunity and anti-discrimination law</w:t>
            </w:r>
          </w:p>
          <w:p w:rsidR="00000000" w:rsidRPr="006715E4" w:rsidP="006715E4">
            <w:pPr>
              <w:pStyle w:val="ListBullet2"/>
            </w:pPr>
            <w:r w:rsidRPr="006715E4">
              <w:t>national and international codes of practice and standards</w:t>
            </w:r>
          </w:p>
          <w:p w:rsidR="00000000" w:rsidRPr="006715E4" w:rsidP="006715E4">
            <w:pPr>
              <w:pStyle w:val="ListBullet2"/>
            </w:pPr>
            <w:r w:rsidRPr="006715E4">
              <w:t>environmental/sustainability practices</w:t>
            </w:r>
          </w:p>
          <w:p w:rsidR="00000000" w:rsidRPr="006715E4" w:rsidP="006715E4">
            <w:pPr>
              <w:pStyle w:val="ListBullet2"/>
            </w:pPr>
            <w:r w:rsidRPr="006715E4">
              <w:t>the organisation's policies and practices</w:t>
            </w:r>
          </w:p>
          <w:p w:rsidR="00000000" w:rsidRPr="006715E4" w:rsidP="006715E4">
            <w:pPr>
              <w:pStyle w:val="ListBullet2"/>
            </w:pPr>
            <w:r w:rsidRPr="006715E4">
              <w:t>gove</w:t>
            </w:r>
            <w:r w:rsidRPr="006715E4">
              <w:t>rnment policy</w:t>
            </w:r>
          </w:p>
          <w:p w:rsidR="00000000" w:rsidRPr="006715E4" w:rsidP="006715E4">
            <w:pPr>
              <w:pStyle w:val="ListBullet2"/>
            </w:pPr>
            <w:r w:rsidRPr="006715E4">
              <w:t>codes of conduct</w:t>
            </w:r>
          </w:p>
          <w:p w:rsidR="00000000" w:rsidP="006715E4">
            <w:pPr>
              <w:pStyle w:val="ListBullet2"/>
              <w:rPr>
                <w:lang w:val="en-NZ"/>
              </w:rPr>
            </w:pPr>
            <w:r w:rsidRPr="006715E4">
              <w:t>Machinery of Government changes</w:t>
            </w:r>
          </w:p>
        </w:tc>
      </w:tr>
      <w:tr w:rsidTr="007C67F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15E4">
            <w:pPr>
              <w:pStyle w:val="BodyText"/>
              <w:rPr>
                <w:lang w:val="en-NZ"/>
              </w:rPr>
            </w:pPr>
            <w:r w:rsidRPr="006715E4">
              <w:rPr>
                <w:rStyle w:val="BoldandItalics"/>
              </w:rPr>
              <w:t>Interim checkpoints</w:t>
            </w:r>
            <w:r w:rsidRPr="006715E4">
              <w:t xml:space="preserve"> are :</w:t>
            </w:r>
          </w:p>
        </w:tc>
        <w:tc>
          <w:tcPr>
            <w:tcW w:w="6662" w:type="dxa"/>
            <w:tcBorders>
              <w:top w:val="nil"/>
              <w:left w:val="nil"/>
              <w:bottom w:val="nil"/>
              <w:right w:val="nil"/>
            </w:tcBorders>
            <w:tcMar>
              <w:top w:w="0" w:type="dxa"/>
              <w:left w:w="62" w:type="dxa"/>
              <w:bottom w:w="0" w:type="dxa"/>
              <w:right w:w="62" w:type="dxa"/>
            </w:tcMar>
          </w:tcPr>
          <w:p w:rsidR="00000000" w:rsidP="006715E4">
            <w:pPr>
              <w:pStyle w:val="ListBullet2"/>
              <w:rPr>
                <w:lang w:val="en-NZ"/>
              </w:rPr>
            </w:pPr>
            <w:r w:rsidRPr="006715E4">
              <w:t>points throughout the change implementation where the success of change management is assessed and change management plans are altered in response</w:t>
            </w:r>
          </w:p>
        </w:tc>
      </w:tr>
      <w:tr w:rsidTr="007C67F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15E4">
            <w:pPr>
              <w:pStyle w:val="BodyText"/>
              <w:rPr>
                <w:lang w:val="en-NZ"/>
              </w:rPr>
            </w:pPr>
            <w:r w:rsidRPr="006715E4">
              <w:rPr>
                <w:rStyle w:val="BoldandItalics"/>
              </w:rPr>
              <w:t xml:space="preserve">Strategies </w:t>
            </w:r>
            <w:r w:rsidRPr="006715E4">
              <w:t>to foster commitment to change may include:</w:t>
            </w:r>
          </w:p>
        </w:tc>
        <w:tc>
          <w:tcPr>
            <w:tcW w:w="6662" w:type="dxa"/>
            <w:tcBorders>
              <w:top w:val="nil"/>
              <w:left w:val="nil"/>
              <w:bottom w:val="nil"/>
              <w:right w:val="nil"/>
            </w:tcBorders>
            <w:tcMar>
              <w:top w:w="0" w:type="dxa"/>
              <w:left w:w="62" w:type="dxa"/>
              <w:bottom w:w="0" w:type="dxa"/>
              <w:right w:w="62" w:type="dxa"/>
            </w:tcMar>
          </w:tcPr>
          <w:p w:rsidR="00000000" w:rsidRPr="006715E4" w:rsidP="006715E4">
            <w:pPr>
              <w:pStyle w:val="ListBullet2"/>
            </w:pPr>
            <w:r w:rsidRPr="006715E4">
              <w:t>nurturing mutually beneficial and trusting relationships with stakeholders</w:t>
            </w:r>
          </w:p>
          <w:p w:rsidR="00000000" w:rsidRPr="006715E4" w:rsidP="006715E4">
            <w:pPr>
              <w:pStyle w:val="ListBullet2"/>
            </w:pPr>
            <w:r w:rsidRPr="006715E4">
              <w:t>team building</w:t>
            </w:r>
          </w:p>
          <w:p w:rsidR="00000000" w:rsidRPr="006715E4" w:rsidP="006715E4">
            <w:pPr>
              <w:pStyle w:val="ListBullet2"/>
            </w:pPr>
            <w:r w:rsidRPr="006715E4">
              <w:t>process consultation</w:t>
            </w:r>
          </w:p>
          <w:p w:rsidR="00000000" w:rsidRPr="006715E4" w:rsidP="006715E4">
            <w:pPr>
              <w:pStyle w:val="ListBullet2"/>
            </w:pPr>
            <w:r w:rsidRPr="006715E4">
              <w:t>action learning/research</w:t>
            </w:r>
          </w:p>
          <w:p w:rsidR="00000000" w:rsidRPr="006715E4" w:rsidP="006715E4">
            <w:pPr>
              <w:pStyle w:val="ListBullet2"/>
            </w:pPr>
            <w:r w:rsidRPr="006715E4">
              <w:t>staff development and training</w:t>
            </w:r>
          </w:p>
          <w:p w:rsidR="00000000" w:rsidRPr="006715E4" w:rsidP="006715E4">
            <w:pPr>
              <w:pStyle w:val="ListBullet2"/>
            </w:pPr>
            <w:r w:rsidRPr="006715E4">
              <w:t>guiding coalition</w:t>
            </w:r>
          </w:p>
          <w:p w:rsidR="00000000" w:rsidRPr="006715E4" w:rsidP="006715E4">
            <w:pPr>
              <w:pStyle w:val="ListBullet2"/>
            </w:pPr>
            <w:r w:rsidRPr="006715E4">
              <w:t xml:space="preserve">using specialist expertise </w:t>
            </w:r>
            <w:r w:rsidRPr="006715E4">
              <w:t>to support/facilitate an environment supportive of change</w:t>
            </w:r>
          </w:p>
          <w:p w:rsidR="00000000" w:rsidP="006715E4">
            <w:pPr>
              <w:pStyle w:val="ListBullet2"/>
              <w:rPr>
                <w:lang w:val="en-NZ"/>
              </w:rPr>
            </w:pPr>
            <w:r w:rsidRPr="006715E4">
              <w:t>organisational communication processes/mechanisms</w:t>
            </w:r>
          </w:p>
        </w:tc>
      </w:tr>
      <w:tr w:rsidTr="007C67F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15E4">
            <w:pPr>
              <w:pStyle w:val="BodyText"/>
              <w:rPr>
                <w:lang w:val="en-NZ"/>
              </w:rPr>
            </w:pPr>
            <w:r w:rsidRPr="006715E4">
              <w:rPr>
                <w:rStyle w:val="BoldandItalics"/>
              </w:rPr>
              <w:t xml:space="preserve">Leadership strategies </w:t>
            </w:r>
            <w:r w:rsidRPr="006715E4">
              <w:t>may include:</w:t>
            </w:r>
          </w:p>
        </w:tc>
        <w:tc>
          <w:tcPr>
            <w:tcW w:w="6662" w:type="dxa"/>
            <w:tcBorders>
              <w:top w:val="nil"/>
              <w:left w:val="nil"/>
              <w:bottom w:val="nil"/>
              <w:right w:val="nil"/>
            </w:tcBorders>
            <w:tcMar>
              <w:top w:w="0" w:type="dxa"/>
              <w:left w:w="62" w:type="dxa"/>
              <w:bottom w:w="0" w:type="dxa"/>
              <w:right w:w="62" w:type="dxa"/>
            </w:tcMar>
          </w:tcPr>
          <w:p w:rsidR="00000000" w:rsidRPr="006715E4" w:rsidP="006715E4">
            <w:pPr>
              <w:pStyle w:val="ListBullet2"/>
            </w:pPr>
            <w:r w:rsidRPr="006715E4">
              <w:t>offering guidance and direction</w:t>
            </w:r>
          </w:p>
          <w:p w:rsidR="00000000" w:rsidRPr="006715E4" w:rsidP="006715E4">
            <w:pPr>
              <w:pStyle w:val="ListBullet2"/>
            </w:pPr>
            <w:r w:rsidRPr="006715E4">
              <w:t>mentoring</w:t>
            </w:r>
          </w:p>
          <w:p w:rsidR="00000000" w:rsidRPr="006715E4" w:rsidP="006715E4">
            <w:pPr>
              <w:pStyle w:val="ListBullet2"/>
            </w:pPr>
            <w:r w:rsidRPr="006715E4">
              <w:t>coaching</w:t>
            </w:r>
          </w:p>
          <w:p w:rsidR="00000000" w:rsidRPr="006715E4" w:rsidP="006715E4">
            <w:pPr>
              <w:pStyle w:val="ListBullet2"/>
            </w:pPr>
            <w:r w:rsidRPr="006715E4">
              <w:t>positive role modelling</w:t>
            </w:r>
          </w:p>
          <w:p w:rsidR="00000000" w:rsidP="006715E4">
            <w:pPr>
              <w:pStyle w:val="ListBullet2"/>
              <w:rPr>
                <w:lang w:val="en-NZ"/>
              </w:rPr>
            </w:pPr>
            <w:r w:rsidRPr="006715E4">
              <w:t>provision of training and support</w:t>
            </w:r>
          </w:p>
        </w:tc>
      </w:tr>
      <w:tr w:rsidTr="007C67F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15E4">
            <w:pPr>
              <w:pStyle w:val="BodyText"/>
              <w:rPr>
                <w:lang w:val="en-NZ"/>
              </w:rPr>
            </w:pPr>
            <w:r w:rsidRPr="006715E4">
              <w:rPr>
                <w:rStyle w:val="BoldandItalics"/>
              </w:rPr>
              <w:t>Barriers to change</w:t>
            </w:r>
            <w:r w:rsidRPr="006715E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715E4" w:rsidP="006715E4">
            <w:pPr>
              <w:pStyle w:val="ListBullet2"/>
            </w:pPr>
            <w:r w:rsidRPr="006715E4">
              <w:t>individual misunderstanding the purpose of the changes</w:t>
            </w:r>
          </w:p>
          <w:p w:rsidR="00000000" w:rsidRPr="006715E4" w:rsidP="006715E4">
            <w:pPr>
              <w:pStyle w:val="ListBullet2"/>
            </w:pPr>
            <w:r w:rsidRPr="006715E4">
              <w:t>failure to see the need</w:t>
            </w:r>
          </w:p>
          <w:p w:rsidR="00000000" w:rsidRPr="006715E4" w:rsidP="006715E4">
            <w:pPr>
              <w:pStyle w:val="ListBullet2"/>
            </w:pPr>
            <w:r w:rsidRPr="006715E4">
              <w:t>fear of the unknown</w:t>
            </w:r>
          </w:p>
          <w:p w:rsidR="00000000" w:rsidRPr="006715E4" w:rsidP="006715E4">
            <w:pPr>
              <w:pStyle w:val="ListBullet2"/>
            </w:pPr>
            <w:r w:rsidRPr="006715E4">
              <w:t>fear of loss of status, security, power, friends</w:t>
            </w:r>
          </w:p>
          <w:p w:rsidR="00000000" w:rsidRPr="006715E4" w:rsidP="006715E4">
            <w:pPr>
              <w:pStyle w:val="ListBullet2"/>
            </w:pPr>
            <w:r w:rsidRPr="006715E4">
              <w:t>lack of identification with the change</w:t>
            </w:r>
          </w:p>
          <w:p w:rsidR="00000000" w:rsidRPr="006715E4" w:rsidP="006715E4">
            <w:pPr>
              <w:pStyle w:val="ListBullet2"/>
            </w:pPr>
            <w:r w:rsidRPr="006715E4">
              <w:t>lack of involvement in the change</w:t>
            </w:r>
          </w:p>
          <w:p w:rsidR="00000000" w:rsidRPr="006715E4" w:rsidP="006715E4">
            <w:pPr>
              <w:pStyle w:val="ListBullet2"/>
            </w:pPr>
            <w:r w:rsidRPr="006715E4">
              <w:t>ve</w:t>
            </w:r>
            <w:r w:rsidRPr="006715E4">
              <w:t>sted interests</w:t>
            </w:r>
          </w:p>
          <w:p w:rsidR="00000000" w:rsidRPr="006715E4" w:rsidP="006715E4">
            <w:pPr>
              <w:pStyle w:val="ListBullet2"/>
            </w:pPr>
            <w:r w:rsidRPr="006715E4">
              <w:t>challenge to group norms/established roles</w:t>
            </w:r>
          </w:p>
          <w:p w:rsidR="00000000" w:rsidRPr="006715E4" w:rsidP="006715E4">
            <w:pPr>
              <w:pStyle w:val="ListBullet2"/>
            </w:pPr>
            <w:r w:rsidRPr="006715E4">
              <w:t>conflict between personal/organisational objectives</w:t>
            </w:r>
          </w:p>
          <w:p w:rsidR="00000000" w:rsidRPr="006715E4" w:rsidP="006715E4">
            <w:pPr>
              <w:pStyle w:val="ListBullet2"/>
            </w:pPr>
            <w:r w:rsidRPr="006715E4">
              <w:t>existing reward systems may support status quo</w:t>
            </w:r>
          </w:p>
          <w:p w:rsidR="00000000" w:rsidRPr="006715E4" w:rsidP="006715E4">
            <w:pPr>
              <w:pStyle w:val="ListBullet2"/>
            </w:pPr>
            <w:r w:rsidRPr="006715E4">
              <w:t>interdepartmental rivalry/conflict</w:t>
            </w:r>
          </w:p>
          <w:p w:rsidR="00000000" w:rsidRPr="006715E4" w:rsidP="006715E4">
            <w:pPr>
              <w:pStyle w:val="ListBullet2"/>
            </w:pPr>
            <w:r w:rsidRPr="006715E4">
              <w:t>threat to balance of power</w:t>
            </w:r>
          </w:p>
          <w:p w:rsidR="00000000" w:rsidRPr="006715E4" w:rsidP="006715E4">
            <w:pPr>
              <w:pStyle w:val="ListBullet2"/>
            </w:pPr>
            <w:r w:rsidRPr="006715E4">
              <w:t>tired of change</w:t>
            </w:r>
          </w:p>
          <w:p w:rsidR="00000000" w:rsidRPr="006715E4" w:rsidP="006715E4">
            <w:pPr>
              <w:pStyle w:val="ListBullet2"/>
            </w:pPr>
            <w:r w:rsidRPr="006715E4">
              <w:t>existing organisational culture</w:t>
            </w:r>
          </w:p>
          <w:p w:rsidR="00000000" w:rsidRPr="006715E4" w:rsidP="006715E4">
            <w:pPr>
              <w:pStyle w:val="ListBullet2"/>
            </w:pPr>
            <w:r w:rsidRPr="006715E4">
              <w:t>change strategies poorly chosen</w:t>
            </w:r>
          </w:p>
          <w:p w:rsidR="00000000" w:rsidRPr="006715E4" w:rsidP="006715E4">
            <w:pPr>
              <w:pStyle w:val="ListBullet2"/>
            </w:pPr>
            <w:r w:rsidRPr="006715E4">
              <w:t>history of failed change projects</w:t>
            </w:r>
          </w:p>
          <w:p w:rsidR="00000000" w:rsidRPr="006715E4" w:rsidP="006715E4">
            <w:pPr>
              <w:pStyle w:val="ListBullet2"/>
            </w:pPr>
            <w:r w:rsidRPr="006715E4">
              <w:t>inappropriate organisational structure</w:t>
            </w:r>
          </w:p>
        </w:tc>
      </w:tr>
    </w:tbl>
    <w:p w:rsidR="007C67FF" w:rsidP="006715E4">
      <w:pPr>
        <w:pStyle w:val="BodyText"/>
      </w:pPr>
    </w:p>
    <w:p w:rsidR="007C67FF" w:rsidP="006715E4">
      <w:pPr>
        <w:pStyle w:val="BodyText"/>
      </w:pPr>
    </w:p>
    <w:p w:rsidR="00000000" w:rsidRPr="006715E4" w:rsidP="006715E4">
      <w:pPr>
        <w:pStyle w:val="Heading1"/>
      </w:pPr>
      <w:bookmarkStart w:id="12" w:name="O_497193"/>
      <w:bookmarkEnd w:id="12"/>
      <w:r w:rsidRPr="006715E4">
        <w:t>Unit Sector(s)</w:t>
      </w:r>
    </w:p>
    <w:p w:rsidR="00000000" w:rsidRPr="006715E4" w:rsidP="006715E4">
      <w:pPr>
        <w:pStyle w:val="BodyText"/>
      </w:pPr>
      <w:r w:rsidRPr="006715E4">
        <w:t>Not applicable.</w:t>
      </w:r>
    </w:p>
    <w:p w:rsidR="00000000" w:rsidRPr="006715E4" w:rsidP="006715E4">
      <w:pPr>
        <w:pStyle w:val="AllowPageBreak"/>
      </w:pPr>
    </w:p>
    <w:p w:rsidR="00000000" w:rsidRPr="006715E4" w:rsidP="006715E4">
      <w:pPr>
        <w:pStyle w:val="Heading1"/>
      </w:pPr>
      <w:bookmarkStart w:id="13" w:name="O_497203"/>
      <w:bookmarkEnd w:id="13"/>
      <w:r w:rsidRPr="006715E4">
        <w:t>Competency field</w:t>
      </w:r>
    </w:p>
    <w:p w:rsidR="00000000" w:rsidRPr="006715E4" w:rsidP="006715E4">
      <w:pPr>
        <w:pStyle w:val="BodyText"/>
      </w:pPr>
      <w:r w:rsidRPr="006715E4">
        <w:t>Management.</w:t>
      </w:r>
    </w:p>
    <w:p w:rsidR="00000000" w:rsidRPr="006715E4" w:rsidP="006715E4"/>
    <w:sectPr w:rsidSect="006715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5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67FF" w:rsidP="007C67F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5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7FF" w:rsidP="006715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C67FF" w:rsidP="006715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C67FF" w:rsidP="006715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5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5E4" w:rsidRPr="007C67FF" w:rsidP="007C67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5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7FF" w:rsidRPr="002D2AF8" w:rsidP="006715E4">
    <w:pPr>
      <w:pStyle w:val="Header"/>
      <w:framePr w:wrap="around"/>
    </w:pPr>
    <w:r>
      <w:fldChar w:fldCharType="begin"/>
    </w:r>
    <w:r>
      <w:instrText xml:space="preserve"> TITLE   \* MERGEFORMAT </w:instrText>
    </w:r>
    <w:r>
      <w:fldChar w:fldCharType="separate"/>
    </w:r>
    <w:r>
      <w:t>PSPMNGT604B Manage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7C67FF" w:rsidP="006715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FED3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18E0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8816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5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15E4"/>
    <w:pPr>
      <w:spacing w:before="360" w:after="60"/>
      <w:outlineLvl w:val="0"/>
    </w:pPr>
    <w:rPr>
      <w:sz w:val="32"/>
    </w:rPr>
  </w:style>
  <w:style w:type="paragraph" w:styleId="Heading2">
    <w:name w:val="heading 2"/>
    <w:basedOn w:val="HeadingBase"/>
    <w:next w:val="BodyText"/>
    <w:link w:val="Heading2Char"/>
    <w:qFormat/>
    <w:rsid w:val="006715E4"/>
    <w:pPr>
      <w:keepLines/>
      <w:spacing w:before="240" w:after="120"/>
      <w:outlineLvl w:val="1"/>
    </w:pPr>
    <w:rPr>
      <w:sz w:val="28"/>
      <w:szCs w:val="40"/>
    </w:rPr>
  </w:style>
  <w:style w:type="paragraph" w:styleId="Heading3">
    <w:name w:val="heading 3"/>
    <w:basedOn w:val="HeadingBase"/>
    <w:next w:val="BodyText"/>
    <w:link w:val="Heading3Char"/>
    <w:qFormat/>
    <w:rsid w:val="006715E4"/>
    <w:pPr>
      <w:spacing w:before="180" w:after="120"/>
      <w:outlineLvl w:val="2"/>
    </w:pPr>
    <w:rPr>
      <w:spacing w:val="-10"/>
      <w:kern w:val="32"/>
    </w:rPr>
  </w:style>
  <w:style w:type="paragraph" w:styleId="Heading4">
    <w:name w:val="heading 4"/>
    <w:basedOn w:val="HeadingBase"/>
    <w:next w:val="BodyText"/>
    <w:link w:val="Heading4Char"/>
    <w:qFormat/>
    <w:rsid w:val="006715E4"/>
    <w:pPr>
      <w:spacing w:before="160" w:after="120"/>
      <w:outlineLvl w:val="3"/>
    </w:pPr>
    <w:rPr>
      <w:sz w:val="22"/>
    </w:rPr>
  </w:style>
  <w:style w:type="paragraph" w:styleId="Heading5">
    <w:name w:val="heading 5"/>
    <w:basedOn w:val="HeadingBase"/>
    <w:next w:val="Normal"/>
    <w:link w:val="Heading5Char"/>
    <w:qFormat/>
    <w:rsid w:val="006715E4"/>
    <w:pPr>
      <w:spacing w:before="80"/>
      <w:outlineLvl w:val="4"/>
    </w:pPr>
    <w:rPr>
      <w:color w:val="918585"/>
      <w:sz w:val="20"/>
    </w:rPr>
  </w:style>
  <w:style w:type="paragraph" w:styleId="Heading6">
    <w:name w:val="heading 6"/>
    <w:basedOn w:val="HeadingBase"/>
    <w:next w:val="Normal"/>
    <w:link w:val="Heading6Char"/>
    <w:qFormat/>
    <w:rsid w:val="006715E4"/>
    <w:pPr>
      <w:spacing w:before="60"/>
      <w:outlineLvl w:val="5"/>
    </w:pPr>
    <w:rPr>
      <w:color w:val="918585"/>
      <w:sz w:val="20"/>
    </w:rPr>
  </w:style>
  <w:style w:type="paragraph" w:styleId="Heading7">
    <w:name w:val="heading 7"/>
    <w:basedOn w:val="Normal"/>
    <w:next w:val="Normal"/>
    <w:link w:val="Heading7Char"/>
    <w:qFormat/>
    <w:rsid w:val="006715E4"/>
    <w:pPr>
      <w:ind w:left="720"/>
      <w:outlineLvl w:val="6"/>
    </w:pPr>
    <w:rPr>
      <w:i/>
    </w:rPr>
  </w:style>
  <w:style w:type="paragraph" w:styleId="Heading8">
    <w:name w:val="heading 8"/>
    <w:basedOn w:val="Normal"/>
    <w:next w:val="Normal"/>
    <w:link w:val="Heading8Char"/>
    <w:qFormat/>
    <w:rsid w:val="006715E4"/>
    <w:pPr>
      <w:ind w:left="720"/>
      <w:outlineLvl w:val="7"/>
    </w:pPr>
    <w:rPr>
      <w:i/>
    </w:rPr>
  </w:style>
  <w:style w:type="paragraph" w:styleId="Heading9">
    <w:name w:val="heading 9"/>
    <w:basedOn w:val="Normal"/>
    <w:next w:val="Normal"/>
    <w:link w:val="Heading9Char"/>
    <w:qFormat/>
    <w:rsid w:val="006715E4"/>
    <w:pPr>
      <w:ind w:left="720"/>
      <w:outlineLvl w:val="8"/>
    </w:pPr>
    <w:rPr>
      <w:i/>
    </w:rPr>
  </w:style>
  <w:style w:type="character" w:default="1" w:styleId="DefaultParagraphFont">
    <w:name w:val="Default Paragraph Font"/>
    <w:uiPriority w:val="1"/>
    <w:unhideWhenUsed/>
    <w:rsid w:val="006715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5E4"/>
  </w:style>
  <w:style w:type="character" w:customStyle="1" w:styleId="Heading1Char">
    <w:name w:val="Heading 1 Char"/>
    <w:basedOn w:val="DefaultParagraphFont"/>
    <w:link w:val="Heading1"/>
    <w:rsid w:val="006715E4"/>
    <w:rPr>
      <w:rFonts w:ascii="Times New Roman" w:eastAsia="Times New Roman" w:hAnsi="Times New Roman" w:cs="Times New Roman"/>
      <w:b/>
      <w:sz w:val="32"/>
      <w:szCs w:val="20"/>
      <w:lang w:eastAsia="en-US"/>
    </w:rPr>
  </w:style>
  <w:style w:type="paragraph" w:styleId="BodyText">
    <w:name w:val="Body Text"/>
    <w:basedOn w:val="Normal"/>
    <w:link w:val="BodyTextChar"/>
    <w:rsid w:val="006715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15E4"/>
    <w:rPr>
      <w:rFonts w:ascii="Times New Roman" w:eastAsia="Times New Roman" w:hAnsi="Times New Roman" w:cs="Times New Roman"/>
      <w:sz w:val="24"/>
      <w:lang w:eastAsia="en-US"/>
    </w:rPr>
  </w:style>
  <w:style w:type="paragraph" w:styleId="Footer">
    <w:name w:val="footer"/>
    <w:basedOn w:val="Normal"/>
    <w:link w:val="FooterChar"/>
    <w:rsid w:val="006715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15E4"/>
    <w:rPr>
      <w:rFonts w:ascii="Times New Roman" w:eastAsia="Times New Roman" w:hAnsi="Times New Roman" w:cs="Times New Roman"/>
      <w:sz w:val="16"/>
      <w:lang w:eastAsia="en-US"/>
    </w:rPr>
  </w:style>
  <w:style w:type="paragraph" w:styleId="List">
    <w:name w:val="List"/>
    <w:basedOn w:val="BodyText"/>
    <w:next w:val="BodyText"/>
    <w:rsid w:val="006715E4"/>
    <w:pPr>
      <w:tabs>
        <w:tab w:val="left" w:pos="340"/>
      </w:tabs>
      <w:spacing w:before="60" w:after="60"/>
      <w:ind w:left="340" w:hanging="340"/>
    </w:pPr>
  </w:style>
  <w:style w:type="paragraph" w:styleId="ListBullet">
    <w:name w:val="List Bullet"/>
    <w:basedOn w:val="List"/>
    <w:rsid w:val="006715E4"/>
    <w:pPr>
      <w:numPr>
        <w:numId w:val="14"/>
      </w:numPr>
      <w:tabs>
        <w:tab w:val="clear" w:pos="340"/>
      </w:tabs>
      <w:spacing w:before="40" w:after="40"/>
    </w:pPr>
  </w:style>
  <w:style w:type="character" w:customStyle="1" w:styleId="SpecialBold">
    <w:name w:val="Special Bold"/>
    <w:basedOn w:val="DefaultParagraphFont"/>
    <w:rsid w:val="006715E4"/>
    <w:rPr>
      <w:b/>
      <w:spacing w:val="0"/>
    </w:rPr>
  </w:style>
  <w:style w:type="paragraph" w:styleId="ListBullet2">
    <w:name w:val="List Bullet 2"/>
    <w:basedOn w:val="List2"/>
    <w:rsid w:val="006715E4"/>
    <w:pPr>
      <w:numPr>
        <w:numId w:val="15"/>
      </w:numPr>
      <w:tabs>
        <w:tab w:val="clear" w:pos="680"/>
      </w:tabs>
    </w:pPr>
  </w:style>
  <w:style w:type="character" w:styleId="Emphasis">
    <w:name w:val="Emphasis"/>
    <w:basedOn w:val="DefaultParagraphFont"/>
    <w:qFormat/>
    <w:rsid w:val="006715E4"/>
    <w:rPr>
      <w:i/>
    </w:rPr>
  </w:style>
  <w:style w:type="paragraph" w:customStyle="1" w:styleId="SuperHeading">
    <w:name w:val="SuperHeading"/>
    <w:basedOn w:val="Normal"/>
    <w:rsid w:val="006715E4"/>
    <w:pPr>
      <w:spacing w:before="240" w:after="120"/>
      <w:outlineLvl w:val="0"/>
    </w:pPr>
    <w:rPr>
      <w:rFonts w:ascii="Times New Roman" w:hAnsi="Times New Roman"/>
      <w:b/>
      <w:sz w:val="28"/>
    </w:rPr>
  </w:style>
  <w:style w:type="paragraph" w:customStyle="1" w:styleId="AllowPageBreak">
    <w:name w:val="AllowPageBreak"/>
    <w:rsid w:val="006715E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715E4"/>
    <w:pPr>
      <w:numPr>
        <w:numId w:val="3"/>
      </w:numPr>
      <w:tabs>
        <w:tab w:val="clear" w:pos="1021"/>
      </w:tabs>
      <w:ind w:left="1037" w:hanging="357"/>
    </w:pPr>
  </w:style>
  <w:style w:type="character" w:customStyle="1" w:styleId="BoldandItalics">
    <w:name w:val="Bold and Italics"/>
    <w:qFormat/>
    <w:rsid w:val="006715E4"/>
    <w:rPr>
      <w:b/>
      <w:i/>
      <w:u w:val="none"/>
    </w:rPr>
  </w:style>
  <w:style w:type="character" w:customStyle="1" w:styleId="Heading2Char">
    <w:name w:val="Heading 2 Char"/>
    <w:basedOn w:val="DefaultParagraphFont"/>
    <w:link w:val="Heading2"/>
    <w:rsid w:val="006715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15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15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15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15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15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15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15E4"/>
    <w:rPr>
      <w:rFonts w:ascii="Courier New" w:eastAsia="Times New Roman" w:hAnsi="Courier New" w:cs="Times New Roman"/>
      <w:i/>
      <w:szCs w:val="20"/>
      <w:lang w:eastAsia="en-US"/>
    </w:rPr>
  </w:style>
  <w:style w:type="paragraph" w:customStyle="1" w:styleId="HeadingBase">
    <w:name w:val="Heading Base"/>
    <w:rsid w:val="006715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15E4"/>
    <w:pPr>
      <w:tabs>
        <w:tab w:val="right" w:leader="dot" w:pos="9072"/>
      </w:tabs>
      <w:ind w:left="567"/>
    </w:pPr>
    <w:rPr>
      <w:szCs w:val="22"/>
    </w:rPr>
  </w:style>
  <w:style w:type="paragraph" w:customStyle="1" w:styleId="TOCBase">
    <w:name w:val="TOC Base"/>
    <w:rsid w:val="006715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15E4"/>
    <w:pPr>
      <w:tabs>
        <w:tab w:val="right" w:leader="dot" w:pos="9072"/>
      </w:tabs>
      <w:spacing w:before="40" w:after="40"/>
      <w:ind w:left="284"/>
    </w:pPr>
    <w:rPr>
      <w:rFonts w:ascii="Times New Roman" w:hAnsi="Times New Roman"/>
    </w:rPr>
  </w:style>
  <w:style w:type="paragraph" w:styleId="TOC1">
    <w:name w:val="toc 1"/>
    <w:basedOn w:val="TOCBase"/>
    <w:next w:val="Normal"/>
    <w:rsid w:val="006715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15E4"/>
    <w:pPr>
      <w:spacing w:before="5040"/>
      <w:jc w:val="center"/>
    </w:pPr>
    <w:rPr>
      <w:sz w:val="48"/>
      <w:szCs w:val="72"/>
      <w:lang w:val="en-US"/>
    </w:rPr>
  </w:style>
  <w:style w:type="character" w:customStyle="1" w:styleId="TitleChar">
    <w:name w:val="Title Char"/>
    <w:basedOn w:val="DefaultParagraphFont"/>
    <w:link w:val="Title"/>
    <w:rsid w:val="006715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15E4"/>
    <w:pPr>
      <w:tabs>
        <w:tab w:val="left" w:pos="3600"/>
        <w:tab w:val="left" w:pos="3958"/>
      </w:tabs>
    </w:pPr>
  </w:style>
  <w:style w:type="paragraph" w:customStyle="1" w:styleId="Note">
    <w:name w:val="Note"/>
    <w:basedOn w:val="BodyText"/>
    <w:rsid w:val="006715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15E4"/>
    <w:pPr>
      <w:framePr w:wrap="auto" w:hAnchor="text" w:y="6049"/>
    </w:pPr>
    <w:rPr>
      <w:color w:val="000000"/>
      <w:sz w:val="40"/>
    </w:rPr>
  </w:style>
  <w:style w:type="paragraph" w:customStyle="1" w:styleId="TOCTitle">
    <w:name w:val="TOCTitle"/>
    <w:basedOn w:val="Heading1"/>
    <w:rsid w:val="006715E4"/>
    <w:pPr>
      <w:spacing w:after="240"/>
      <w:jc w:val="center"/>
      <w:outlineLvl w:val="9"/>
    </w:pPr>
    <w:rPr>
      <w:caps/>
    </w:rPr>
  </w:style>
  <w:style w:type="paragraph" w:customStyle="1" w:styleId="Version">
    <w:name w:val="Version"/>
    <w:rsid w:val="006715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15E4"/>
    <w:pPr>
      <w:keepNext w:val="0"/>
      <w:tabs>
        <w:tab w:val="right" w:pos="4176"/>
      </w:tabs>
      <w:ind w:left="198" w:hanging="198"/>
    </w:pPr>
    <w:rPr>
      <w:rFonts w:ascii="Garamond" w:hAnsi="Garamond"/>
    </w:rPr>
  </w:style>
  <w:style w:type="paragraph" w:styleId="IndexHeading">
    <w:name w:val="index heading"/>
    <w:basedOn w:val="Normal"/>
    <w:next w:val="Index1"/>
    <w:semiHidden/>
    <w:rsid w:val="006715E4"/>
    <w:pPr>
      <w:spacing w:before="120" w:after="120"/>
    </w:pPr>
    <w:rPr>
      <w:rFonts w:ascii="Arial" w:hAnsi="Arial"/>
      <w:b/>
      <w:color w:val="918585"/>
      <w:sz w:val="24"/>
    </w:rPr>
  </w:style>
  <w:style w:type="paragraph" w:styleId="Header">
    <w:name w:val="header"/>
    <w:basedOn w:val="Normal"/>
    <w:link w:val="HeaderChar"/>
    <w:rsid w:val="006715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15E4"/>
    <w:rPr>
      <w:rFonts w:ascii="Times New Roman" w:eastAsia="Times New Roman" w:hAnsi="Times New Roman" w:cs="Times New Roman"/>
      <w:sz w:val="16"/>
      <w:szCs w:val="20"/>
      <w:lang w:val="en-GB" w:eastAsia="en-US"/>
    </w:rPr>
  </w:style>
  <w:style w:type="paragraph" w:customStyle="1" w:styleId="Chapter">
    <w:name w:val="Chapter"/>
    <w:basedOn w:val="Normal"/>
    <w:rsid w:val="006715E4"/>
    <w:pPr>
      <w:spacing w:before="240"/>
    </w:pPr>
    <w:rPr>
      <w:rFonts w:ascii="Times New Roman" w:hAnsi="Times New Roman"/>
      <w:smallCaps/>
      <w:spacing w:val="80"/>
      <w:sz w:val="28"/>
    </w:rPr>
  </w:style>
  <w:style w:type="paragraph" w:customStyle="1" w:styleId="InChapter">
    <w:name w:val="InChapter"/>
    <w:basedOn w:val="Heading3"/>
    <w:rsid w:val="006715E4"/>
    <w:pPr>
      <w:spacing w:after="240"/>
      <w:outlineLvl w:val="9"/>
    </w:pPr>
    <w:rPr>
      <w:noProof/>
    </w:rPr>
  </w:style>
  <w:style w:type="paragraph" w:styleId="Index2">
    <w:name w:val="index 2"/>
    <w:basedOn w:val="Normal"/>
    <w:next w:val="Normal"/>
    <w:semiHidden/>
    <w:rsid w:val="006715E4"/>
    <w:pPr>
      <w:tabs>
        <w:tab w:val="right" w:pos="4176"/>
      </w:tabs>
      <w:ind w:left="568" w:hanging="284"/>
    </w:pPr>
    <w:rPr>
      <w:rFonts w:ascii="Garamond" w:hAnsi="Garamond"/>
    </w:rPr>
  </w:style>
  <w:style w:type="paragraph" w:customStyle="1" w:styleId="Byline">
    <w:name w:val="Byline"/>
    <w:rsid w:val="006715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15E4"/>
    <w:pPr>
      <w:tabs>
        <w:tab w:val="clear" w:pos="3600"/>
        <w:tab w:val="clear" w:pos="3958"/>
      </w:tabs>
      <w:jc w:val="right"/>
    </w:pPr>
  </w:style>
  <w:style w:type="paragraph" w:styleId="Caption">
    <w:name w:val="caption"/>
    <w:basedOn w:val="BodyText"/>
    <w:next w:val="Normal"/>
    <w:qFormat/>
    <w:rsid w:val="006715E4"/>
    <w:pPr>
      <w:framePr w:w="2268" w:hSpace="181" w:vSpace="181" w:wrap="around" w:vAnchor="text" w:hAnchor="page" w:x="1135" w:y="285" w:anchorLock="1"/>
    </w:pPr>
    <w:rPr>
      <w:i/>
    </w:rPr>
  </w:style>
  <w:style w:type="paragraph" w:customStyle="1" w:styleId="MiniTOCTitle">
    <w:name w:val="MiniTOCTitle"/>
    <w:basedOn w:val="Heading4"/>
    <w:rsid w:val="006715E4"/>
    <w:pPr>
      <w:spacing w:before="240"/>
      <w:outlineLvl w:val="9"/>
    </w:pPr>
    <w:rPr>
      <w:noProof/>
      <w:sz w:val="24"/>
    </w:rPr>
  </w:style>
  <w:style w:type="paragraph" w:customStyle="1" w:styleId="MiniTOCItem">
    <w:name w:val="MiniTOCItem"/>
    <w:basedOn w:val="ListBullet"/>
    <w:rsid w:val="006715E4"/>
    <w:pPr>
      <w:numPr>
        <w:numId w:val="0"/>
      </w:numPr>
      <w:tabs>
        <w:tab w:val="right" w:leader="dot" w:pos="6521"/>
      </w:tabs>
      <w:spacing w:before="0" w:after="0"/>
    </w:pPr>
  </w:style>
  <w:style w:type="paragraph" w:customStyle="1" w:styleId="TOFTitle">
    <w:name w:val="TOFTitle"/>
    <w:basedOn w:val="TOCTitle"/>
    <w:rsid w:val="006715E4"/>
  </w:style>
  <w:style w:type="paragraph" w:styleId="TableofFigures">
    <w:name w:val="table of figures"/>
    <w:basedOn w:val="Normal"/>
    <w:next w:val="Normal"/>
    <w:semiHidden/>
    <w:rsid w:val="006715E4"/>
    <w:pPr>
      <w:tabs>
        <w:tab w:val="right" w:leader="dot" w:pos="9072"/>
      </w:tabs>
      <w:ind w:left="970" w:hanging="403"/>
    </w:pPr>
    <w:rPr>
      <w:rFonts w:ascii="Times New Roman" w:hAnsi="Times New Roman"/>
      <w:b/>
    </w:rPr>
  </w:style>
  <w:style w:type="paragraph" w:styleId="ListNumber">
    <w:name w:val="List Number"/>
    <w:basedOn w:val="List"/>
    <w:rsid w:val="006715E4"/>
    <w:pPr>
      <w:numPr>
        <w:numId w:val="12"/>
      </w:numPr>
    </w:pPr>
  </w:style>
  <w:style w:type="character" w:customStyle="1" w:styleId="WingdingSymbols">
    <w:name w:val="Wingding Symbols"/>
    <w:rsid w:val="006715E4"/>
    <w:rPr>
      <w:rFonts w:ascii="Wingdings" w:hAnsi="Wingdings"/>
    </w:rPr>
  </w:style>
  <w:style w:type="paragraph" w:customStyle="1" w:styleId="TableHeading">
    <w:name w:val="Table Heading"/>
    <w:basedOn w:val="HeadingBase"/>
    <w:rsid w:val="006715E4"/>
    <w:pPr>
      <w:keepLines/>
      <w:pBdr>
        <w:bottom w:val="single" w:sz="6" w:space="1" w:color="918585"/>
      </w:pBdr>
      <w:spacing w:before="240"/>
    </w:pPr>
  </w:style>
  <w:style w:type="character" w:customStyle="1" w:styleId="HotSpot">
    <w:name w:val="HotSpot"/>
    <w:rsid w:val="006715E4"/>
    <w:rPr>
      <w:color w:val="0033CC"/>
      <w:u w:val="none"/>
    </w:rPr>
  </w:style>
  <w:style w:type="paragraph" w:customStyle="1" w:styleId="BodyTextRight">
    <w:name w:val="Body Text Right"/>
    <w:basedOn w:val="BodyText"/>
    <w:rsid w:val="006715E4"/>
    <w:pPr>
      <w:spacing w:before="0" w:after="0"/>
      <w:jc w:val="right"/>
    </w:pPr>
  </w:style>
  <w:style w:type="paragraph" w:styleId="Index3">
    <w:name w:val="index 3"/>
    <w:basedOn w:val="ListNumber2"/>
    <w:next w:val="Normal"/>
    <w:semiHidden/>
    <w:rsid w:val="006715E4"/>
    <w:pPr>
      <w:numPr>
        <w:numId w:val="0"/>
      </w:numPr>
      <w:tabs>
        <w:tab w:val="right" w:leader="dot" w:pos="4176"/>
      </w:tabs>
    </w:pPr>
  </w:style>
  <w:style w:type="paragraph" w:styleId="ListNumber2">
    <w:name w:val="List Number 2"/>
    <w:basedOn w:val="List2"/>
    <w:rsid w:val="006715E4"/>
    <w:pPr>
      <w:numPr>
        <w:numId w:val="11"/>
      </w:numPr>
      <w:tabs>
        <w:tab w:val="clear" w:pos="1060"/>
      </w:tabs>
    </w:pPr>
  </w:style>
  <w:style w:type="paragraph" w:customStyle="1" w:styleId="MarginNote">
    <w:name w:val="Margin Note"/>
    <w:basedOn w:val="BodyText"/>
    <w:rsid w:val="006715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15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15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15E4"/>
    <w:rPr>
      <w:sz w:val="32"/>
    </w:rPr>
  </w:style>
  <w:style w:type="paragraph" w:customStyle="1" w:styleId="HeadingProcedure">
    <w:name w:val="Heading Procedure"/>
    <w:basedOn w:val="HeadingBase"/>
    <w:next w:val="Normal"/>
    <w:rsid w:val="006715E4"/>
    <w:pPr>
      <w:tabs>
        <w:tab w:val="left" w:pos="0"/>
      </w:tabs>
      <w:spacing w:before="120" w:after="60"/>
    </w:pPr>
    <w:rPr>
      <w:i/>
      <w:color w:val="918585"/>
      <w:sz w:val="22"/>
    </w:rPr>
  </w:style>
  <w:style w:type="paragraph" w:customStyle="1" w:styleId="TableBodyText">
    <w:name w:val="Table Body Text"/>
    <w:basedOn w:val="BodyText"/>
    <w:rsid w:val="006715E4"/>
    <w:pPr>
      <w:spacing w:before="60" w:after="60"/>
    </w:pPr>
  </w:style>
  <w:style w:type="paragraph" w:styleId="ListContinue">
    <w:name w:val="List Continue"/>
    <w:basedOn w:val="List"/>
    <w:rsid w:val="006715E4"/>
    <w:pPr>
      <w:ind w:firstLine="0"/>
    </w:pPr>
  </w:style>
  <w:style w:type="paragraph" w:customStyle="1" w:styleId="ListNote">
    <w:name w:val="List Note"/>
    <w:basedOn w:val="List"/>
    <w:rsid w:val="006715E4"/>
    <w:pPr>
      <w:pBdr>
        <w:top w:val="single" w:sz="6" w:space="2" w:color="918585"/>
        <w:bottom w:val="single" w:sz="6" w:space="2" w:color="918585"/>
      </w:pBdr>
      <w:tabs>
        <w:tab w:val="left" w:pos="1021"/>
      </w:tabs>
      <w:ind w:firstLine="0"/>
    </w:pPr>
  </w:style>
  <w:style w:type="paragraph" w:customStyle="1" w:styleId="Warning">
    <w:name w:val="Warning"/>
    <w:basedOn w:val="BodyText"/>
    <w:rsid w:val="006715E4"/>
    <w:pPr>
      <w:shd w:val="clear" w:color="auto" w:fill="D9D9D9"/>
      <w:tabs>
        <w:tab w:val="left" w:pos="992"/>
      </w:tabs>
      <w:ind w:left="119" w:right="119"/>
    </w:pPr>
    <w:rPr>
      <w:sz w:val="20"/>
    </w:rPr>
  </w:style>
  <w:style w:type="paragraph" w:customStyle="1" w:styleId="MarginIcons">
    <w:name w:val="Margin Icons"/>
    <w:basedOn w:val="BodyText"/>
    <w:rsid w:val="006715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15E4"/>
    <w:rPr>
      <w:rFonts w:ascii="Courier New" w:hAnsi="Courier New"/>
    </w:rPr>
  </w:style>
  <w:style w:type="paragraph" w:customStyle="1" w:styleId="NoteBullet">
    <w:name w:val="Note Bullet"/>
    <w:basedOn w:val="Note"/>
    <w:rsid w:val="006715E4"/>
    <w:pPr>
      <w:tabs>
        <w:tab w:val="clear" w:pos="680"/>
      </w:tabs>
      <w:spacing w:before="60" w:after="60"/>
    </w:pPr>
  </w:style>
  <w:style w:type="paragraph" w:customStyle="1" w:styleId="SubHeading2">
    <w:name w:val="SubHeading2"/>
    <w:basedOn w:val="HeadingBase"/>
    <w:rsid w:val="006715E4"/>
    <w:pPr>
      <w:spacing w:before="240" w:after="60"/>
    </w:pPr>
    <w:rPr>
      <w:sz w:val="20"/>
    </w:rPr>
  </w:style>
  <w:style w:type="paragraph" w:customStyle="1" w:styleId="SubHeading1">
    <w:name w:val="SubHeading1"/>
    <w:basedOn w:val="HeadingBase"/>
    <w:rsid w:val="006715E4"/>
    <w:pPr>
      <w:spacing w:before="240" w:after="60"/>
    </w:pPr>
    <w:rPr>
      <w:color w:val="918585"/>
      <w:sz w:val="22"/>
    </w:rPr>
  </w:style>
  <w:style w:type="paragraph" w:customStyle="1" w:styleId="SideHeading">
    <w:name w:val="Side Heading"/>
    <w:basedOn w:val="HeadingBase"/>
    <w:rsid w:val="006715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15E4"/>
    <w:pPr>
      <w:numPr>
        <w:numId w:val="13"/>
      </w:numPr>
    </w:pPr>
  </w:style>
  <w:style w:type="paragraph" w:styleId="PlainText">
    <w:name w:val="Plain Text"/>
    <w:basedOn w:val="Normal"/>
    <w:link w:val="PlainTextChar"/>
    <w:rsid w:val="006715E4"/>
    <w:rPr>
      <w:sz w:val="20"/>
    </w:rPr>
  </w:style>
  <w:style w:type="character" w:customStyle="1" w:styleId="PlainTextChar">
    <w:name w:val="Plain Text Char"/>
    <w:basedOn w:val="DefaultParagraphFont"/>
    <w:link w:val="PlainText"/>
    <w:rsid w:val="006715E4"/>
    <w:rPr>
      <w:rFonts w:ascii="Courier New" w:eastAsia="Times New Roman" w:hAnsi="Courier New" w:cs="Times New Roman"/>
      <w:sz w:val="20"/>
      <w:szCs w:val="20"/>
      <w:lang w:eastAsia="en-US"/>
    </w:rPr>
  </w:style>
  <w:style w:type="character" w:customStyle="1" w:styleId="MenuOption">
    <w:name w:val="Menu Option"/>
    <w:basedOn w:val="DefaultParagraphFont"/>
    <w:rsid w:val="006715E4"/>
    <w:rPr>
      <w:b/>
      <w:smallCaps/>
    </w:rPr>
  </w:style>
  <w:style w:type="paragraph" w:customStyle="1" w:styleId="TableListNumber">
    <w:name w:val="Table List Number"/>
    <w:basedOn w:val="ListNumber"/>
    <w:rsid w:val="006715E4"/>
    <w:pPr>
      <w:numPr>
        <w:numId w:val="0"/>
      </w:numPr>
    </w:pPr>
  </w:style>
  <w:style w:type="paragraph" w:styleId="TOC4">
    <w:name w:val="toc 4"/>
    <w:basedOn w:val="TOCBase"/>
    <w:next w:val="Normal"/>
    <w:semiHidden/>
    <w:rsid w:val="006715E4"/>
    <w:pPr>
      <w:tabs>
        <w:tab w:val="right" w:leader="dot" w:pos="9071"/>
      </w:tabs>
      <w:ind w:left="1701"/>
    </w:pPr>
  </w:style>
  <w:style w:type="paragraph" w:customStyle="1" w:styleId="ListAlpha">
    <w:name w:val="List Alpha"/>
    <w:basedOn w:val="List"/>
    <w:rsid w:val="006715E4"/>
    <w:pPr>
      <w:numPr>
        <w:numId w:val="10"/>
      </w:numPr>
    </w:pPr>
  </w:style>
  <w:style w:type="paragraph" w:customStyle="1" w:styleId="ListAlpha2">
    <w:name w:val="List Alpha 2"/>
    <w:basedOn w:val="List2"/>
    <w:rsid w:val="006715E4"/>
    <w:pPr>
      <w:numPr>
        <w:numId w:val="9"/>
      </w:numPr>
    </w:pPr>
  </w:style>
  <w:style w:type="paragraph" w:styleId="List2">
    <w:name w:val="List 2"/>
    <w:basedOn w:val="BodyText"/>
    <w:rsid w:val="006715E4"/>
    <w:pPr>
      <w:tabs>
        <w:tab w:val="left" w:pos="680"/>
      </w:tabs>
      <w:spacing w:before="60" w:after="60"/>
      <w:ind w:left="680" w:hanging="340"/>
    </w:pPr>
  </w:style>
  <w:style w:type="paragraph" w:styleId="List3">
    <w:name w:val="List 3"/>
    <w:basedOn w:val="BodyText"/>
    <w:rsid w:val="006715E4"/>
    <w:pPr>
      <w:tabs>
        <w:tab w:val="left" w:pos="1021"/>
      </w:tabs>
      <w:spacing w:before="60" w:after="60"/>
      <w:ind w:left="1020" w:hanging="340"/>
    </w:pPr>
  </w:style>
  <w:style w:type="paragraph" w:styleId="List4">
    <w:name w:val="List 4"/>
    <w:basedOn w:val="BodyText"/>
    <w:rsid w:val="006715E4"/>
    <w:pPr>
      <w:tabs>
        <w:tab w:val="left" w:pos="1361"/>
      </w:tabs>
      <w:spacing w:before="60" w:after="60"/>
      <w:ind w:left="1361" w:hanging="340"/>
    </w:pPr>
  </w:style>
  <w:style w:type="paragraph" w:styleId="List5">
    <w:name w:val="List 5"/>
    <w:basedOn w:val="BodyText"/>
    <w:rsid w:val="006715E4"/>
    <w:pPr>
      <w:tabs>
        <w:tab w:val="left" w:pos="1701"/>
      </w:tabs>
      <w:spacing w:before="60" w:after="60"/>
      <w:ind w:left="1701" w:hanging="340"/>
    </w:pPr>
  </w:style>
  <w:style w:type="paragraph" w:styleId="ListBullet4">
    <w:name w:val="List Bullet 4"/>
    <w:basedOn w:val="List4"/>
    <w:rsid w:val="006715E4"/>
    <w:pPr>
      <w:numPr>
        <w:numId w:val="4"/>
      </w:numPr>
    </w:pPr>
  </w:style>
  <w:style w:type="paragraph" w:styleId="ListBullet5">
    <w:name w:val="List Bullet 5"/>
    <w:basedOn w:val="List5"/>
    <w:rsid w:val="006715E4"/>
    <w:pPr>
      <w:numPr>
        <w:numId w:val="5"/>
      </w:numPr>
    </w:pPr>
  </w:style>
  <w:style w:type="paragraph" w:styleId="ListContinue2">
    <w:name w:val="List Continue 2"/>
    <w:basedOn w:val="List2"/>
    <w:rsid w:val="006715E4"/>
    <w:pPr>
      <w:ind w:firstLine="0"/>
    </w:pPr>
  </w:style>
  <w:style w:type="paragraph" w:styleId="ListContinue3">
    <w:name w:val="List Continue 3"/>
    <w:basedOn w:val="List3"/>
    <w:rsid w:val="006715E4"/>
    <w:pPr>
      <w:ind w:left="1021" w:firstLine="0"/>
    </w:pPr>
  </w:style>
  <w:style w:type="paragraph" w:styleId="ListContinue4">
    <w:name w:val="List Continue 4"/>
    <w:basedOn w:val="List4"/>
    <w:rsid w:val="006715E4"/>
    <w:pPr>
      <w:ind w:firstLine="0"/>
    </w:pPr>
  </w:style>
  <w:style w:type="paragraph" w:styleId="ListContinue5">
    <w:name w:val="List Continue 5"/>
    <w:basedOn w:val="List5"/>
    <w:rsid w:val="006715E4"/>
    <w:pPr>
      <w:ind w:firstLine="0"/>
    </w:pPr>
  </w:style>
  <w:style w:type="paragraph" w:styleId="ListNumber3">
    <w:name w:val="List Number 3"/>
    <w:basedOn w:val="List3"/>
    <w:rsid w:val="006715E4"/>
    <w:pPr>
      <w:numPr>
        <w:numId w:val="6"/>
      </w:numPr>
    </w:pPr>
  </w:style>
  <w:style w:type="paragraph" w:styleId="ListNumber4">
    <w:name w:val="List Number 4"/>
    <w:basedOn w:val="List4"/>
    <w:rsid w:val="006715E4"/>
    <w:pPr>
      <w:numPr>
        <w:numId w:val="7"/>
      </w:numPr>
    </w:pPr>
  </w:style>
  <w:style w:type="paragraph" w:styleId="ListNumber5">
    <w:name w:val="List Number 5"/>
    <w:basedOn w:val="List5"/>
    <w:rsid w:val="006715E4"/>
    <w:pPr>
      <w:numPr>
        <w:numId w:val="8"/>
      </w:numPr>
    </w:pPr>
  </w:style>
  <w:style w:type="paragraph" w:styleId="BlockText">
    <w:name w:val="Block Text"/>
    <w:basedOn w:val="Normal"/>
    <w:rsid w:val="006715E4"/>
    <w:pPr>
      <w:spacing w:after="120"/>
      <w:ind w:left="1440" w:right="1440"/>
    </w:pPr>
  </w:style>
  <w:style w:type="character" w:customStyle="1" w:styleId="Subscript">
    <w:name w:val="Subscript"/>
    <w:basedOn w:val="DefaultParagraphFont"/>
    <w:rsid w:val="006715E4"/>
    <w:rPr>
      <w:sz w:val="16"/>
      <w:vertAlign w:val="subscript"/>
    </w:rPr>
  </w:style>
  <w:style w:type="character" w:customStyle="1" w:styleId="Superscript">
    <w:name w:val="Superscript"/>
    <w:basedOn w:val="DefaultParagraphFont"/>
    <w:rsid w:val="006715E4"/>
    <w:rPr>
      <w:sz w:val="16"/>
      <w:vertAlign w:val="superscript"/>
    </w:rPr>
  </w:style>
  <w:style w:type="character" w:customStyle="1" w:styleId="Symbols">
    <w:name w:val="Symbols"/>
    <w:basedOn w:val="DefaultParagraphFont"/>
    <w:rsid w:val="006715E4"/>
    <w:rPr>
      <w:rFonts w:ascii="Symbol" w:hAnsi="Symbol"/>
    </w:rPr>
  </w:style>
  <w:style w:type="character" w:customStyle="1" w:styleId="MenuOptions">
    <w:name w:val="Menu Options"/>
    <w:basedOn w:val="DefaultParagraphFont"/>
    <w:rsid w:val="006715E4"/>
    <w:rPr>
      <w:rFonts w:ascii="Arial Narrow" w:hAnsi="Arial Narrow"/>
      <w:smallCaps/>
    </w:rPr>
  </w:style>
  <w:style w:type="character" w:customStyle="1" w:styleId="Buttons">
    <w:name w:val="Buttons"/>
    <w:basedOn w:val="DefaultParagraphFont"/>
    <w:rsid w:val="006715E4"/>
    <w:rPr>
      <w:b/>
    </w:rPr>
  </w:style>
  <w:style w:type="character" w:customStyle="1" w:styleId="Underlined">
    <w:name w:val="Underlined"/>
    <w:basedOn w:val="DefaultParagraphFont"/>
    <w:rsid w:val="006715E4"/>
    <w:rPr>
      <w:u w:val="single"/>
    </w:rPr>
  </w:style>
  <w:style w:type="paragraph" w:customStyle="1" w:styleId="TableBodyTextRight">
    <w:name w:val="Table Body Text Right"/>
    <w:basedOn w:val="TableBodyText"/>
    <w:rsid w:val="006715E4"/>
    <w:pPr>
      <w:widowControl w:val="0"/>
      <w:autoSpaceDE w:val="0"/>
      <w:autoSpaceDN w:val="0"/>
      <w:adjustRightInd w:val="0"/>
      <w:jc w:val="right"/>
    </w:pPr>
    <w:rPr>
      <w:rFonts w:cs="Arial"/>
      <w:szCs w:val="18"/>
    </w:rPr>
  </w:style>
  <w:style w:type="paragraph" w:customStyle="1" w:styleId="CopyrightText">
    <w:name w:val="Copyright Text"/>
    <w:basedOn w:val="BodyText"/>
    <w:rsid w:val="006715E4"/>
    <w:rPr>
      <w:sz w:val="18"/>
    </w:rPr>
  </w:style>
  <w:style w:type="paragraph" w:customStyle="1" w:styleId="BodySmallRight">
    <w:name w:val="Body Small Right"/>
    <w:basedOn w:val="BodyTextRight"/>
    <w:rsid w:val="006715E4"/>
    <w:rPr>
      <w:sz w:val="18"/>
      <w:szCs w:val="18"/>
    </w:rPr>
  </w:style>
  <w:style w:type="paragraph" w:customStyle="1" w:styleId="MarginEdition">
    <w:name w:val="Margin Edition"/>
    <w:basedOn w:val="MarginNote"/>
    <w:rsid w:val="006715E4"/>
    <w:pPr>
      <w:spacing w:before="0" w:after="0"/>
    </w:pPr>
    <w:rPr>
      <w:rFonts w:ascii="Times New Roman" w:hAnsi="Times New Roman"/>
      <w:color w:val="999999"/>
    </w:rPr>
  </w:style>
  <w:style w:type="paragraph" w:customStyle="1" w:styleId="Spacer">
    <w:name w:val="Spacer"/>
    <w:basedOn w:val="Normal"/>
    <w:rsid w:val="006715E4"/>
    <w:rPr>
      <w:sz w:val="2"/>
      <w:szCs w:val="2"/>
    </w:rPr>
  </w:style>
  <w:style w:type="character" w:customStyle="1" w:styleId="Small">
    <w:name w:val="Small"/>
    <w:basedOn w:val="DefaultParagraphFont"/>
    <w:rsid w:val="006715E4"/>
    <w:rPr>
      <w:sz w:val="16"/>
    </w:rPr>
  </w:style>
  <w:style w:type="paragraph" w:customStyle="1" w:styleId="WideTable">
    <w:name w:val="Wide Table"/>
    <w:basedOn w:val="Normal"/>
    <w:rsid w:val="006715E4"/>
    <w:pPr>
      <w:ind w:left="-1418"/>
    </w:pPr>
    <w:rPr>
      <w:sz w:val="2"/>
      <w:szCs w:val="2"/>
    </w:rPr>
  </w:style>
  <w:style w:type="character" w:styleId="PageNumber">
    <w:name w:val="page number"/>
    <w:basedOn w:val="DefaultParagraphFont"/>
    <w:rsid w:val="006715E4"/>
  </w:style>
  <w:style w:type="paragraph" w:styleId="Quote">
    <w:name w:val="Quote"/>
    <w:basedOn w:val="Heading1"/>
    <w:link w:val="QuoteChar"/>
    <w:qFormat/>
    <w:rsid w:val="006715E4"/>
    <w:rPr>
      <w:b w:val="0"/>
      <w:sz w:val="72"/>
      <w:szCs w:val="72"/>
      <w:lang w:val="en-NZ"/>
    </w:rPr>
  </w:style>
  <w:style w:type="character" w:customStyle="1" w:styleId="QuoteChar">
    <w:name w:val="Quote Char"/>
    <w:basedOn w:val="DefaultParagraphFont"/>
    <w:link w:val="Quote"/>
    <w:rsid w:val="006715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15E4"/>
    <w:pPr>
      <w:pageBreakBefore/>
    </w:pPr>
  </w:style>
  <w:style w:type="paragraph" w:customStyle="1" w:styleId="Border">
    <w:name w:val="Border"/>
    <w:basedOn w:val="Normal"/>
    <w:qFormat/>
    <w:rsid w:val="006715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15E4"/>
    <w:rPr>
      <w:b/>
      <w:bCs/>
      <w:i/>
      <w:iCs/>
      <w:color w:val="auto"/>
    </w:rPr>
  </w:style>
  <w:style w:type="paragraph" w:styleId="IntenseQuote">
    <w:name w:val="Intense Quote"/>
    <w:basedOn w:val="Normal"/>
    <w:next w:val="Normal"/>
    <w:link w:val="IntenseQuoteChar"/>
    <w:uiPriority w:val="30"/>
    <w:qFormat/>
    <w:rsid w:val="006715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15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15E4"/>
    <w:rPr>
      <w:smallCaps/>
      <w:color w:val="auto"/>
      <w:u w:val="single"/>
    </w:rPr>
  </w:style>
  <w:style w:type="character" w:styleId="IntenseReference">
    <w:name w:val="Intense Reference"/>
    <w:basedOn w:val="DefaultParagraphFont"/>
    <w:uiPriority w:val="32"/>
    <w:qFormat/>
    <w:rsid w:val="006715E4"/>
    <w:rPr>
      <w:b/>
      <w:bCs/>
      <w:smallCaps/>
      <w:color w:val="auto"/>
      <w:spacing w:val="5"/>
      <w:u w:val="single"/>
    </w:rPr>
  </w:style>
  <w:style w:type="paragraph" w:customStyle="1" w:styleId="2ColumnHeading">
    <w:name w:val="2Column Heading"/>
    <w:basedOn w:val="BodyText"/>
    <w:qFormat/>
    <w:rsid w:val="006715E4"/>
    <w:pPr>
      <w:spacing w:after="60"/>
      <w:ind w:left="-2268"/>
    </w:pPr>
    <w:rPr>
      <w:b/>
    </w:rPr>
  </w:style>
  <w:style w:type="paragraph" w:customStyle="1" w:styleId="Heading1TOC">
    <w:name w:val="Heading1 TOC"/>
    <w:basedOn w:val="Normal"/>
    <w:qFormat/>
    <w:rsid w:val="006715E4"/>
    <w:pPr>
      <w:spacing w:before="240" w:after="120"/>
    </w:pPr>
    <w:rPr>
      <w:rFonts w:ascii="Times New Roman" w:hAnsi="Times New Roman"/>
      <w:b/>
      <w:sz w:val="32"/>
    </w:rPr>
  </w:style>
  <w:style w:type="paragraph" w:customStyle="1" w:styleId="Heading2TOC">
    <w:name w:val="Heading2 TOC"/>
    <w:basedOn w:val="Normal"/>
    <w:qFormat/>
    <w:rsid w:val="006715E4"/>
    <w:pPr>
      <w:spacing w:before="240" w:after="60"/>
    </w:pPr>
    <w:rPr>
      <w:rFonts w:ascii="Times New Roman" w:hAnsi="Times New Roman"/>
      <w:b/>
      <w:sz w:val="28"/>
    </w:rPr>
  </w:style>
  <w:style w:type="character" w:customStyle="1" w:styleId="Underline">
    <w:name w:val="Underline"/>
    <w:basedOn w:val="DefaultParagraphFont"/>
    <w:qFormat/>
    <w:rsid w:val="006715E4"/>
    <w:rPr>
      <w:u w:val="single"/>
    </w:rPr>
  </w:style>
  <w:style w:type="paragraph" w:styleId="BalloonText">
    <w:name w:val="Balloon Text"/>
    <w:basedOn w:val="Normal"/>
    <w:link w:val="BalloonTextChar"/>
    <w:rsid w:val="006715E4"/>
    <w:rPr>
      <w:rFonts w:ascii="Tahoma" w:hAnsi="Tahoma" w:cs="Tahoma"/>
      <w:sz w:val="16"/>
      <w:szCs w:val="16"/>
    </w:rPr>
  </w:style>
  <w:style w:type="character" w:customStyle="1" w:styleId="BalloonTextChar">
    <w:name w:val="Balloon Text Char"/>
    <w:basedOn w:val="DefaultParagraphFont"/>
    <w:link w:val="BalloonText"/>
    <w:rsid w:val="006715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15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15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15E4"/>
    <w:rPr>
      <w:b/>
      <w:color w:val="660033"/>
      <w:spacing w:val="0"/>
    </w:rPr>
  </w:style>
  <w:style w:type="paragraph" w:customStyle="1" w:styleId="Nameditemlist">
    <w:name w:val="Named item list"/>
    <w:basedOn w:val="BodyText"/>
    <w:qFormat/>
    <w:rsid w:val="006715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1885</Words>
  <Characters>11893</Characters>
  <Application>Microsoft Office Word</Application>
  <DocSecurity>0</DocSecurity>
  <Lines>371</Lines>
  <Paragraphs>220</Paragraphs>
  <ScaleCrop>false</ScaleCrop>
  <Company>Author-it Software Corporation Ltd.</Company>
  <LinksUpToDate>false</LinksUpToDate>
  <CharactersWithSpaces>13693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PSPMNGT604B Manage change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2012-11-01T17:24:00Z</dcterms:created>
  <dcterms:modified xsi:type="dcterms:W3CDTF">2012-11-01T17:24:00Z</dcterms:modified>
</cp:coreProperties>
</file>