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3C2" w:rsidP="008833C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PSPLEGN601B Manage compliance with legislation in the public sector</w:t>
      </w:r>
      <w:r>
        <w:fldChar w:fldCharType="end"/>
      </w:r>
    </w:p>
    <w:p w:rsidR="008833C2" w:rsidP="008833C2">
      <w:pPr>
        <w:pStyle w:val="Version"/>
        <w:sectPr w:rsidSect="003B6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3B65C0" w:rsidP="003B65C0">
      <w:pPr>
        <w:pStyle w:val="SuperHeading"/>
      </w:pPr>
      <w:r w:rsidRPr="003B65C0">
        <w:t>PSPLEGN601B Manage compliance with legislation in the public sector</w:t>
      </w:r>
    </w:p>
    <w:p w:rsidR="00000000" w:rsidRPr="003B65C0" w:rsidP="003B65C0">
      <w:pPr>
        <w:pStyle w:val="SuperHeading"/>
      </w:pPr>
    </w:p>
    <w:p w:rsidR="00000000" w:rsidRPr="003B65C0" w:rsidP="003B65C0">
      <w:pPr>
        <w:pStyle w:val="Heading1"/>
      </w:pPr>
      <w:bookmarkStart w:id="1" w:name="O_493810"/>
      <w:bookmarkEnd w:id="1"/>
      <w:r w:rsidRPr="003B6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SpecialBold"/>
              </w:rPr>
              <w:t>Comments</w:t>
            </w:r>
          </w:p>
        </w:tc>
      </w:tr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Unit descriptor edite</w:t>
            </w:r>
            <w:r w:rsidRPr="003B65C0">
              <w:t xml:space="preserve">d. </w:t>
            </w:r>
          </w:p>
        </w:tc>
      </w:tr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Layout adjusted. No changes to content.</w:t>
            </w:r>
          </w:p>
        </w:tc>
      </w:tr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t>Primary release.</w:t>
            </w:r>
          </w:p>
        </w:tc>
      </w:tr>
    </w:tbl>
    <w:p w:rsidR="008833C2" w:rsidP="003B65C0">
      <w:pPr>
        <w:pStyle w:val="BodyText"/>
      </w:pPr>
    </w:p>
    <w:p w:rsidR="008833C2" w:rsidP="003B65C0">
      <w:pPr>
        <w:pStyle w:val="BodyText"/>
      </w:pPr>
    </w:p>
    <w:p w:rsidR="00000000" w:rsidRPr="003B65C0" w:rsidP="003B65C0">
      <w:pPr>
        <w:pStyle w:val="Heading1"/>
      </w:pPr>
      <w:bookmarkStart w:id="2" w:name="O_493807"/>
      <w:bookmarkEnd w:id="2"/>
      <w:r w:rsidRPr="003B65C0">
        <w:t>Unit Descriptor</w:t>
      </w:r>
    </w:p>
    <w:p w:rsidR="00000000" w:rsidRPr="003B65C0" w:rsidP="003B65C0">
      <w:pPr>
        <w:pStyle w:val="BodyText"/>
      </w:pPr>
      <w:r w:rsidRPr="003B65C0">
        <w:t>This unit covers management of compliance with public sector</w:t>
      </w:r>
      <w:r w:rsidRPr="003B65C0">
        <w:t xml:space="preserve"> legislative requirements. It includes assuring legislative compliance, interpreting legislation and evaluating compliance outcomes.</w:t>
      </w:r>
    </w:p>
    <w:p w:rsidR="00000000" w:rsidRPr="003B65C0" w:rsidP="003B65C0">
      <w:pPr>
        <w:pStyle w:val="BodyText"/>
      </w:pPr>
      <w:r w:rsidRPr="003B65C0">
        <w:t>In practice, managing compliance with legislation is demonstrated in the context of other generalist or specialist work act</w:t>
      </w:r>
      <w:r w:rsidRPr="003B65C0">
        <w:t>ivities such as managing client services, managing financial resources, providing strategic human resource services, managing regulatory compliance, directing the management of contracts etc.</w:t>
      </w:r>
    </w:p>
    <w:p w:rsidR="00000000" w:rsidRPr="003B65C0" w:rsidP="003B65C0">
      <w:pPr>
        <w:pStyle w:val="BodyText"/>
      </w:pPr>
      <w:r w:rsidRPr="003B65C0">
        <w:t>.No licensing, legislative, regulatory or certific</w:t>
      </w:r>
      <w:r w:rsidRPr="003B65C0">
        <w:t>ation requirements apply to this unit at the time of publication</w:t>
      </w: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3" w:name="O_493818"/>
      <w:bookmarkEnd w:id="3"/>
      <w:r w:rsidRPr="003B65C0">
        <w:t>Application of the Unit</w:t>
      </w:r>
    </w:p>
    <w:p w:rsidR="00000000" w:rsidRPr="003B65C0" w:rsidP="003B65C0">
      <w:pPr>
        <w:pStyle w:val="BodyText"/>
      </w:pPr>
      <w:r w:rsidRPr="003B65C0">
        <w:t>Not applicable.</w:t>
      </w: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4" w:name="O_493812"/>
      <w:bookmarkEnd w:id="4"/>
      <w:r w:rsidRPr="003B65C0">
        <w:t>Licensing/Regulatory Information</w:t>
      </w:r>
    </w:p>
    <w:p w:rsidR="00000000" w:rsidRPr="003B65C0" w:rsidP="003B65C0">
      <w:pPr>
        <w:pStyle w:val="BodyText"/>
      </w:pPr>
      <w:r w:rsidRPr="003B65C0">
        <w:t>Not applicable.</w:t>
      </w: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5" w:name="O_493809"/>
      <w:bookmarkEnd w:id="5"/>
      <w:r w:rsidRPr="003B65C0">
        <w:t>Pre-Requisites</w:t>
      </w:r>
    </w:p>
    <w:p w:rsidR="00000000" w:rsidRPr="003B65C0" w:rsidP="003B65C0">
      <w:pPr>
        <w:pStyle w:val="BodyText"/>
      </w:pPr>
      <w:r w:rsidRPr="003B65C0">
        <w:t>Not applicable.</w:t>
      </w: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6" w:name="O_493814"/>
      <w:bookmarkEnd w:id="6"/>
      <w:r w:rsidRPr="003B65C0">
        <w:t>Emp</w:t>
      </w:r>
      <w:r w:rsidRPr="003B65C0">
        <w:t>loyability Skills Information</w:t>
      </w:r>
    </w:p>
    <w:p w:rsidR="00000000" w:rsidRPr="003B65C0" w:rsidP="003B65C0">
      <w:pPr>
        <w:pStyle w:val="BodyText"/>
      </w:pPr>
      <w:r w:rsidRPr="003B65C0">
        <w:t>This unit contains employability skills.</w:t>
      </w: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7" w:name="O_493815"/>
      <w:bookmarkEnd w:id="7"/>
      <w:r w:rsidRPr="003B65C0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t>Together, performance criteria specify the requirements for</w:t>
            </w:r>
            <w:r w:rsidRPr="003B65C0">
              <w:t xml:space="preserve"> competent performance. Text in </w:t>
            </w:r>
            <w:r w:rsidRPr="003B65C0">
              <w:rPr>
                <w:rStyle w:val="BoldandItalics"/>
              </w:rPr>
              <w:t>bold italics</w:t>
            </w:r>
            <w:r w:rsidRPr="003B65C0">
              <w:t xml:space="preserve"> is explained in the Range Statement following.</w:t>
            </w:r>
          </w:p>
        </w:tc>
      </w:tr>
    </w:tbl>
    <w:p w:rsidR="00000000" w:rsidRPr="003B65C0" w:rsidP="003B65C0">
      <w:pPr>
        <w:pStyle w:val="BodyText"/>
      </w:pP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8" w:name="O_493816"/>
      <w:bookmarkEnd w:id="8"/>
      <w:r w:rsidRPr="003B65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SpecialBold"/>
              </w:rPr>
              <w:t>PERFORMANCE CRITERIA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List"/>
              <w:rPr>
                <w:lang w:val="en-NZ"/>
              </w:rPr>
            </w:pPr>
            <w:r w:rsidRPr="003B65C0">
              <w:rPr>
                <w:rStyle w:val="SpecialBold"/>
              </w:rPr>
              <w:t>1</w:t>
            </w:r>
            <w:r w:rsidRPr="003B65C0">
              <w:t>.</w:t>
            </w:r>
            <w:r w:rsidRPr="003B65C0">
              <w:tab/>
            </w:r>
            <w:r w:rsidRPr="003B65C0">
              <w:rPr>
                <w:rStyle w:val="SpecialBold"/>
              </w:rPr>
              <w:t>Assure legislative compliance</w:t>
            </w:r>
            <w:r w:rsidRPr="003B65C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List"/>
            </w:pPr>
            <w:r w:rsidRPr="003B65C0">
              <w:t>1.1</w:t>
            </w:r>
            <w:r w:rsidRPr="003B65C0">
              <w:tab/>
            </w:r>
            <w:r w:rsidRPr="003B65C0">
              <w:t>Personal conduct is used to demonstrate a commitment to compliance with legislation, policy and guidelines.</w:t>
            </w:r>
          </w:p>
          <w:p w:rsidR="00000000" w:rsidRPr="003B65C0" w:rsidP="003B65C0">
            <w:pPr>
              <w:pStyle w:val="List"/>
            </w:pPr>
            <w:r w:rsidRPr="003B65C0">
              <w:t>1.2</w:t>
            </w:r>
            <w:r w:rsidRPr="003B65C0">
              <w:tab/>
              <w:t>Staff are encouraged to discuss, clarify and meet legislative requirements.</w:t>
            </w:r>
          </w:p>
          <w:p w:rsidR="00000000" w:rsidRPr="003B65C0" w:rsidP="003B65C0">
            <w:pPr>
              <w:pStyle w:val="List"/>
            </w:pPr>
            <w:r w:rsidRPr="003B65C0">
              <w:t>1.3</w:t>
            </w:r>
            <w:r w:rsidRPr="003B65C0">
              <w:tab/>
              <w:t xml:space="preserve">Staff understanding of </w:t>
            </w:r>
            <w:r w:rsidRPr="003B65C0">
              <w:rPr>
                <w:rStyle w:val="BoldandItalics"/>
              </w:rPr>
              <w:t xml:space="preserve">legislation and guidelines </w:t>
            </w:r>
            <w:r w:rsidRPr="003B65C0">
              <w:t>is confirmed a</w:t>
            </w:r>
            <w:r w:rsidRPr="003B65C0">
              <w:t>nd action to address professional development needs is timely.</w:t>
            </w:r>
          </w:p>
          <w:p w:rsidR="00000000" w:rsidRPr="003B65C0" w:rsidP="003B65C0">
            <w:pPr>
              <w:pStyle w:val="List"/>
            </w:pPr>
            <w:r w:rsidRPr="003B65C0">
              <w:t>1.4</w:t>
            </w:r>
            <w:r w:rsidRPr="003B65C0">
              <w:tab/>
              <w:t>Risk assessment planning relating to legislative compliance is undertaken to establish the risk of non-compliance and develop/implement mitigation strategies in accordance with organisation</w:t>
            </w:r>
            <w:r w:rsidRPr="003B65C0">
              <w:t>al policy and procedures.</w:t>
            </w:r>
          </w:p>
          <w:p w:rsidR="00000000" w:rsidP="003B65C0">
            <w:pPr>
              <w:pStyle w:val="List"/>
              <w:rPr>
                <w:lang w:val="en-NZ"/>
              </w:rPr>
            </w:pPr>
            <w:r w:rsidRPr="003B65C0">
              <w:t>1.5</w:t>
            </w:r>
            <w:r w:rsidRPr="003B65C0">
              <w:tab/>
              <w:t>Workplace occurrences of compliance and non-compliance are used as learning situations for staff, without compromising privacy and confidentiality considerations.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List"/>
              <w:rPr>
                <w:lang w:val="en-NZ"/>
              </w:rPr>
            </w:pPr>
            <w:r w:rsidRPr="003B65C0">
              <w:rPr>
                <w:rStyle w:val="SpecialBold"/>
              </w:rPr>
              <w:t>2</w:t>
            </w:r>
            <w:r w:rsidRPr="003B65C0">
              <w:t>.</w:t>
            </w:r>
            <w:r w:rsidRPr="003B65C0">
              <w:tab/>
            </w:r>
            <w:r w:rsidRPr="003B65C0">
              <w:rPr>
                <w:rStyle w:val="SpecialBold"/>
              </w:rPr>
              <w:t>Interpret legislation relating to public sector work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List"/>
            </w:pPr>
            <w:r w:rsidRPr="003B65C0">
              <w:t>2.1</w:t>
            </w:r>
            <w:r w:rsidRPr="003B65C0">
              <w:tab/>
              <w:t>Cu</w:t>
            </w:r>
            <w:r w:rsidRPr="003B65C0">
              <w:t>rrency is maintained in knowledge of legislation and related legal opinions.</w:t>
            </w:r>
          </w:p>
          <w:p w:rsidR="00000000" w:rsidP="003B65C0">
            <w:pPr>
              <w:pStyle w:val="List"/>
              <w:rPr>
                <w:lang w:val="en-NZ"/>
              </w:rPr>
            </w:pPr>
            <w:r w:rsidRPr="003B65C0">
              <w:t>2.2</w:t>
            </w:r>
            <w:r w:rsidRPr="003B65C0">
              <w:tab/>
              <w:t>Interpretation of legislative requirements is provided in a timely manner, is substantiated, and falls within the limits of authority, or is referred for advice.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List"/>
              <w:rPr>
                <w:lang w:val="en-NZ"/>
              </w:rPr>
            </w:pPr>
            <w:r w:rsidRPr="003B65C0">
              <w:rPr>
                <w:rStyle w:val="SpecialBold"/>
              </w:rPr>
              <w:t>3</w:t>
            </w:r>
            <w:r w:rsidRPr="003B65C0">
              <w:t>.</w:t>
            </w:r>
            <w:r w:rsidRPr="003B65C0">
              <w:tab/>
            </w:r>
            <w:r w:rsidRPr="003B65C0">
              <w:rPr>
                <w:rStyle w:val="SpecialBold"/>
              </w:rPr>
              <w:t>Evaluate compliance outcomes</w:t>
            </w:r>
            <w:r w:rsidRPr="003B65C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List"/>
            </w:pPr>
            <w:r w:rsidRPr="003B65C0">
              <w:t>3.1</w:t>
            </w:r>
            <w:r w:rsidRPr="003B65C0">
              <w:tab/>
              <w:t>Analysis of compliance outcomes is conducted to provide comprehensive and valid conclusions that are supported by evidence.</w:t>
            </w:r>
          </w:p>
          <w:p w:rsidR="00000000" w:rsidRPr="003B65C0" w:rsidP="003B65C0">
            <w:pPr>
              <w:pStyle w:val="List"/>
            </w:pPr>
            <w:r w:rsidRPr="003B65C0">
              <w:t>3.2</w:t>
            </w:r>
            <w:r w:rsidRPr="003B65C0">
              <w:tab/>
              <w:t xml:space="preserve">Analysis is used to identify trends, possible reasons and potential mitigation strategies for </w:t>
            </w:r>
            <w:r w:rsidRPr="003B65C0">
              <w:t>improving outcomes in accordance with government policy and resource constraints.</w:t>
            </w:r>
          </w:p>
          <w:p w:rsidR="00000000" w:rsidRPr="003B65C0" w:rsidP="003B65C0">
            <w:pPr>
              <w:pStyle w:val="List"/>
            </w:pPr>
            <w:r w:rsidRPr="003B65C0">
              <w:t>3.3</w:t>
            </w:r>
            <w:r w:rsidRPr="003B65C0">
              <w:tab/>
            </w:r>
            <w:r w:rsidRPr="003B65C0">
              <w:rPr>
                <w:rStyle w:val="BoldandItalics"/>
              </w:rPr>
              <w:t xml:space="preserve">Inadequacies in procedures </w:t>
            </w:r>
            <w:r w:rsidRPr="003B65C0">
              <w:t>which allow breaches of legislation to occur are confirmed and addressed promptly in accordance with organisational procedures.</w:t>
            </w:r>
          </w:p>
          <w:p w:rsidR="00000000" w:rsidRPr="003B65C0" w:rsidP="003B65C0">
            <w:pPr>
              <w:pStyle w:val="List"/>
            </w:pPr>
            <w:r w:rsidRPr="003B65C0">
              <w:t>3.4</w:t>
            </w:r>
            <w:r w:rsidRPr="003B65C0">
              <w:tab/>
              <w:t xml:space="preserve">Compliance </w:t>
            </w:r>
            <w:r w:rsidRPr="003B65C0">
              <w:t>with legislative requirements is reported on, in accordance with organisational policy and procedures.</w:t>
            </w:r>
          </w:p>
        </w:tc>
      </w:tr>
    </w:tbl>
    <w:p w:rsidR="00000000" w:rsidRPr="003B65C0" w:rsidP="003B65C0">
      <w:pPr>
        <w:pStyle w:val="BodyText"/>
      </w:pP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9" w:name="O_493808"/>
      <w:bookmarkEnd w:id="9"/>
      <w:r w:rsidRPr="003B65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This section describes the essential skills and knowledge and their level, required for this unit.</w:t>
            </w:r>
          </w:p>
        </w:tc>
      </w:tr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rPr>
                <w:rStyle w:val="SpecialBold"/>
              </w:rPr>
              <w:t>Skil</w:t>
            </w:r>
            <w:r w:rsidRPr="003B65C0">
              <w:rPr>
                <w:rStyle w:val="SpecialBold"/>
              </w:rPr>
              <w:t>l requirements</w:t>
            </w:r>
          </w:p>
          <w:p w:rsidR="00000000" w:rsidRPr="003B65C0" w:rsidP="003B65C0">
            <w:pPr>
              <w:pStyle w:val="BodyText"/>
            </w:pPr>
            <w:r w:rsidRPr="003B65C0">
              <w:t>Look for evidence that confirms skills in:</w:t>
            </w:r>
          </w:p>
          <w:p w:rsidR="00000000" w:rsidRPr="003B65C0" w:rsidP="003B65C0">
            <w:pPr>
              <w:pStyle w:val="ListBullet2"/>
            </w:pPr>
            <w:r w:rsidRPr="003B65C0">
              <w:t>analysing and explaining complex and formal documents such as legislation, regulations and instructions/directives and applying them to work practices</w:t>
            </w:r>
          </w:p>
          <w:p w:rsidR="00000000" w:rsidRPr="003B65C0" w:rsidP="003B65C0">
            <w:pPr>
              <w:pStyle w:val="ListBullet2"/>
            </w:pPr>
            <w:r w:rsidRPr="003B65C0">
              <w:t>applying critical analysis to identify political issues</w:t>
            </w:r>
          </w:p>
          <w:p w:rsidR="00000000" w:rsidRPr="003B65C0" w:rsidP="003B65C0">
            <w:pPr>
              <w:pStyle w:val="ListBullet2"/>
            </w:pPr>
            <w:r w:rsidRPr="003B65C0">
              <w:t>dealing with people in such areas as conflict resolution, coaching, problem solving</w:t>
            </w:r>
          </w:p>
          <w:p w:rsidR="00000000" w:rsidRPr="003B65C0" w:rsidP="003B65C0">
            <w:pPr>
              <w:pStyle w:val="ListBullet2"/>
            </w:pPr>
            <w:r w:rsidRPr="003B65C0">
              <w:t>responding to diversity, including gender and disability</w:t>
            </w:r>
          </w:p>
          <w:p w:rsidR="00000000" w:rsidRPr="003B65C0" w:rsidP="003B65C0">
            <w:pPr>
              <w:pStyle w:val="ListBullet2"/>
            </w:pPr>
            <w:r w:rsidRPr="003B65C0">
              <w:t>providing advice and discussion involving exchanges of comp</w:t>
            </w:r>
            <w:r w:rsidRPr="003B65C0">
              <w:t>lex oral and written information</w:t>
            </w:r>
          </w:p>
          <w:p w:rsidR="00000000" w:rsidRPr="003B65C0" w:rsidP="003B65C0">
            <w:pPr>
              <w:pStyle w:val="ListBullet2"/>
            </w:pPr>
            <w:r w:rsidRPr="003B65C0">
              <w:t>using mathematical techniques to interpret data and draw conclusions about compliance issues</w:t>
            </w:r>
          </w:p>
          <w:p w:rsidR="00000000" w:rsidRPr="003B65C0" w:rsidP="003B65C0">
            <w:pPr>
              <w:pStyle w:val="ListBullet2"/>
            </w:pPr>
            <w:r w:rsidRPr="003B65C0">
              <w:t>using qualitative data and analysis</w:t>
            </w:r>
          </w:p>
          <w:p w:rsidR="00000000" w:rsidRPr="003B65C0" w:rsidP="003B65C0">
            <w:pPr>
              <w:pStyle w:val="ListBullet2"/>
            </w:pPr>
            <w:r w:rsidRPr="003B65C0">
              <w:t>preparing written advice and reports requiring precision of expression</w:t>
            </w:r>
          </w:p>
          <w:p w:rsidR="00000000" w:rsidRPr="003B65C0" w:rsidP="003B65C0">
            <w:pPr>
              <w:pStyle w:val="ListBullet2"/>
            </w:pPr>
            <w:r w:rsidRPr="003B65C0">
              <w:t>using technology to acc</w:t>
            </w:r>
            <w:r w:rsidRPr="003B65C0">
              <w:t>ess legislation and guidelines</w:t>
            </w:r>
          </w:p>
          <w:p w:rsidR="00000000" w:rsidP="003B65C0">
            <w:pPr>
              <w:pStyle w:val="ListBullet2"/>
              <w:rPr>
                <w:lang w:val="en-NZ"/>
              </w:rPr>
            </w:pPr>
            <w:r w:rsidRPr="003B65C0">
              <w:t>managing staff to implement environmental and occupational health and safety procedures</w:t>
            </w:r>
          </w:p>
        </w:tc>
      </w:tr>
      <w:tr w:rsidTr="00883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rPr>
                <w:rStyle w:val="SpecialBold"/>
              </w:rPr>
              <w:t>Knowledge requirements</w:t>
            </w:r>
            <w:r w:rsidRPr="003B65C0">
              <w:t xml:space="preserve"> </w:t>
            </w:r>
          </w:p>
          <w:p w:rsidR="00000000" w:rsidRPr="003B65C0" w:rsidP="003B65C0">
            <w:pPr>
              <w:pStyle w:val="BodyText"/>
            </w:pPr>
            <w:r w:rsidRPr="003B65C0">
              <w:t>Look for evidence that confirms knowledge and understanding of:</w:t>
            </w:r>
          </w:p>
          <w:p w:rsidR="00000000" w:rsidRPr="003B65C0" w:rsidP="003B65C0">
            <w:pPr>
              <w:pStyle w:val="ListBullet2"/>
            </w:pPr>
            <w:r w:rsidRPr="003B65C0">
              <w:t>legislation, regulations, guidelines relating t</w:t>
            </w:r>
            <w:r w:rsidRPr="003B65C0">
              <w:t>o the public sector (including occupational health and safety and environment)</w:t>
            </w:r>
          </w:p>
          <w:p w:rsidR="00000000" w:rsidRPr="003B65C0" w:rsidP="003B65C0">
            <w:pPr>
              <w:pStyle w:val="ListBullet2"/>
            </w:pPr>
            <w:r w:rsidRPr="003B65C0">
              <w:t>public sector codes of ethics/conduct</w:t>
            </w:r>
          </w:p>
          <w:p w:rsidR="00000000" w:rsidRPr="003B65C0" w:rsidP="003B65C0">
            <w:pPr>
              <w:pStyle w:val="ListBullet2"/>
            </w:pPr>
            <w:r w:rsidRPr="003B65C0">
              <w:t>equal employment opportunity, equity and diversity principles</w:t>
            </w:r>
          </w:p>
          <w:p w:rsidR="00000000" w:rsidRPr="003B65C0" w:rsidP="003B65C0">
            <w:pPr>
              <w:pStyle w:val="ListBullet2"/>
            </w:pPr>
            <w:r w:rsidRPr="003B65C0">
              <w:t xml:space="preserve">government processes </w:t>
            </w:r>
          </w:p>
          <w:p w:rsidR="00000000" w:rsidRPr="003B65C0" w:rsidP="003B65C0">
            <w:pPr>
              <w:pStyle w:val="ListBullet2"/>
            </w:pPr>
            <w:r w:rsidRPr="003B65C0">
              <w:t>governance practices</w:t>
            </w:r>
          </w:p>
        </w:tc>
      </w:tr>
    </w:tbl>
    <w:p w:rsidR="00000000" w:rsidRPr="003B65C0" w:rsidP="003B65C0">
      <w:pPr>
        <w:pStyle w:val="BodyText"/>
      </w:pP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10" w:name="O_493813"/>
      <w:bookmarkEnd w:id="10"/>
      <w:r w:rsidRPr="003B65C0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3B65C0">
              <w:t>lic Sector Training Package.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rPr>
                <w:rStyle w:val="SpecialBold"/>
              </w:rPr>
              <w:t>Units to be assessed together</w:t>
            </w:r>
            <w:r w:rsidRPr="003B65C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ListBullet2"/>
            </w:pPr>
            <w:r w:rsidRPr="003B65C0">
              <w:rPr>
                <w:rStyle w:val="Emphasis"/>
              </w:rPr>
              <w:t>Pre</w:t>
            </w:r>
            <w:r w:rsidRPr="003B65C0">
              <w:t>-</w:t>
            </w:r>
            <w:r w:rsidRPr="003B65C0">
              <w:rPr>
                <w:rStyle w:val="Emphasis"/>
              </w:rPr>
              <w:t>requisite</w:t>
            </w:r>
            <w:r w:rsidRPr="003B65C0">
              <w:t xml:space="preserve"> units that </w:t>
            </w:r>
            <w:r w:rsidRPr="003B65C0">
              <w:rPr>
                <w:rStyle w:val="Underline"/>
              </w:rPr>
              <w:t>must</w:t>
            </w:r>
            <w:r w:rsidRPr="003B65C0">
              <w:t xml:space="preserve"> be achieved </w:t>
            </w:r>
            <w:r w:rsidRPr="003B65C0">
              <w:rPr>
                <w:rStyle w:val="Underline"/>
              </w:rPr>
              <w:t>prior</w:t>
            </w:r>
            <w:r w:rsidRPr="003B65C0">
              <w:t xml:space="preserve"> to this unit:</w:t>
            </w:r>
            <w:r w:rsidRPr="003B65C0">
              <w:rPr>
                <w:rStyle w:val="Emphasis"/>
              </w:rPr>
              <w:t>Nil</w:t>
            </w:r>
          </w:p>
          <w:p w:rsidR="00000000" w:rsidRPr="003B65C0" w:rsidP="003B65C0">
            <w:pPr>
              <w:pStyle w:val="ListBullet2"/>
            </w:pPr>
            <w:r w:rsidRPr="003B65C0">
              <w:rPr>
                <w:rStyle w:val="Emphasis"/>
              </w:rPr>
              <w:t>Co</w:t>
            </w:r>
            <w:r w:rsidRPr="003B65C0">
              <w:t>-</w:t>
            </w:r>
            <w:r w:rsidRPr="003B65C0">
              <w:rPr>
                <w:rStyle w:val="Emphasis"/>
              </w:rPr>
              <w:t>requisite</w:t>
            </w:r>
            <w:r w:rsidRPr="003B65C0">
              <w:t xml:space="preserve"> units that </w:t>
            </w:r>
            <w:r w:rsidRPr="003B65C0">
              <w:rPr>
                <w:rStyle w:val="Underline"/>
              </w:rPr>
              <w:t>must</w:t>
            </w:r>
            <w:r w:rsidRPr="003B65C0">
              <w:t xml:space="preserve"> be assessed </w:t>
            </w:r>
            <w:r w:rsidRPr="003B65C0">
              <w:rPr>
                <w:rStyle w:val="Underline"/>
              </w:rPr>
              <w:t>with</w:t>
            </w:r>
            <w:r w:rsidRPr="003B65C0">
              <w:t xml:space="preserve"> this unit:</w:t>
            </w:r>
            <w:r w:rsidRPr="003B65C0">
              <w:rPr>
                <w:rStyle w:val="Emphasis"/>
              </w:rPr>
              <w:t>Nil</w:t>
            </w:r>
          </w:p>
          <w:p w:rsidR="00000000" w:rsidRPr="003B65C0" w:rsidP="003B65C0">
            <w:pPr>
              <w:pStyle w:val="ListBullet2"/>
            </w:pPr>
            <w:r w:rsidRPr="003B65C0">
              <w:rPr>
                <w:rStyle w:val="Emphasis"/>
              </w:rPr>
              <w:t>Co</w:t>
            </w:r>
            <w:r w:rsidRPr="003B65C0">
              <w:t>-</w:t>
            </w:r>
            <w:r w:rsidRPr="003B65C0">
              <w:rPr>
                <w:rStyle w:val="Emphasis"/>
              </w:rPr>
              <w:t>assessed units</w:t>
            </w:r>
            <w:r w:rsidRPr="003B65C0">
              <w:t xml:space="preserve"> that may be assessed with this unit to increase the efficiency and realism of the assessment process include, but are not limited: </w:t>
            </w:r>
          </w:p>
          <w:p w:rsidR="00000000" w:rsidRPr="003B65C0" w:rsidP="003B65C0">
            <w:pPr>
              <w:pStyle w:val="ListBullet3"/>
            </w:pPr>
            <w:r w:rsidRPr="003B65C0">
              <w:t>PSPETHC601B Maintain and enhance confidence in public service</w:t>
            </w:r>
          </w:p>
          <w:p w:rsidR="00000000" w:rsidRPr="003B65C0" w:rsidP="003B65C0">
            <w:pPr>
              <w:pStyle w:val="ListBullet3"/>
            </w:pPr>
            <w:r w:rsidRPr="003B65C0">
              <w:t>PSPGOV601B Apply government systems</w:t>
            </w:r>
          </w:p>
          <w:p w:rsidR="00000000" w:rsidRPr="003B65C0" w:rsidP="003B65C0">
            <w:pPr>
              <w:pStyle w:val="ListBullet3"/>
            </w:pPr>
            <w:r w:rsidRPr="003B65C0">
              <w:t xml:space="preserve">PSPGOV602B Establish and maintain strategic networks </w:t>
            </w:r>
          </w:p>
          <w:p w:rsidR="00000000" w:rsidRPr="003B65C0" w:rsidP="003B65C0">
            <w:pPr>
              <w:pStyle w:val="ListBullet3"/>
            </w:pPr>
            <w:r w:rsidRPr="003B65C0">
              <w:t>PSPMNGT605B Manage diversity</w:t>
            </w:r>
          </w:p>
          <w:p w:rsidR="00000000" w:rsidRPr="003B65C0" w:rsidP="003B65C0">
            <w:pPr>
              <w:pStyle w:val="ListBullet3"/>
            </w:pPr>
            <w:r w:rsidRPr="003B65C0">
              <w:t>PSPMNGT606B Manage quality client service</w:t>
            </w:r>
          </w:p>
          <w:p w:rsidR="00000000" w:rsidRPr="003B65C0" w:rsidP="003B65C0">
            <w:pPr>
              <w:pStyle w:val="ListBullet3"/>
            </w:pPr>
            <w:r w:rsidRPr="003B65C0">
              <w:t xml:space="preserve">PSPMNGT608B Manage risk </w:t>
            </w:r>
          </w:p>
          <w:p w:rsidR="00000000" w:rsidRPr="003B65C0" w:rsidP="003B65C0">
            <w:pPr>
              <w:pStyle w:val="ListBullet3"/>
            </w:pPr>
            <w:r w:rsidRPr="003B65C0">
              <w:t xml:space="preserve">PSPPM601B Direct complex project activities </w:t>
            </w:r>
          </w:p>
          <w:p w:rsidR="00000000" w:rsidRPr="003B65C0" w:rsidP="003B65C0">
            <w:pPr>
              <w:pStyle w:val="ListBullet3"/>
            </w:pPr>
            <w:r w:rsidRPr="003B65C0">
              <w:t>PSPPROC602B Direct the management of contracts</w:t>
            </w:r>
          </w:p>
          <w:p w:rsidR="00000000" w:rsidP="003B65C0">
            <w:pPr>
              <w:pStyle w:val="ListBullet3"/>
              <w:rPr>
                <w:lang w:val="en-NZ"/>
              </w:rPr>
            </w:pPr>
            <w:r w:rsidRPr="003B65C0">
              <w:t>PSPSEC602A Man</w:t>
            </w:r>
            <w:r w:rsidRPr="003B65C0">
              <w:t>age security awareness.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t>In addition to integrated demonstration of the elements and their related performance criteria, look for evidence that confirms:</w:t>
            </w:r>
          </w:p>
          <w:p w:rsidR="00000000" w:rsidRPr="003B65C0" w:rsidP="003B65C0">
            <w:pPr>
              <w:pStyle w:val="ListBullet2"/>
            </w:pPr>
            <w:r w:rsidRPr="003B65C0">
              <w:t xml:space="preserve">the knowledge requirements of this unit </w:t>
            </w:r>
          </w:p>
          <w:p w:rsidR="00000000" w:rsidRPr="003B65C0" w:rsidP="003B65C0">
            <w:pPr>
              <w:pStyle w:val="ListBullet2"/>
            </w:pPr>
            <w:r w:rsidRPr="003B65C0">
              <w:t>the skill requirements of this unit</w:t>
            </w:r>
          </w:p>
          <w:p w:rsidR="00000000" w:rsidRPr="003B65C0" w:rsidP="003B65C0">
            <w:pPr>
              <w:pStyle w:val="ListBullet2"/>
            </w:pPr>
            <w:r w:rsidRPr="003B65C0">
              <w:t xml:space="preserve">application of Employability Skills as they relate to this unit </w:t>
            </w:r>
          </w:p>
          <w:p w:rsidR="00000000" w:rsidRPr="003B65C0" w:rsidP="003B65C0">
            <w:pPr>
              <w:pStyle w:val="ListBullet2"/>
            </w:pPr>
            <w:r w:rsidRPr="003B65C0">
              <w:t>consistent interpretation of information to suit the level of understanding of audience</w:t>
            </w:r>
          </w:p>
          <w:p w:rsidR="00000000" w:rsidP="003B65C0">
            <w:pPr>
              <w:pStyle w:val="ListBullet2"/>
              <w:rPr>
                <w:lang w:val="en-NZ"/>
              </w:rPr>
            </w:pPr>
            <w:r w:rsidRPr="003B65C0">
              <w:t>compliance with legislation managed in a range of (3 or more) conte</w:t>
            </w:r>
            <w:r w:rsidRPr="003B65C0">
              <w:t>xts (or occasions, over time)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t>These resources include:</w:t>
            </w:r>
          </w:p>
          <w:p w:rsidR="00000000" w:rsidRPr="003B65C0" w:rsidP="003B65C0">
            <w:pPr>
              <w:pStyle w:val="ListBullet2"/>
            </w:pPr>
            <w:r w:rsidRPr="003B65C0">
              <w:t>public sector legislation, regulations and guidelines</w:t>
            </w:r>
          </w:p>
          <w:p w:rsidR="00000000" w:rsidRPr="003B65C0" w:rsidP="003B65C0">
            <w:pPr>
              <w:pStyle w:val="ListBullet2"/>
            </w:pPr>
            <w:r w:rsidRPr="003B65C0">
              <w:t>procedures and protocols</w:t>
            </w:r>
          </w:p>
          <w:p w:rsidR="00000000" w:rsidP="003B65C0">
            <w:pPr>
              <w:pStyle w:val="ListBullet2"/>
              <w:rPr>
                <w:lang w:val="en-NZ"/>
              </w:rPr>
            </w:pPr>
            <w:r w:rsidRPr="003B65C0">
              <w:t>scenarios and case studies to capture the range of situations likely to be en</w:t>
            </w:r>
            <w:r w:rsidRPr="003B65C0">
              <w:t>countered when managing compliance with legislation in the public sector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t xml:space="preserve">Valid assessment of this unit requires: </w:t>
            </w:r>
          </w:p>
          <w:p w:rsidR="00000000" w:rsidRPr="003B65C0" w:rsidP="003B65C0">
            <w:pPr>
              <w:pStyle w:val="ListBullet2"/>
            </w:pPr>
            <w:r w:rsidRPr="003B65C0">
              <w:t>a workplace environment or one that closely resembles normal work practice and replicates the range of cond</w:t>
            </w:r>
            <w:r w:rsidRPr="003B65C0">
              <w:t xml:space="preserve">itions likely to be encountered when managing compliance with legislation, including coping with ambiguity, difficulties and irregularities </w:t>
            </w:r>
          </w:p>
          <w:p w:rsidR="00000000" w:rsidRPr="003B65C0" w:rsidP="003B65C0">
            <w:pPr>
              <w:pStyle w:val="ListBullet2"/>
            </w:pPr>
            <w:r w:rsidRPr="003B65C0">
              <w:t>compliance managed in a range of (3 or more) contexts (or occasions, over time).</w:t>
            </w:r>
          </w:p>
          <w:p w:rsidR="00000000" w:rsidRPr="003B65C0" w:rsidP="003B65C0">
            <w:pPr>
              <w:pStyle w:val="BodyText"/>
            </w:pPr>
            <w:r w:rsidRPr="003B65C0">
              <w:t>Assessment methods should reflect workplace demands, such as literacy, and the needs of particular groups, such as:</w:t>
            </w:r>
          </w:p>
          <w:p w:rsidR="00000000" w:rsidRPr="003B65C0" w:rsidP="003B65C0">
            <w:pPr>
              <w:pStyle w:val="ListBullet2"/>
            </w:pPr>
            <w:r w:rsidRPr="003B65C0">
              <w:t>people with disabilities</w:t>
            </w:r>
          </w:p>
          <w:p w:rsidR="00000000" w:rsidRPr="003B65C0" w:rsidP="003B65C0">
            <w:pPr>
              <w:pStyle w:val="ListBullet2"/>
            </w:pPr>
            <w:r w:rsidRPr="003B65C0">
              <w:t>people from culturally and linguistically diverse backgrounds</w:t>
            </w:r>
          </w:p>
          <w:p w:rsidR="00000000" w:rsidRPr="003B65C0" w:rsidP="003B65C0">
            <w:pPr>
              <w:pStyle w:val="ListBullet2"/>
            </w:pPr>
            <w:r w:rsidRPr="003B65C0">
              <w:t>Aboriginal and Torres Strait Islander people</w:t>
            </w:r>
          </w:p>
          <w:p w:rsidR="00000000" w:rsidRPr="003B65C0" w:rsidP="003B65C0">
            <w:pPr>
              <w:pStyle w:val="ListBullet2"/>
            </w:pPr>
            <w:r w:rsidRPr="003B65C0">
              <w:t>women</w:t>
            </w:r>
          </w:p>
          <w:p w:rsidR="00000000" w:rsidRPr="003B65C0" w:rsidP="003B65C0">
            <w:pPr>
              <w:pStyle w:val="ListBullet2"/>
            </w:pPr>
            <w:r w:rsidRPr="003B65C0">
              <w:t>y</w:t>
            </w:r>
            <w:r w:rsidRPr="003B65C0">
              <w:t>oung people</w:t>
            </w:r>
          </w:p>
          <w:p w:rsidR="00000000" w:rsidRPr="003B65C0" w:rsidP="003B65C0">
            <w:pPr>
              <w:pStyle w:val="ListBullet2"/>
            </w:pPr>
            <w:r w:rsidRPr="003B65C0">
              <w:t>older people</w:t>
            </w:r>
          </w:p>
          <w:p w:rsidR="00000000" w:rsidRPr="003B65C0" w:rsidP="003B65C0">
            <w:pPr>
              <w:pStyle w:val="ListBullet2"/>
            </w:pPr>
            <w:r w:rsidRPr="003B65C0">
              <w:t>people in rural and remote locations.</w:t>
            </w:r>
          </w:p>
          <w:p w:rsidR="00000000" w:rsidRPr="003B65C0" w:rsidP="003B65C0">
            <w:pPr>
              <w:pStyle w:val="BodyText"/>
            </w:pPr>
            <w:r w:rsidRPr="003B65C0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3B65C0" w:rsidP="003B65C0">
            <w:pPr>
              <w:pStyle w:val="ListBullet2"/>
            </w:pPr>
            <w:r w:rsidRPr="003B65C0">
              <w:t>case studies</w:t>
            </w:r>
          </w:p>
          <w:p w:rsidR="00000000" w:rsidRPr="003B65C0" w:rsidP="003B65C0">
            <w:pPr>
              <w:pStyle w:val="ListBullet2"/>
            </w:pPr>
            <w:r w:rsidRPr="003B65C0">
              <w:t>questioning</w:t>
            </w:r>
          </w:p>
          <w:p w:rsidR="00000000" w:rsidRPr="003B65C0" w:rsidP="003B65C0">
            <w:pPr>
              <w:pStyle w:val="ListBullet2"/>
            </w:pPr>
            <w:r w:rsidRPr="003B65C0">
              <w:t>scenarios</w:t>
            </w:r>
          </w:p>
          <w:p w:rsidR="00000000" w:rsidRPr="003B65C0" w:rsidP="003B65C0">
            <w:pPr>
              <w:pStyle w:val="ListBullet2"/>
            </w:pPr>
            <w:r w:rsidRPr="003B65C0">
              <w:t>simulat</w:t>
            </w:r>
            <w:r w:rsidRPr="003B65C0">
              <w:t>ion or role plays</w:t>
            </w:r>
          </w:p>
          <w:p w:rsidR="00000000" w:rsidP="003B65C0">
            <w:pPr>
              <w:pStyle w:val="ListBullet2"/>
              <w:rPr>
                <w:lang w:val="en-NZ"/>
              </w:rPr>
            </w:pPr>
            <w:r w:rsidRPr="003B65C0">
              <w:t>authenticated evidence from the workplace and/or training courses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BodyText"/>
            </w:pPr>
            <w:r w:rsidRPr="003B65C0">
              <w:t xml:space="preserve">Evidence must be gathered over time in a range of contexts to ensure the person can achieve the unit outcome and apply the competency in </w:t>
            </w:r>
            <w:r w:rsidRPr="003B65C0">
              <w:t>different situations or environments</w:t>
            </w:r>
          </w:p>
        </w:tc>
      </w:tr>
    </w:tbl>
    <w:p w:rsidR="00000000" w:rsidRPr="003B65C0" w:rsidP="003B65C0">
      <w:pPr>
        <w:pStyle w:val="BodyText"/>
      </w:pP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11" w:name="O_493805"/>
      <w:bookmarkEnd w:id="11"/>
      <w:r w:rsidRPr="003B65C0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t>The Range Statement provides information about the context in which the unit of competency is carried out. The variables cater for differences between States and Territories and the Co</w:t>
            </w:r>
            <w:r w:rsidRPr="003B65C0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3B65C0">
              <w:rPr>
                <w:rStyle w:val="BoldandItalics"/>
              </w:rPr>
              <w:t xml:space="preserve"> bold italics</w:t>
            </w:r>
            <w:r w:rsidRPr="003B65C0">
              <w:t xml:space="preserve"> in the Perform</w:t>
            </w:r>
            <w:r w:rsidRPr="003B65C0">
              <w:t>ance Criteria is explained here.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BoldandItalics"/>
              </w:rPr>
              <w:t>Legislation and guidelines</w:t>
            </w:r>
            <w:r w:rsidRPr="003B65C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ListBullet2"/>
            </w:pPr>
            <w:r w:rsidRPr="003B65C0">
              <w:t>public sector standards:</w:t>
            </w:r>
          </w:p>
          <w:p w:rsidR="00000000" w:rsidRPr="003B65C0" w:rsidP="003B65C0">
            <w:pPr>
              <w:pStyle w:val="ListBullet3"/>
            </w:pPr>
            <w:r w:rsidRPr="003B65C0">
              <w:t xml:space="preserve">codes of conduct/ethics  </w:t>
            </w:r>
          </w:p>
          <w:p w:rsidR="00000000" w:rsidRPr="003B65C0" w:rsidP="003B65C0">
            <w:pPr>
              <w:pStyle w:val="ListBullet3"/>
            </w:pPr>
            <w:r w:rsidRPr="003B65C0">
              <w:t>guarantee of service</w:t>
            </w:r>
          </w:p>
          <w:p w:rsidR="00000000" w:rsidRPr="003B65C0" w:rsidP="003B65C0">
            <w:pPr>
              <w:pStyle w:val="ListBullet3"/>
            </w:pPr>
            <w:r w:rsidRPr="003B65C0">
              <w:t>legislated standards</w:t>
            </w:r>
          </w:p>
          <w:p w:rsidR="00000000" w:rsidRPr="003B65C0" w:rsidP="003B65C0">
            <w:pPr>
              <w:pStyle w:val="ListBullet3"/>
            </w:pPr>
            <w:r w:rsidRPr="003B65C0">
              <w:t>State/Territory/Commonwealth/organisational standards</w:t>
            </w:r>
          </w:p>
          <w:p w:rsidR="00000000" w:rsidRPr="003B65C0" w:rsidP="003B65C0">
            <w:pPr>
              <w:pStyle w:val="ListBullet3"/>
            </w:pPr>
            <w:r w:rsidRPr="003B65C0">
              <w:t>technical/industrial standards</w:t>
            </w:r>
          </w:p>
          <w:p w:rsidR="00000000" w:rsidRPr="003B65C0" w:rsidP="003B65C0">
            <w:pPr>
              <w:pStyle w:val="ListBullet3"/>
            </w:pPr>
            <w:r w:rsidRPr="003B65C0">
              <w:t>professional standards</w:t>
            </w:r>
          </w:p>
          <w:p w:rsidR="00000000" w:rsidRPr="003B65C0" w:rsidP="003B65C0">
            <w:pPr>
              <w:pStyle w:val="ListBullet3"/>
            </w:pPr>
            <w:r w:rsidRPr="003B65C0">
              <w:t>industry competency standards</w:t>
            </w:r>
          </w:p>
          <w:p w:rsidR="00000000" w:rsidRPr="003B65C0" w:rsidP="003B65C0">
            <w:pPr>
              <w:pStyle w:val="ListBullet3"/>
            </w:pPr>
            <w:r w:rsidRPr="003B65C0">
              <w:t>anti-corruption legislation</w:t>
            </w:r>
          </w:p>
          <w:p w:rsidR="00000000" w:rsidRPr="003B65C0" w:rsidP="003B65C0">
            <w:pPr>
              <w:pStyle w:val="ListBullet3"/>
            </w:pPr>
            <w:r w:rsidRPr="003B65C0">
              <w:t>whistleblowers' protection</w:t>
            </w:r>
          </w:p>
          <w:p w:rsidR="00000000" w:rsidRPr="003B65C0" w:rsidP="003B65C0">
            <w:pPr>
              <w:pStyle w:val="ListBullet2"/>
            </w:pPr>
            <w:r w:rsidRPr="003B65C0">
              <w:t>public sector employment:</w:t>
            </w:r>
          </w:p>
          <w:p w:rsidR="00000000" w:rsidRPr="003B65C0" w:rsidP="003B65C0">
            <w:pPr>
              <w:pStyle w:val="ListBullet3"/>
            </w:pPr>
            <w:r w:rsidRPr="003B65C0">
              <w:t>employee relations</w:t>
            </w:r>
          </w:p>
          <w:p w:rsidR="00000000" w:rsidRPr="003B65C0" w:rsidP="003B65C0">
            <w:pPr>
              <w:pStyle w:val="ListBullet3"/>
            </w:pPr>
            <w:r w:rsidRPr="003B65C0">
              <w:t>chief executive officer's instructions</w:t>
            </w:r>
          </w:p>
          <w:p w:rsidR="00000000" w:rsidRPr="003B65C0" w:rsidP="003B65C0">
            <w:pPr>
              <w:pStyle w:val="ListBullet3"/>
            </w:pPr>
            <w:r w:rsidRPr="003B65C0">
              <w:t>Commissioner's instructions</w:t>
            </w:r>
          </w:p>
          <w:p w:rsidR="00000000" w:rsidRPr="003B65C0" w:rsidP="003B65C0">
            <w:pPr>
              <w:pStyle w:val="ListBullet3"/>
            </w:pPr>
            <w:r w:rsidRPr="003B65C0">
              <w:t>public sector notices</w:t>
            </w:r>
          </w:p>
          <w:p w:rsidR="00000000" w:rsidRPr="003B65C0" w:rsidP="003B65C0">
            <w:pPr>
              <w:pStyle w:val="ListBullet2"/>
            </w:pPr>
            <w:r w:rsidRPr="003B65C0">
              <w:t>workplace environment:</w:t>
            </w:r>
          </w:p>
          <w:p w:rsidR="00000000" w:rsidRPr="003B65C0" w:rsidP="003B65C0">
            <w:pPr>
              <w:pStyle w:val="ListBullet3"/>
            </w:pPr>
            <w:r w:rsidRPr="003B65C0">
              <w:t>equal employment opportunity</w:t>
            </w:r>
          </w:p>
          <w:p w:rsidR="00000000" w:rsidRPr="003B65C0" w:rsidP="003B65C0">
            <w:pPr>
              <w:pStyle w:val="ListBullet3"/>
            </w:pPr>
            <w:r w:rsidRPr="003B65C0">
              <w:t>affirmative action</w:t>
            </w:r>
          </w:p>
          <w:p w:rsidR="00000000" w:rsidRPr="003B65C0" w:rsidP="003B65C0">
            <w:pPr>
              <w:pStyle w:val="ListBullet3"/>
            </w:pPr>
            <w:r w:rsidRPr="003B65C0">
              <w:t>workplace diversity</w:t>
            </w:r>
          </w:p>
          <w:p w:rsidR="00000000" w:rsidRPr="003B65C0" w:rsidP="003B65C0">
            <w:pPr>
              <w:pStyle w:val="ListBullet3"/>
            </w:pPr>
            <w:r w:rsidRPr="003B65C0">
              <w:t>anti-discrimination</w:t>
            </w:r>
          </w:p>
          <w:p w:rsidR="00000000" w:rsidRPr="003B65C0" w:rsidP="003B65C0">
            <w:pPr>
              <w:pStyle w:val="ListBullet3"/>
            </w:pPr>
            <w:r w:rsidRPr="003B65C0">
              <w:t>workplace harassment</w:t>
            </w:r>
          </w:p>
          <w:p w:rsidR="00000000" w:rsidRPr="003B65C0" w:rsidP="003B65C0">
            <w:pPr>
              <w:pStyle w:val="ListBullet3"/>
            </w:pPr>
            <w:r w:rsidRPr="003B65C0">
              <w:t>occupational health and safety</w:t>
            </w:r>
          </w:p>
          <w:p w:rsidR="00000000" w:rsidRPr="003B65C0" w:rsidP="003B65C0">
            <w:pPr>
              <w:pStyle w:val="ListBullet3"/>
            </w:pPr>
            <w:r w:rsidRPr="003B65C0">
              <w:t xml:space="preserve">duty of care </w:t>
            </w:r>
          </w:p>
          <w:p w:rsidR="00000000" w:rsidRPr="003B65C0" w:rsidP="003B65C0">
            <w:pPr>
              <w:pStyle w:val="ListBullet3"/>
            </w:pPr>
            <w:r w:rsidRPr="003B65C0">
              <w:t>security, storage, handling and classification of documents</w:t>
            </w:r>
          </w:p>
          <w:p w:rsidR="00000000" w:rsidRPr="003B65C0" w:rsidP="003B65C0">
            <w:pPr>
              <w:pStyle w:val="ListBullet2"/>
            </w:pPr>
            <w:r w:rsidRPr="003B65C0">
              <w:t>financial managem</w:t>
            </w:r>
            <w:r w:rsidRPr="003B65C0">
              <w:t>ent and accountability:</w:t>
            </w:r>
          </w:p>
          <w:p w:rsidR="00000000" w:rsidRPr="003B65C0" w:rsidP="003B65C0">
            <w:pPr>
              <w:pStyle w:val="ListBullet3"/>
            </w:pPr>
            <w:r w:rsidRPr="003B65C0">
              <w:t>Treasurer's instructions</w:t>
            </w:r>
          </w:p>
          <w:p w:rsidR="00000000" w:rsidRPr="003B65C0" w:rsidP="003B65C0">
            <w:pPr>
              <w:pStyle w:val="ListBullet3"/>
            </w:pPr>
            <w:r w:rsidRPr="003B65C0">
              <w:t>contractual obligations</w:t>
            </w:r>
          </w:p>
          <w:p w:rsidR="00000000" w:rsidRPr="003B65C0" w:rsidP="003B65C0">
            <w:pPr>
              <w:pStyle w:val="ListBullet2"/>
            </w:pPr>
            <w:r w:rsidRPr="003B65C0">
              <w:t>transparency:</w:t>
            </w:r>
          </w:p>
          <w:p w:rsidR="00000000" w:rsidRPr="003B65C0" w:rsidP="003B65C0">
            <w:pPr>
              <w:pStyle w:val="ListBullet3"/>
            </w:pPr>
            <w:r w:rsidRPr="003B65C0">
              <w:t>freedom of information</w:t>
            </w:r>
          </w:p>
          <w:p w:rsidR="00000000" w:rsidRPr="003B65C0" w:rsidP="003B65C0">
            <w:pPr>
              <w:pStyle w:val="ListBullet3"/>
            </w:pPr>
            <w:r w:rsidRPr="003B65C0">
              <w:t>professional reporting</w:t>
            </w:r>
          </w:p>
          <w:p w:rsidR="00000000" w:rsidRPr="003B65C0" w:rsidP="003B65C0">
            <w:pPr>
              <w:pStyle w:val="ListBullet3"/>
            </w:pPr>
            <w:r w:rsidRPr="003B65C0">
              <w:t>accountability</w:t>
            </w:r>
          </w:p>
          <w:p w:rsidR="00000000" w:rsidRPr="003B65C0" w:rsidP="003B65C0">
            <w:pPr>
              <w:pStyle w:val="ListBullet3"/>
            </w:pPr>
            <w:r w:rsidRPr="003B65C0">
              <w:t>fair trading</w:t>
            </w:r>
          </w:p>
          <w:p w:rsidR="00000000" w:rsidRPr="003B65C0" w:rsidP="003B65C0">
            <w:pPr>
              <w:pStyle w:val="ListBullet2"/>
            </w:pPr>
            <w:r w:rsidRPr="003B65C0">
              <w:t>business and community:</w:t>
            </w:r>
          </w:p>
          <w:p w:rsidR="00000000" w:rsidRPr="003B65C0" w:rsidP="003B65C0">
            <w:pPr>
              <w:pStyle w:val="ListBullet3"/>
            </w:pPr>
            <w:r w:rsidRPr="003B65C0">
              <w:t>privacy</w:t>
            </w:r>
          </w:p>
          <w:p w:rsidR="00000000" w:rsidRPr="003B65C0" w:rsidP="003B65C0">
            <w:pPr>
              <w:pStyle w:val="ListBullet3"/>
            </w:pPr>
            <w:r w:rsidRPr="003B65C0">
              <w:t>trade practices</w:t>
            </w:r>
          </w:p>
          <w:p w:rsidR="00000000" w:rsidRPr="003B65C0" w:rsidP="003B65C0">
            <w:pPr>
              <w:pStyle w:val="ListBullet3"/>
            </w:pPr>
            <w:r w:rsidRPr="003B65C0">
              <w:t>competition</w:t>
            </w:r>
          </w:p>
          <w:p w:rsidR="00000000" w:rsidRPr="003B65C0" w:rsidP="003B65C0">
            <w:pPr>
              <w:pStyle w:val="ListBullet3"/>
            </w:pPr>
            <w:r w:rsidRPr="003B65C0">
              <w:t>road transport legislation</w:t>
            </w:r>
          </w:p>
          <w:p w:rsidR="00000000" w:rsidRPr="003B65C0" w:rsidP="003B65C0">
            <w:pPr>
              <w:pStyle w:val="ListBullet2"/>
            </w:pPr>
            <w:r w:rsidRPr="003B65C0">
              <w:t xml:space="preserve">information and records management standards and legislation </w:t>
            </w:r>
          </w:p>
          <w:p w:rsidR="00000000" w:rsidRPr="003B65C0" w:rsidP="003B65C0">
            <w:pPr>
              <w:pStyle w:val="ListBullet2"/>
            </w:pPr>
            <w:r w:rsidRPr="003B65C0">
              <w:t>the organisation's enabling legislation, regulations</w:t>
            </w:r>
          </w:p>
          <w:p w:rsidR="00000000" w:rsidRPr="003B65C0" w:rsidP="003B65C0">
            <w:pPr>
              <w:pStyle w:val="ListBullet2"/>
            </w:pPr>
            <w:r w:rsidRPr="003B65C0">
              <w:t>aspects of common law, criminal law, contract law, employment law and administrative law, including judges rules</w:t>
            </w:r>
          </w:p>
          <w:p w:rsidR="00000000" w:rsidP="003B65C0">
            <w:pPr>
              <w:pStyle w:val="ListBullet2"/>
              <w:rPr>
                <w:lang w:val="en-NZ"/>
              </w:rPr>
            </w:pPr>
            <w:r w:rsidRPr="003B65C0">
              <w:t>international legislation/co</w:t>
            </w:r>
            <w:r w:rsidRPr="003B65C0">
              <w:t>des of behaviour</w:t>
            </w:r>
          </w:p>
        </w:tc>
      </w:tr>
      <w:tr w:rsidTr="008833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5C0">
            <w:pPr>
              <w:pStyle w:val="BodyText"/>
              <w:rPr>
                <w:lang w:val="en-NZ"/>
              </w:rPr>
            </w:pPr>
            <w:r w:rsidRPr="003B65C0">
              <w:rPr>
                <w:rStyle w:val="BoldandItalics"/>
              </w:rPr>
              <w:t>Inadequacies in procedures</w:t>
            </w:r>
            <w:r w:rsidRPr="003B65C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5C0" w:rsidP="003B65C0">
            <w:pPr>
              <w:pStyle w:val="ListBullet2"/>
            </w:pPr>
            <w:r w:rsidRPr="003B65C0">
              <w:t>insufficient financial/other controls</w:t>
            </w:r>
          </w:p>
          <w:p w:rsidR="00000000" w:rsidRPr="003B65C0" w:rsidP="003B65C0">
            <w:pPr>
              <w:pStyle w:val="ListBullet2"/>
            </w:pPr>
            <w:r w:rsidRPr="003B65C0">
              <w:t>insecure Internet/fax access</w:t>
            </w:r>
          </w:p>
          <w:p w:rsidR="00000000" w:rsidRPr="003B65C0" w:rsidP="003B65C0">
            <w:pPr>
              <w:pStyle w:val="ListBullet2"/>
            </w:pPr>
            <w:r w:rsidRPr="003B65C0">
              <w:t>non-auditable records processes</w:t>
            </w:r>
          </w:p>
          <w:p w:rsidR="00000000" w:rsidRPr="003B65C0" w:rsidP="003B65C0">
            <w:pPr>
              <w:pStyle w:val="ListBullet2"/>
            </w:pPr>
            <w:r w:rsidRPr="003B65C0">
              <w:t>ambiguous guidelines</w:t>
            </w:r>
          </w:p>
          <w:p w:rsidR="00000000" w:rsidRPr="003B65C0" w:rsidP="003B65C0">
            <w:pPr>
              <w:pStyle w:val="ListBullet2"/>
            </w:pPr>
            <w:r w:rsidRPr="003B65C0">
              <w:t>no guidelines</w:t>
            </w:r>
          </w:p>
          <w:p w:rsidR="00000000" w:rsidRPr="003B65C0" w:rsidP="003B65C0">
            <w:pPr>
              <w:pStyle w:val="ListBullet2"/>
            </w:pPr>
            <w:r w:rsidRPr="003B65C0">
              <w:t>unnecessary complexity</w:t>
            </w:r>
          </w:p>
          <w:p w:rsidR="00000000" w:rsidRPr="003B65C0" w:rsidP="003B65C0">
            <w:pPr>
              <w:pStyle w:val="ListBullet2"/>
            </w:pPr>
            <w:r w:rsidRPr="003B65C0">
              <w:t>use of non-current legislation</w:t>
            </w:r>
          </w:p>
        </w:tc>
      </w:tr>
    </w:tbl>
    <w:p w:rsidR="008833C2" w:rsidP="003B65C0">
      <w:pPr>
        <w:pStyle w:val="BodyText"/>
      </w:pPr>
    </w:p>
    <w:p w:rsidR="008833C2" w:rsidP="003B65C0">
      <w:pPr>
        <w:pStyle w:val="BodyText"/>
      </w:pPr>
    </w:p>
    <w:p w:rsidR="00000000" w:rsidRPr="003B65C0" w:rsidP="003B65C0">
      <w:pPr>
        <w:pStyle w:val="Heading1"/>
      </w:pPr>
      <w:bookmarkStart w:id="12" w:name="O_493806"/>
      <w:bookmarkEnd w:id="12"/>
      <w:r w:rsidRPr="003B65C0">
        <w:t>Unit Sector(s)</w:t>
      </w:r>
    </w:p>
    <w:p w:rsidR="00000000" w:rsidRPr="003B65C0" w:rsidP="003B65C0">
      <w:pPr>
        <w:pStyle w:val="BodyText"/>
      </w:pPr>
      <w:r w:rsidRPr="003B65C0">
        <w:t>Not applicable.</w:t>
      </w:r>
    </w:p>
    <w:p w:rsidR="00000000" w:rsidRPr="003B65C0" w:rsidP="003B65C0">
      <w:pPr>
        <w:pStyle w:val="AllowPageBreak"/>
      </w:pPr>
    </w:p>
    <w:p w:rsidR="00000000" w:rsidRPr="003B65C0" w:rsidP="003B65C0">
      <w:pPr>
        <w:pStyle w:val="Heading1"/>
      </w:pPr>
      <w:bookmarkStart w:id="13" w:name="O_493817"/>
      <w:bookmarkEnd w:id="13"/>
      <w:r w:rsidRPr="003B65C0">
        <w:t>Competency field</w:t>
      </w:r>
    </w:p>
    <w:p w:rsidR="00000000" w:rsidRPr="003B65C0" w:rsidP="003B65C0">
      <w:pPr>
        <w:pStyle w:val="BodyText"/>
      </w:pPr>
      <w:r w:rsidRPr="003B65C0">
        <w:t>Legislation and Compliance</w:t>
      </w:r>
    </w:p>
    <w:p w:rsidR="00000000" w:rsidRPr="003B65C0" w:rsidP="003B65C0"/>
    <w:sectPr w:rsidSect="003B65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33C2" w:rsidP="008833C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C2" w:rsidP="003B6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33C2" w:rsidP="003B6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833C2" w:rsidP="003B65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C0" w:rsidRPr="008833C2" w:rsidP="008833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C2" w:rsidRPr="002D2AF8" w:rsidP="003B6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PSPLEGN601B Manage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8833C2" w:rsidP="003B6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82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945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5C0"/>
  </w:style>
  <w:style w:type="character" w:customStyle="1" w:styleId="Heading1Char">
    <w:name w:val="Heading 1 Char"/>
    <w:basedOn w:val="DefaultParagraphFont"/>
    <w:link w:val="Heading1"/>
    <w:rsid w:val="003B6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5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5C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B6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5C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B65C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B65C0"/>
    <w:rPr>
      <w:b/>
      <w:spacing w:val="0"/>
    </w:rPr>
  </w:style>
  <w:style w:type="paragraph" w:styleId="ListBullet2">
    <w:name w:val="List Bullet 2"/>
    <w:basedOn w:val="List2"/>
    <w:rsid w:val="003B65C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5C0"/>
    <w:rPr>
      <w:i/>
    </w:rPr>
  </w:style>
  <w:style w:type="paragraph" w:customStyle="1" w:styleId="SuperHeading">
    <w:name w:val="SuperHeading"/>
    <w:basedOn w:val="Normal"/>
    <w:rsid w:val="003B65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B6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65C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3B65C0"/>
    <w:rPr>
      <w:u w:val="single"/>
    </w:rPr>
  </w:style>
  <w:style w:type="character" w:customStyle="1" w:styleId="BoldandItalics">
    <w:name w:val="Bold and Italics"/>
    <w:qFormat/>
    <w:rsid w:val="003B65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B6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B6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5C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65C0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6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5C0"/>
  </w:style>
  <w:style w:type="paragraph" w:styleId="TableofFigures">
    <w:name w:val="table of figures"/>
    <w:basedOn w:val="Normal"/>
    <w:next w:val="Normal"/>
    <w:semiHidden/>
    <w:rsid w:val="003B6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5C0"/>
    <w:pPr>
      <w:numPr>
        <w:numId w:val="11"/>
      </w:numPr>
    </w:pPr>
  </w:style>
  <w:style w:type="character" w:customStyle="1" w:styleId="WingdingSymbols">
    <w:name w:val="Wingding Symbols"/>
    <w:rsid w:val="003B65C0"/>
    <w:rPr>
      <w:rFonts w:ascii="Wingdings" w:hAnsi="Wingdings"/>
    </w:rPr>
  </w:style>
  <w:style w:type="paragraph" w:customStyle="1" w:styleId="TableHeading">
    <w:name w:val="Table Heading"/>
    <w:basedOn w:val="HeadingBase"/>
    <w:rsid w:val="003B6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5C0"/>
    <w:rPr>
      <w:color w:val="0033CC"/>
      <w:u w:val="none"/>
    </w:rPr>
  </w:style>
  <w:style w:type="paragraph" w:customStyle="1" w:styleId="BodyTextRight">
    <w:name w:val="Body Text Right"/>
    <w:basedOn w:val="BodyText"/>
    <w:rsid w:val="003B6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5C0"/>
    <w:rPr>
      <w:sz w:val="32"/>
    </w:rPr>
  </w:style>
  <w:style w:type="paragraph" w:customStyle="1" w:styleId="HeadingProcedure">
    <w:name w:val="Heading Procedure"/>
    <w:basedOn w:val="HeadingBase"/>
    <w:next w:val="Normal"/>
    <w:rsid w:val="003B6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5C0"/>
    <w:pPr>
      <w:spacing w:before="60" w:after="60"/>
    </w:pPr>
  </w:style>
  <w:style w:type="paragraph" w:styleId="ListContinue">
    <w:name w:val="List Continue"/>
    <w:basedOn w:val="List"/>
    <w:rsid w:val="003B65C0"/>
    <w:pPr>
      <w:ind w:firstLine="0"/>
    </w:pPr>
  </w:style>
  <w:style w:type="paragraph" w:customStyle="1" w:styleId="ListNote">
    <w:name w:val="List Note"/>
    <w:basedOn w:val="List"/>
    <w:rsid w:val="003B6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5C0"/>
    <w:rPr>
      <w:rFonts w:ascii="Courier New" w:hAnsi="Courier New"/>
    </w:rPr>
  </w:style>
  <w:style w:type="paragraph" w:customStyle="1" w:styleId="NoteBullet">
    <w:name w:val="Note Bullet"/>
    <w:basedOn w:val="Note"/>
    <w:rsid w:val="003B6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5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6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5C0"/>
    <w:rPr>
      <w:b/>
      <w:smallCaps/>
    </w:rPr>
  </w:style>
  <w:style w:type="paragraph" w:customStyle="1" w:styleId="TableListNumber">
    <w:name w:val="Table List Number"/>
    <w:basedOn w:val="ListNumber"/>
    <w:rsid w:val="003B6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5C0"/>
    <w:pPr>
      <w:numPr>
        <w:numId w:val="9"/>
      </w:numPr>
    </w:pPr>
  </w:style>
  <w:style w:type="paragraph" w:customStyle="1" w:styleId="ListAlpha2">
    <w:name w:val="List Alpha 2"/>
    <w:basedOn w:val="List2"/>
    <w:rsid w:val="003B65C0"/>
    <w:pPr>
      <w:numPr>
        <w:numId w:val="8"/>
      </w:numPr>
    </w:pPr>
  </w:style>
  <w:style w:type="paragraph" w:styleId="List2">
    <w:name w:val="List 2"/>
    <w:basedOn w:val="BodyText"/>
    <w:rsid w:val="003B6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5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65C0"/>
    <w:pPr>
      <w:numPr>
        <w:numId w:val="3"/>
      </w:numPr>
    </w:pPr>
  </w:style>
  <w:style w:type="paragraph" w:styleId="ListBullet5">
    <w:name w:val="List Bullet 5"/>
    <w:basedOn w:val="List5"/>
    <w:rsid w:val="003B65C0"/>
    <w:pPr>
      <w:numPr>
        <w:numId w:val="4"/>
      </w:numPr>
    </w:pPr>
  </w:style>
  <w:style w:type="paragraph" w:styleId="ListContinue2">
    <w:name w:val="List Continue 2"/>
    <w:basedOn w:val="List2"/>
    <w:rsid w:val="003B65C0"/>
    <w:pPr>
      <w:ind w:firstLine="0"/>
    </w:pPr>
  </w:style>
  <w:style w:type="paragraph" w:styleId="ListContinue3">
    <w:name w:val="List Continue 3"/>
    <w:basedOn w:val="List3"/>
    <w:rsid w:val="003B65C0"/>
    <w:pPr>
      <w:ind w:left="1021" w:firstLine="0"/>
    </w:pPr>
  </w:style>
  <w:style w:type="paragraph" w:styleId="ListContinue4">
    <w:name w:val="List Continue 4"/>
    <w:basedOn w:val="List4"/>
    <w:rsid w:val="003B65C0"/>
    <w:pPr>
      <w:ind w:firstLine="0"/>
    </w:pPr>
  </w:style>
  <w:style w:type="paragraph" w:styleId="ListContinue5">
    <w:name w:val="List Continue 5"/>
    <w:basedOn w:val="List5"/>
    <w:rsid w:val="003B65C0"/>
    <w:pPr>
      <w:ind w:firstLine="0"/>
    </w:pPr>
  </w:style>
  <w:style w:type="paragraph" w:styleId="ListNumber3">
    <w:name w:val="List Number 3"/>
    <w:basedOn w:val="List3"/>
    <w:rsid w:val="003B65C0"/>
    <w:pPr>
      <w:numPr>
        <w:numId w:val="5"/>
      </w:numPr>
    </w:pPr>
  </w:style>
  <w:style w:type="paragraph" w:styleId="ListNumber4">
    <w:name w:val="List Number 4"/>
    <w:basedOn w:val="List4"/>
    <w:rsid w:val="003B65C0"/>
    <w:pPr>
      <w:numPr>
        <w:numId w:val="6"/>
      </w:numPr>
    </w:pPr>
  </w:style>
  <w:style w:type="paragraph" w:styleId="ListNumber5">
    <w:name w:val="List Number 5"/>
    <w:basedOn w:val="List5"/>
    <w:rsid w:val="003B65C0"/>
    <w:pPr>
      <w:numPr>
        <w:numId w:val="7"/>
      </w:numPr>
    </w:pPr>
  </w:style>
  <w:style w:type="paragraph" w:styleId="BlockText">
    <w:name w:val="Block Text"/>
    <w:basedOn w:val="Normal"/>
    <w:rsid w:val="003B6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5C0"/>
    <w:rPr>
      <w:sz w:val="16"/>
      <w:vertAlign w:val="superscript"/>
    </w:rPr>
  </w:style>
  <w:style w:type="character" w:customStyle="1" w:styleId="Symbols">
    <w:name w:val="Symbols"/>
    <w:basedOn w:val="DefaultParagraphFont"/>
    <w:rsid w:val="003B65C0"/>
    <w:rPr>
      <w:rFonts w:ascii="Symbol" w:hAnsi="Symbol"/>
    </w:rPr>
  </w:style>
  <w:style w:type="character" w:customStyle="1" w:styleId="MenuOptions">
    <w:name w:val="Menu Options"/>
    <w:basedOn w:val="DefaultParagraphFont"/>
    <w:rsid w:val="003B6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5C0"/>
    <w:rPr>
      <w:b/>
    </w:rPr>
  </w:style>
  <w:style w:type="character" w:customStyle="1" w:styleId="Underlined">
    <w:name w:val="Underlined"/>
    <w:basedOn w:val="DefaultParagraphFont"/>
    <w:rsid w:val="003B65C0"/>
    <w:rPr>
      <w:u w:val="single"/>
    </w:rPr>
  </w:style>
  <w:style w:type="paragraph" w:customStyle="1" w:styleId="TableBodyTextRight">
    <w:name w:val="Table Body Text Right"/>
    <w:basedOn w:val="TableBodyText"/>
    <w:rsid w:val="003B6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5C0"/>
    <w:rPr>
      <w:sz w:val="18"/>
    </w:rPr>
  </w:style>
  <w:style w:type="paragraph" w:customStyle="1" w:styleId="BodySmallRight">
    <w:name w:val="Body Small Right"/>
    <w:basedOn w:val="BodyTextRight"/>
    <w:rsid w:val="003B65C0"/>
    <w:rPr>
      <w:sz w:val="18"/>
      <w:szCs w:val="18"/>
    </w:rPr>
  </w:style>
  <w:style w:type="paragraph" w:customStyle="1" w:styleId="MarginEdition">
    <w:name w:val="Margin Edition"/>
    <w:basedOn w:val="MarginNote"/>
    <w:rsid w:val="003B6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5C0"/>
    <w:rPr>
      <w:sz w:val="2"/>
      <w:szCs w:val="2"/>
    </w:rPr>
  </w:style>
  <w:style w:type="character" w:customStyle="1" w:styleId="Small">
    <w:name w:val="Small"/>
    <w:basedOn w:val="DefaultParagraphFont"/>
    <w:rsid w:val="003B65C0"/>
    <w:rPr>
      <w:sz w:val="16"/>
    </w:rPr>
  </w:style>
  <w:style w:type="paragraph" w:customStyle="1" w:styleId="WideTable">
    <w:name w:val="Wide Table"/>
    <w:basedOn w:val="Normal"/>
    <w:rsid w:val="003B6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5C0"/>
  </w:style>
  <w:style w:type="paragraph" w:styleId="Quote">
    <w:name w:val="Quote"/>
    <w:basedOn w:val="Heading1"/>
    <w:link w:val="QuoteChar"/>
    <w:qFormat/>
    <w:rsid w:val="003B6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5C0"/>
    <w:pPr>
      <w:pageBreakBefore/>
    </w:pPr>
  </w:style>
  <w:style w:type="paragraph" w:customStyle="1" w:styleId="Border">
    <w:name w:val="Border"/>
    <w:basedOn w:val="Normal"/>
    <w:qFormat/>
    <w:rsid w:val="003B6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5C0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3B6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5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5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1243</Words>
  <Characters>8306</Characters>
  <Application>Microsoft Office Word</Application>
  <DocSecurity>0</DocSecurity>
  <Lines>273</Lines>
  <Paragraphs>172</Paragraphs>
  <ScaleCrop>false</ScaleCrop>
  <Company>Author-it Software Corporation Ltd.</Company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PSPLEGN601B Manage compliance with legislation in the public sector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2012-11-01T18:19:00Z</dcterms:created>
  <dcterms:modified xsi:type="dcterms:W3CDTF">2012-11-01T18:19:00Z</dcterms:modified>
</cp:coreProperties>
</file>