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391" w:rsidP="00B27391">
      <w:pPr>
        <w:pStyle w:val="Title"/>
      </w:pPr>
      <w:bookmarkStart w:id="0" w:name="_GoBack"/>
      <w:bookmarkEnd w:id="0"/>
      <w:r>
        <w:fldChar w:fldCharType="begin"/>
      </w:r>
      <w:r>
        <w:instrText xml:space="preserve"> TITLE   \* MERGEFORMAT </w:instrText>
      </w:r>
      <w:r>
        <w:fldChar w:fldCharType="separate"/>
      </w:r>
      <w:r>
        <w:t>PSPLAND601A Manage unallocated land</w:t>
      </w:r>
      <w:r>
        <w:fldChar w:fldCharType="end"/>
      </w:r>
    </w:p>
    <w:p w:rsidR="00B27391" w:rsidP="00B27391">
      <w:pPr>
        <w:pStyle w:val="Version"/>
        <w:sectPr w:rsidSect="00DD0C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D0C86" w:rsidP="00DD0C86">
      <w:pPr>
        <w:pStyle w:val="SuperHeading"/>
      </w:pPr>
      <w:r w:rsidRPr="00DD0C86">
        <w:t>PSPLAND601A Manage unallocated land</w:t>
      </w:r>
    </w:p>
    <w:p w:rsidR="00000000" w:rsidRPr="00DD0C86" w:rsidP="00DD0C86">
      <w:pPr>
        <w:pStyle w:val="SuperHeading"/>
      </w:pPr>
    </w:p>
    <w:p w:rsidR="00000000" w:rsidRPr="00DD0C86" w:rsidP="00DD0C86">
      <w:pPr>
        <w:pStyle w:val="Heading1"/>
      </w:pPr>
      <w:bookmarkStart w:id="1" w:name="O_497128"/>
      <w:bookmarkEnd w:id="1"/>
      <w:r w:rsidRPr="00DD0C86">
        <w:t>Modification History</w:t>
      </w:r>
    </w:p>
    <w:tbl>
      <w:tblPr>
        <w:tblW w:w="0" w:type="auto"/>
        <w:tblLayout w:type="fixed"/>
        <w:tblCellMar>
          <w:left w:w="62" w:type="dxa"/>
          <w:right w:w="62" w:type="dxa"/>
        </w:tblCellMar>
        <w:tblLook w:val="0000"/>
      </w:tblPr>
      <w:tblGrid>
        <w:gridCol w:w="3052"/>
        <w:gridCol w:w="3052"/>
        <w:gridCol w:w="3052"/>
      </w:tblGrid>
      <w:tr w:rsidTr="00B2739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C86" w:rsidP="00DD0C86">
            <w:pPr>
              <w:pStyle w:val="BodyText"/>
            </w:pPr>
            <w:r w:rsidRPr="00DD0C8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C86" w:rsidP="00DD0C86">
            <w:pPr>
              <w:pStyle w:val="BodyText"/>
            </w:pPr>
            <w:r w:rsidRPr="00DD0C8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C86">
            <w:pPr>
              <w:pStyle w:val="BodyText"/>
              <w:rPr>
                <w:lang w:val="en-NZ"/>
              </w:rPr>
            </w:pPr>
            <w:r w:rsidRPr="00DD0C86">
              <w:rPr>
                <w:rStyle w:val="SpecialBold"/>
              </w:rPr>
              <w:t>Comments</w:t>
            </w:r>
          </w:p>
        </w:tc>
      </w:tr>
      <w:tr w:rsidTr="00B2739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C86">
            <w:pPr>
              <w:pStyle w:val="BodyText"/>
              <w:rPr>
                <w:lang w:val="en-NZ"/>
              </w:rPr>
            </w:pPr>
            <w:r w:rsidRPr="00DD0C8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C86">
            <w:pPr>
              <w:pStyle w:val="BodyText"/>
              <w:rPr>
                <w:lang w:val="en-NZ"/>
              </w:rPr>
            </w:pPr>
            <w:r w:rsidRPr="00DD0C8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C86">
            <w:pPr>
              <w:pStyle w:val="BodyText"/>
              <w:rPr>
                <w:lang w:val="en-NZ"/>
              </w:rPr>
            </w:pPr>
            <w:r w:rsidRPr="00DD0C86">
              <w:t xml:space="preserve">Unit descriptor edited. </w:t>
            </w:r>
          </w:p>
        </w:tc>
      </w:tr>
      <w:tr w:rsidTr="00B2739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C86">
            <w:pPr>
              <w:pStyle w:val="BodyText"/>
              <w:rPr>
                <w:lang w:val="en-NZ"/>
              </w:rPr>
            </w:pPr>
            <w:r w:rsidRPr="00DD0C8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C86">
            <w:pPr>
              <w:pStyle w:val="BodyText"/>
              <w:rPr>
                <w:lang w:val="en-NZ"/>
              </w:rPr>
            </w:pPr>
            <w:r w:rsidRPr="00DD0C8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C86">
            <w:pPr>
              <w:pStyle w:val="BodyText"/>
              <w:rPr>
                <w:lang w:val="en-NZ"/>
              </w:rPr>
            </w:pPr>
            <w:r w:rsidRPr="00DD0C86">
              <w:t>Layout adjusted. No changes to content.</w:t>
            </w:r>
          </w:p>
        </w:tc>
      </w:tr>
      <w:tr w:rsidTr="00B2739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C86">
            <w:pPr>
              <w:pStyle w:val="BodyText"/>
              <w:rPr>
                <w:lang w:val="en-NZ"/>
              </w:rPr>
            </w:pPr>
            <w:r w:rsidRPr="00DD0C8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C86">
            <w:pPr>
              <w:pStyle w:val="BodyText"/>
              <w:rPr>
                <w:lang w:val="en-NZ"/>
              </w:rPr>
            </w:pPr>
            <w:r w:rsidRPr="00DD0C8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C86" w:rsidP="00DD0C86">
            <w:pPr>
              <w:pStyle w:val="BodyText"/>
            </w:pPr>
            <w:r w:rsidRPr="00DD0C86">
              <w:t>Primary release.</w:t>
            </w:r>
          </w:p>
        </w:tc>
      </w:tr>
    </w:tbl>
    <w:p w:rsidR="00000000" w:rsidRPr="00DD0C86" w:rsidP="00DD0C86">
      <w:pPr>
        <w:pStyle w:val="BodyText"/>
      </w:pPr>
    </w:p>
    <w:p w:rsidR="00000000" w:rsidRPr="00DD0C86" w:rsidP="00DD0C86">
      <w:pPr>
        <w:pStyle w:val="AllowPageBreak"/>
      </w:pPr>
    </w:p>
    <w:p w:rsidR="00000000" w:rsidRPr="00DD0C86" w:rsidP="00DD0C86">
      <w:pPr>
        <w:pStyle w:val="Heading1"/>
      </w:pPr>
      <w:bookmarkStart w:id="2" w:name="O_497133"/>
      <w:bookmarkEnd w:id="2"/>
      <w:r w:rsidRPr="00DD0C86">
        <w:t>Unit Descriptor</w:t>
      </w:r>
    </w:p>
    <w:p w:rsidR="00000000" w:rsidRPr="00DD0C86" w:rsidP="00DD0C86">
      <w:pPr>
        <w:pStyle w:val="BodyText"/>
      </w:pPr>
      <w:r w:rsidRPr="00DD0C86">
        <w:t>This unit covers the competency to manage unallocated Crown land, unleased land and reserved land with no appointed manager. It includes identifying la</w:t>
      </w:r>
      <w:r w:rsidRPr="00DD0C86">
        <w:t>nd requiring management action; undertaking consultations; developing strategies for the management of land; implementing land management strategies; monitoring land use, condition and trend; and taking a strategic approach to the jurisdiction's land asset</w:t>
      </w:r>
      <w:r w:rsidRPr="00DD0C86">
        <w:t xml:space="preserve"> portfolio.</w:t>
      </w:r>
    </w:p>
    <w:p w:rsidR="00000000" w:rsidRPr="00DD0C86" w:rsidP="00DD0C86">
      <w:pPr>
        <w:pStyle w:val="BodyText"/>
      </w:pPr>
      <w:r w:rsidRPr="00DD0C86">
        <w:t>In practice, management of unallocated land may overlap with other generalist or specialist public sector work activities such as ethical leadership, compliance with legislation, applying government systems, managing resources, providing strate</w:t>
      </w:r>
      <w:r w:rsidRPr="00DD0C86">
        <w:t>gic direction, managing diversity.</w:t>
      </w:r>
    </w:p>
    <w:p w:rsidR="00B27391" w:rsidP="00DD0C86">
      <w:pPr>
        <w:pStyle w:val="BodyText"/>
      </w:pPr>
      <w:r w:rsidRPr="00DD0C86">
        <w:t>No licensing, legislative, regulatory or certification requirements apply to this unit at the time of publication</w:t>
      </w:r>
    </w:p>
    <w:p w:rsidR="00B27391" w:rsidP="00DD0C86">
      <w:pPr>
        <w:pStyle w:val="BodyText"/>
      </w:pPr>
    </w:p>
    <w:p w:rsidR="00000000" w:rsidRPr="00DD0C86" w:rsidP="00DD0C86">
      <w:pPr>
        <w:pStyle w:val="Heading1"/>
      </w:pPr>
      <w:bookmarkStart w:id="3" w:name="O_497140"/>
      <w:bookmarkEnd w:id="3"/>
      <w:r w:rsidRPr="00DD0C86">
        <w:t>Application of the Unit</w:t>
      </w:r>
    </w:p>
    <w:p w:rsidR="00000000" w:rsidRPr="00DD0C86" w:rsidP="00DD0C86">
      <w:pPr>
        <w:pStyle w:val="BodyText"/>
      </w:pPr>
      <w:r w:rsidRPr="00DD0C86">
        <w:t>Not applicable.</w:t>
      </w:r>
    </w:p>
    <w:p w:rsidR="00000000" w:rsidRPr="00DD0C86" w:rsidP="00DD0C86">
      <w:pPr>
        <w:pStyle w:val="AllowPageBreak"/>
      </w:pPr>
    </w:p>
    <w:p w:rsidR="00000000" w:rsidRPr="00DD0C86" w:rsidP="00DD0C86">
      <w:pPr>
        <w:pStyle w:val="Heading1"/>
      </w:pPr>
      <w:bookmarkStart w:id="4" w:name="O_497127"/>
      <w:bookmarkEnd w:id="4"/>
      <w:r w:rsidRPr="00DD0C86">
        <w:t>Licensing/Regulatory Information</w:t>
      </w:r>
    </w:p>
    <w:p w:rsidR="00000000" w:rsidRPr="00DD0C86" w:rsidP="00DD0C86">
      <w:pPr>
        <w:pStyle w:val="BodyText"/>
      </w:pPr>
      <w:r w:rsidRPr="00DD0C86">
        <w:t>Not applicable.</w:t>
      </w:r>
    </w:p>
    <w:p w:rsidR="00000000" w:rsidRPr="00DD0C86" w:rsidP="00DD0C86">
      <w:pPr>
        <w:pStyle w:val="AllowPageBreak"/>
      </w:pPr>
    </w:p>
    <w:p w:rsidR="00000000" w:rsidRPr="00DD0C86" w:rsidP="00DD0C86">
      <w:pPr>
        <w:pStyle w:val="Heading1"/>
      </w:pPr>
      <w:bookmarkStart w:id="5" w:name="O_497132"/>
      <w:bookmarkEnd w:id="5"/>
      <w:r w:rsidRPr="00DD0C86">
        <w:t>Pre-Requisites</w:t>
      </w:r>
    </w:p>
    <w:p w:rsidR="00000000" w:rsidRPr="00DD0C86" w:rsidP="00DD0C86">
      <w:pPr>
        <w:pStyle w:val="BodyText"/>
      </w:pPr>
      <w:r w:rsidRPr="00DD0C86">
        <w:t>Not applicable.</w:t>
      </w:r>
    </w:p>
    <w:p w:rsidR="00000000" w:rsidRPr="00DD0C86" w:rsidP="00DD0C86">
      <w:pPr>
        <w:pStyle w:val="AllowPageBreak"/>
      </w:pPr>
    </w:p>
    <w:p w:rsidR="00000000" w:rsidRPr="00DD0C86" w:rsidP="00DD0C86">
      <w:pPr>
        <w:pStyle w:val="Heading1"/>
      </w:pPr>
      <w:bookmarkStart w:id="6" w:name="O_497136"/>
      <w:bookmarkEnd w:id="6"/>
      <w:r w:rsidRPr="00DD0C86">
        <w:t>Employability Skills Information</w:t>
      </w:r>
    </w:p>
    <w:p w:rsidR="00000000" w:rsidRPr="00DD0C86" w:rsidP="00DD0C86">
      <w:pPr>
        <w:pStyle w:val="BodyText"/>
      </w:pPr>
      <w:r w:rsidRPr="00DD0C86">
        <w:t>This unit contains employability skills.</w:t>
      </w:r>
    </w:p>
    <w:p w:rsidR="00000000" w:rsidRPr="00DD0C86" w:rsidP="00DD0C86">
      <w:pPr>
        <w:pStyle w:val="AllowPageBreak"/>
      </w:pPr>
    </w:p>
    <w:p w:rsidR="00000000" w:rsidRPr="00DD0C86" w:rsidP="00DD0C86">
      <w:pPr>
        <w:pStyle w:val="Heading1"/>
      </w:pPr>
      <w:bookmarkStart w:id="7" w:name="O_497137"/>
      <w:bookmarkEnd w:id="7"/>
      <w:r w:rsidRPr="00DD0C86">
        <w:t>Elements and Performance Criteria Pre-Content</w:t>
      </w:r>
    </w:p>
    <w:tbl>
      <w:tblPr>
        <w:tblW w:w="9322" w:type="dxa"/>
        <w:tblLayout w:type="fixed"/>
        <w:tblCellMar>
          <w:left w:w="62" w:type="dxa"/>
          <w:right w:w="62" w:type="dxa"/>
        </w:tblCellMar>
        <w:tblLook w:val="0000"/>
      </w:tblPr>
      <w:tblGrid>
        <w:gridCol w:w="2660"/>
        <w:gridCol w:w="6662"/>
      </w:tblGrid>
      <w:tr w:rsidTr="00B2739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D0C86" w:rsidP="00DD0C86">
            <w:pPr>
              <w:pStyle w:val="BodyText"/>
            </w:pPr>
            <w:r w:rsidRPr="00DD0C86">
              <w:t>Together, performance criteria specify the requirements for competent performance. Text in</w:t>
            </w:r>
            <w:r w:rsidRPr="00DD0C86">
              <w:rPr>
                <w:rStyle w:val="BoldandItalics"/>
              </w:rPr>
              <w:t xml:space="preserve"> bold italics </w:t>
            </w:r>
            <w:r w:rsidRPr="00DD0C86">
              <w:t xml:space="preserve"> is explained in the Range Statement following.</w:t>
            </w:r>
          </w:p>
        </w:tc>
      </w:tr>
    </w:tbl>
    <w:p w:rsidR="00000000" w:rsidRPr="00DD0C86" w:rsidP="00DD0C86">
      <w:pPr>
        <w:pStyle w:val="BodyText"/>
      </w:pPr>
    </w:p>
    <w:p w:rsidR="00000000" w:rsidRPr="00DD0C86" w:rsidP="00DD0C86">
      <w:pPr>
        <w:pStyle w:val="AllowPageBreak"/>
      </w:pPr>
    </w:p>
    <w:p w:rsidR="00000000" w:rsidRPr="00DD0C86" w:rsidP="00DD0C86">
      <w:pPr>
        <w:pStyle w:val="Heading1"/>
      </w:pPr>
      <w:bookmarkStart w:id="8" w:name="O_497138"/>
      <w:bookmarkEnd w:id="8"/>
      <w:r w:rsidRPr="00DD0C86">
        <w:t>Elements and Performance Criteria</w:t>
      </w:r>
    </w:p>
    <w:tbl>
      <w:tblPr>
        <w:tblW w:w="9322" w:type="dxa"/>
        <w:tblLayout w:type="fixed"/>
        <w:tblCellMar>
          <w:left w:w="62" w:type="dxa"/>
          <w:right w:w="62" w:type="dxa"/>
        </w:tblCellMar>
        <w:tblLook w:val="0000"/>
      </w:tblPr>
      <w:tblGrid>
        <w:gridCol w:w="2660"/>
        <w:gridCol w:w="6662"/>
      </w:tblGrid>
      <w:tr w:rsidTr="00B2739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D0C86" w:rsidP="00DD0C86">
            <w:pPr>
              <w:pStyle w:val="BodyText"/>
            </w:pPr>
            <w:r w:rsidRPr="00DD0C8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rPr>
                <w:rStyle w:val="SpecialBold"/>
              </w:rPr>
              <w:t>PERFORMANCE CRITERIA</w:t>
            </w:r>
          </w:p>
        </w:tc>
      </w:tr>
      <w:tr w:rsidTr="00B2739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0C86">
            <w:pPr>
              <w:pStyle w:val="List"/>
              <w:rPr>
                <w:lang w:val="en-NZ"/>
              </w:rPr>
            </w:pPr>
            <w:r w:rsidRPr="00DD0C86">
              <w:rPr>
                <w:rStyle w:val="SpecialBold"/>
              </w:rPr>
              <w:t>1</w:t>
            </w:r>
            <w:r w:rsidRPr="00DD0C86">
              <w:t>.</w:t>
            </w:r>
            <w:r w:rsidRPr="00DD0C86">
              <w:tab/>
            </w:r>
            <w:r w:rsidRPr="00DD0C86">
              <w:rPr>
                <w:rStyle w:val="SpecialBold"/>
              </w:rPr>
              <w:t>Identify land requiring management action</w:t>
            </w:r>
          </w:p>
        </w:tc>
        <w:tc>
          <w:tcPr>
            <w:tcW w:w="6662" w:type="dxa"/>
            <w:tcBorders>
              <w:top w:val="nil"/>
              <w:left w:val="nil"/>
              <w:bottom w:val="nil"/>
              <w:right w:val="nil"/>
            </w:tcBorders>
            <w:tcMar>
              <w:top w:w="0" w:type="dxa"/>
              <w:left w:w="62" w:type="dxa"/>
              <w:bottom w:w="0" w:type="dxa"/>
              <w:right w:w="62" w:type="dxa"/>
            </w:tcMar>
          </w:tcPr>
          <w:p w:rsidR="00000000" w:rsidRPr="00DD0C86" w:rsidP="00DD0C86">
            <w:pPr>
              <w:pStyle w:val="List"/>
            </w:pPr>
            <w:r w:rsidRPr="00DD0C86">
              <w:t>1.1</w:t>
            </w:r>
            <w:r w:rsidRPr="00DD0C86">
              <w:tab/>
            </w:r>
            <w:r w:rsidRPr="00DD0C86">
              <w:rPr>
                <w:rStyle w:val="BoldandItalics"/>
              </w:rPr>
              <w:t xml:space="preserve">Unallocated </w:t>
            </w:r>
            <w:r w:rsidRPr="00DD0C86">
              <w:t xml:space="preserve">Crown and reserved land requiring management action is located and its boundaries are </w:t>
            </w:r>
            <w:r w:rsidRPr="00DD0C86">
              <w:rPr>
                <w:rStyle w:val="BoldandItalics"/>
              </w:rPr>
              <w:t>confirmed.</w:t>
            </w:r>
          </w:p>
          <w:p w:rsidR="00000000" w:rsidRPr="00DD0C86" w:rsidP="00DD0C86">
            <w:pPr>
              <w:pStyle w:val="List"/>
            </w:pPr>
            <w:r w:rsidRPr="00DD0C86">
              <w:t>1.2</w:t>
            </w:r>
            <w:r w:rsidRPr="00DD0C86">
              <w:tab/>
            </w:r>
            <w:r w:rsidRPr="00DD0C86">
              <w:t>Systematic site inspection is undertaken ensuring all relevant issues are observed</w:t>
            </w:r>
          </w:p>
          <w:p w:rsidR="00000000" w:rsidRPr="00DD0C86" w:rsidP="00DD0C86">
            <w:pPr>
              <w:pStyle w:val="List"/>
            </w:pPr>
            <w:r w:rsidRPr="00DD0C86">
              <w:t>1.3</w:t>
            </w:r>
            <w:r w:rsidRPr="00DD0C86">
              <w:tab/>
              <w:t xml:space="preserve">Results of site inspection are </w:t>
            </w:r>
            <w:r w:rsidRPr="00DD0C86">
              <w:rPr>
                <w:rStyle w:val="BoldandItalics"/>
              </w:rPr>
              <w:t xml:space="preserve">recorded </w:t>
            </w:r>
            <w:r w:rsidRPr="00DD0C86">
              <w:t xml:space="preserve">in accordance with </w:t>
            </w:r>
            <w:r w:rsidRPr="00DD0C86">
              <w:rPr>
                <w:rStyle w:val="BoldandItalics"/>
              </w:rPr>
              <w:t>organisational procedures.</w:t>
            </w:r>
          </w:p>
          <w:p w:rsidR="00000000" w:rsidP="00DD0C86">
            <w:pPr>
              <w:pStyle w:val="List"/>
              <w:rPr>
                <w:lang w:val="en-NZ"/>
              </w:rPr>
            </w:pPr>
            <w:r w:rsidRPr="00DD0C86">
              <w:t>1.4</w:t>
            </w:r>
            <w:r w:rsidRPr="00DD0C86">
              <w:tab/>
              <w:t>Issues are listed and notes taken to underpin subsequent consultations and acti</w:t>
            </w:r>
            <w:r w:rsidRPr="00DD0C86">
              <w:t>ons.</w:t>
            </w:r>
          </w:p>
        </w:tc>
      </w:tr>
      <w:tr w:rsidTr="00B2739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0C86">
            <w:pPr>
              <w:pStyle w:val="List"/>
              <w:rPr>
                <w:lang w:val="en-NZ"/>
              </w:rPr>
            </w:pPr>
            <w:r w:rsidRPr="00DD0C86">
              <w:rPr>
                <w:rStyle w:val="SpecialBold"/>
              </w:rPr>
              <w:t>2</w:t>
            </w:r>
            <w:r w:rsidRPr="00DD0C86">
              <w:t>.</w:t>
            </w:r>
            <w:r w:rsidRPr="00DD0C86">
              <w:tab/>
            </w:r>
            <w:r w:rsidRPr="00DD0C86">
              <w:rPr>
                <w:rStyle w:val="SpecialBold"/>
              </w:rPr>
              <w:t>Undertake consultations</w:t>
            </w:r>
          </w:p>
        </w:tc>
        <w:tc>
          <w:tcPr>
            <w:tcW w:w="6662" w:type="dxa"/>
            <w:tcBorders>
              <w:top w:val="nil"/>
              <w:left w:val="nil"/>
              <w:bottom w:val="nil"/>
              <w:right w:val="nil"/>
            </w:tcBorders>
            <w:tcMar>
              <w:top w:w="0" w:type="dxa"/>
              <w:left w:w="62" w:type="dxa"/>
              <w:bottom w:w="0" w:type="dxa"/>
              <w:right w:w="62" w:type="dxa"/>
            </w:tcMar>
          </w:tcPr>
          <w:p w:rsidR="00000000" w:rsidRPr="00DD0C86" w:rsidP="00DD0C86">
            <w:pPr>
              <w:pStyle w:val="List"/>
            </w:pPr>
            <w:r w:rsidRPr="00DD0C86">
              <w:t>2.1</w:t>
            </w:r>
            <w:r w:rsidRPr="00DD0C86">
              <w:tab/>
            </w:r>
            <w:r w:rsidRPr="00DD0C86">
              <w:rPr>
                <w:rStyle w:val="BoldandItalics"/>
              </w:rPr>
              <w:t>Key stakeholders and other interested parties</w:t>
            </w:r>
            <w:r w:rsidRPr="00DD0C86">
              <w:t xml:space="preserve"> are identified.</w:t>
            </w:r>
          </w:p>
          <w:p w:rsidR="00000000" w:rsidRPr="00DD0C86" w:rsidP="00DD0C86">
            <w:pPr>
              <w:pStyle w:val="List"/>
            </w:pPr>
            <w:r w:rsidRPr="00DD0C86">
              <w:t>2.2</w:t>
            </w:r>
            <w:r w:rsidRPr="00DD0C86">
              <w:tab/>
              <w:t>Joint site inspections, meetings and other consultative arrangements are organised in accordance with organisational policy and procedures.</w:t>
            </w:r>
          </w:p>
          <w:p w:rsidR="00000000" w:rsidRPr="00DD0C86" w:rsidP="00DD0C86">
            <w:pPr>
              <w:pStyle w:val="List"/>
            </w:pPr>
            <w:r w:rsidRPr="00DD0C86">
              <w:t>2.3</w:t>
            </w:r>
            <w:r w:rsidRPr="00DD0C86">
              <w:tab/>
              <w:t>Various p</w:t>
            </w:r>
            <w:r w:rsidRPr="00DD0C86">
              <w:t>oints of view/perspectives are listened to and documented.</w:t>
            </w:r>
          </w:p>
          <w:p w:rsidR="00000000" w:rsidRPr="00DD0C86" w:rsidP="00DD0C86">
            <w:pPr>
              <w:pStyle w:val="List"/>
            </w:pPr>
            <w:r w:rsidRPr="00DD0C86">
              <w:t>2.4</w:t>
            </w:r>
            <w:r w:rsidRPr="00DD0C86">
              <w:tab/>
              <w:t>Issues of concern are identified and discussed with management to determine options.</w:t>
            </w:r>
          </w:p>
          <w:p w:rsidR="00000000" w:rsidP="00DD0C86">
            <w:pPr>
              <w:pStyle w:val="List"/>
              <w:rPr>
                <w:lang w:val="en-NZ"/>
              </w:rPr>
            </w:pPr>
            <w:r w:rsidRPr="00DD0C86">
              <w:t>2.5</w:t>
            </w:r>
            <w:r w:rsidRPr="00DD0C86">
              <w:tab/>
              <w:t>Feedback is given and received on the consultation process.</w:t>
            </w:r>
          </w:p>
        </w:tc>
      </w:tr>
      <w:tr w:rsidTr="00B2739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0C86">
            <w:pPr>
              <w:pStyle w:val="List"/>
              <w:rPr>
                <w:lang w:val="en-NZ"/>
              </w:rPr>
            </w:pPr>
            <w:r w:rsidRPr="00DD0C86">
              <w:rPr>
                <w:rStyle w:val="SpecialBold"/>
              </w:rPr>
              <w:t>3</w:t>
            </w:r>
            <w:r w:rsidRPr="00DD0C86">
              <w:t>.</w:t>
            </w:r>
            <w:r w:rsidRPr="00DD0C86">
              <w:tab/>
            </w:r>
            <w:r w:rsidRPr="00DD0C86">
              <w:rPr>
                <w:rStyle w:val="SpecialBold"/>
              </w:rPr>
              <w:t>Develop strategies for the management of</w:t>
            </w:r>
            <w:r w:rsidRPr="00DD0C86">
              <w:rPr>
                <w:rStyle w:val="SpecialBold"/>
              </w:rPr>
              <w:t xml:space="preserve"> land</w:t>
            </w:r>
          </w:p>
        </w:tc>
        <w:tc>
          <w:tcPr>
            <w:tcW w:w="6662" w:type="dxa"/>
            <w:tcBorders>
              <w:top w:val="nil"/>
              <w:left w:val="nil"/>
              <w:bottom w:val="nil"/>
              <w:right w:val="nil"/>
            </w:tcBorders>
            <w:tcMar>
              <w:top w:w="0" w:type="dxa"/>
              <w:left w:w="62" w:type="dxa"/>
              <w:bottom w:w="0" w:type="dxa"/>
              <w:right w:w="62" w:type="dxa"/>
            </w:tcMar>
          </w:tcPr>
          <w:p w:rsidR="00000000" w:rsidRPr="00DD0C86" w:rsidP="00DD0C86">
            <w:pPr>
              <w:pStyle w:val="List"/>
            </w:pPr>
            <w:r w:rsidRPr="00DD0C86">
              <w:t>3.1</w:t>
            </w:r>
            <w:r w:rsidRPr="00DD0C86">
              <w:tab/>
              <w:t>Land information, evidence of use, town planning provisions and consultation outcomes are analysed to identify key issues.</w:t>
            </w:r>
          </w:p>
          <w:p w:rsidR="00000000" w:rsidRPr="00DD0C86" w:rsidP="00DD0C86">
            <w:pPr>
              <w:pStyle w:val="List"/>
            </w:pPr>
            <w:r w:rsidRPr="00DD0C86">
              <w:t>3.2</w:t>
            </w:r>
            <w:r w:rsidRPr="00DD0C86">
              <w:tab/>
              <w:t>Draft management planning strategies are developed and consultation is undertaken with interested parties.</w:t>
            </w:r>
          </w:p>
          <w:p w:rsidR="00000000" w:rsidRPr="00DD0C86" w:rsidP="00DD0C86">
            <w:pPr>
              <w:pStyle w:val="List"/>
            </w:pPr>
            <w:r w:rsidRPr="00DD0C86">
              <w:t>3.3</w:t>
            </w:r>
            <w:r w:rsidRPr="00DD0C86">
              <w:tab/>
            </w:r>
            <w:r w:rsidRPr="00DD0C86">
              <w:t>Alternative strategies are evaluated and the best options are selected.</w:t>
            </w:r>
          </w:p>
          <w:p w:rsidR="00000000" w:rsidRPr="00DD0C86" w:rsidP="00DD0C86">
            <w:pPr>
              <w:pStyle w:val="List"/>
            </w:pPr>
            <w:r w:rsidRPr="00DD0C86">
              <w:t>3.4</w:t>
            </w:r>
            <w:r w:rsidRPr="00DD0C86">
              <w:tab/>
              <w:t>The cost implications of selected strategies are assessed.</w:t>
            </w:r>
          </w:p>
          <w:p w:rsidR="00000000" w:rsidRPr="00DD0C86" w:rsidP="00DD0C86">
            <w:pPr>
              <w:pStyle w:val="List"/>
            </w:pPr>
            <w:r w:rsidRPr="00DD0C86">
              <w:t>3.5</w:t>
            </w:r>
            <w:r w:rsidRPr="00DD0C86">
              <w:tab/>
              <w:t>Strategies are formalised in written reports or submissions.</w:t>
            </w:r>
          </w:p>
          <w:p w:rsidR="00000000" w:rsidP="00DD0C86">
            <w:pPr>
              <w:pStyle w:val="List"/>
              <w:rPr>
                <w:lang w:val="en-NZ"/>
              </w:rPr>
            </w:pPr>
            <w:r w:rsidRPr="00DD0C86">
              <w:t>3.6</w:t>
            </w:r>
            <w:r w:rsidRPr="00DD0C86">
              <w:tab/>
              <w:t>Well-researched reports are prepared and presented t</w:t>
            </w:r>
            <w:r w:rsidRPr="00DD0C86">
              <w:t>o management and stakeholders outlining management strategies.</w:t>
            </w:r>
          </w:p>
        </w:tc>
      </w:tr>
      <w:tr w:rsidTr="00B2739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0C86">
            <w:pPr>
              <w:pStyle w:val="List"/>
              <w:rPr>
                <w:lang w:val="en-NZ"/>
              </w:rPr>
            </w:pPr>
            <w:r w:rsidRPr="00DD0C86">
              <w:rPr>
                <w:rStyle w:val="SpecialBold"/>
              </w:rPr>
              <w:t>4</w:t>
            </w:r>
            <w:r w:rsidRPr="00DD0C86">
              <w:t>.</w:t>
            </w:r>
            <w:r w:rsidRPr="00DD0C86">
              <w:tab/>
            </w:r>
            <w:r w:rsidRPr="00DD0C86">
              <w:rPr>
                <w:rStyle w:val="SpecialBold"/>
              </w:rPr>
              <w:t>Implement land management strategies</w:t>
            </w:r>
          </w:p>
        </w:tc>
        <w:tc>
          <w:tcPr>
            <w:tcW w:w="6662" w:type="dxa"/>
            <w:tcBorders>
              <w:top w:val="nil"/>
              <w:left w:val="nil"/>
              <w:bottom w:val="nil"/>
              <w:right w:val="nil"/>
            </w:tcBorders>
            <w:tcMar>
              <w:top w:w="0" w:type="dxa"/>
              <w:left w:w="62" w:type="dxa"/>
              <w:bottom w:w="0" w:type="dxa"/>
              <w:right w:w="62" w:type="dxa"/>
            </w:tcMar>
          </w:tcPr>
          <w:p w:rsidR="00000000" w:rsidRPr="00DD0C86" w:rsidP="00DD0C86">
            <w:pPr>
              <w:pStyle w:val="List"/>
            </w:pPr>
            <w:r w:rsidRPr="00DD0C86">
              <w:t>4.1</w:t>
            </w:r>
            <w:r w:rsidRPr="00DD0C86">
              <w:tab/>
              <w:t>Budgets and financial strategies are prepared to achieve land management outcomes.</w:t>
            </w:r>
          </w:p>
          <w:p w:rsidR="00000000" w:rsidRPr="00DD0C86" w:rsidP="00DD0C86">
            <w:pPr>
              <w:pStyle w:val="List"/>
            </w:pPr>
            <w:r w:rsidRPr="00DD0C86">
              <w:t>4.2</w:t>
            </w:r>
            <w:r w:rsidRPr="00DD0C86">
              <w:tab/>
              <w:t>Priorities and targets are developed for achieving outcomes.</w:t>
            </w:r>
          </w:p>
          <w:p w:rsidR="00000000" w:rsidRPr="00DD0C86" w:rsidP="00DD0C86">
            <w:pPr>
              <w:pStyle w:val="List"/>
            </w:pPr>
            <w:r w:rsidRPr="00DD0C86">
              <w:t>4.3</w:t>
            </w:r>
            <w:r w:rsidRPr="00DD0C86">
              <w:tab/>
              <w:t>Work projects are administered and supervised in accordance with best practice guidelines, budgets and agreed timelines.</w:t>
            </w:r>
          </w:p>
          <w:p w:rsidR="00000000" w:rsidP="00DD0C86">
            <w:pPr>
              <w:pStyle w:val="List"/>
              <w:rPr>
                <w:lang w:val="en-NZ"/>
              </w:rPr>
            </w:pPr>
            <w:r w:rsidRPr="00DD0C86">
              <w:t>4.4</w:t>
            </w:r>
            <w:r w:rsidRPr="00DD0C86">
              <w:tab/>
              <w:t>Progress with implementation is reported on at regular intervals in accordance with organisational policy and procedures.</w:t>
            </w:r>
          </w:p>
        </w:tc>
      </w:tr>
      <w:tr w:rsidTr="00B2739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0C86">
            <w:pPr>
              <w:pStyle w:val="List"/>
              <w:rPr>
                <w:lang w:val="en-NZ"/>
              </w:rPr>
            </w:pPr>
            <w:r w:rsidRPr="00DD0C86">
              <w:rPr>
                <w:rStyle w:val="SpecialBold"/>
              </w:rPr>
              <w:t>5</w:t>
            </w:r>
            <w:r w:rsidRPr="00DD0C86">
              <w:t>.</w:t>
            </w:r>
            <w:r w:rsidRPr="00DD0C86">
              <w:tab/>
            </w:r>
            <w:r w:rsidRPr="00DD0C86">
              <w:rPr>
                <w:rStyle w:val="SpecialBold"/>
              </w:rPr>
              <w:t>M</w:t>
            </w:r>
            <w:r w:rsidRPr="00DD0C86">
              <w:rPr>
                <w:rStyle w:val="SpecialBold"/>
              </w:rPr>
              <w:t>onitor and report on land use</w:t>
            </w:r>
            <w:r w:rsidRPr="00DD0C86">
              <w:t xml:space="preserve"> </w:t>
            </w:r>
          </w:p>
        </w:tc>
        <w:tc>
          <w:tcPr>
            <w:tcW w:w="6662" w:type="dxa"/>
            <w:tcBorders>
              <w:top w:val="nil"/>
              <w:left w:val="nil"/>
              <w:bottom w:val="nil"/>
              <w:right w:val="nil"/>
            </w:tcBorders>
            <w:tcMar>
              <w:top w:w="0" w:type="dxa"/>
              <w:left w:w="62" w:type="dxa"/>
              <w:bottom w:w="0" w:type="dxa"/>
              <w:right w:w="62" w:type="dxa"/>
            </w:tcMar>
          </w:tcPr>
          <w:p w:rsidR="00000000" w:rsidRPr="00DD0C86" w:rsidP="00DD0C86">
            <w:pPr>
              <w:pStyle w:val="List"/>
            </w:pPr>
            <w:r w:rsidRPr="00DD0C86">
              <w:t>5.1</w:t>
            </w:r>
            <w:r w:rsidRPr="00DD0C86">
              <w:tab/>
              <w:t>Regular inspection of land is undertaken subject to management planning regime.</w:t>
            </w:r>
          </w:p>
          <w:p w:rsidR="00000000" w:rsidRPr="00DD0C86" w:rsidP="00DD0C86">
            <w:pPr>
              <w:pStyle w:val="List"/>
            </w:pPr>
            <w:r w:rsidRPr="00DD0C86">
              <w:t>5.2</w:t>
            </w:r>
            <w:r w:rsidRPr="00DD0C86">
              <w:tab/>
              <w:t>Ongoing management issues and</w:t>
            </w:r>
            <w:r w:rsidRPr="00DD0C86">
              <w:rPr>
                <w:rStyle w:val="BoldandItalics"/>
              </w:rPr>
              <w:t xml:space="preserve"> emerging issues </w:t>
            </w:r>
            <w:r w:rsidRPr="00DD0C86">
              <w:t>are identified and addressed promptly in accordance with organisational procedures.</w:t>
            </w:r>
          </w:p>
          <w:p w:rsidR="00000000" w:rsidRPr="00DD0C86" w:rsidP="00DD0C86">
            <w:pPr>
              <w:pStyle w:val="List"/>
            </w:pPr>
            <w:r w:rsidRPr="00DD0C86">
              <w:t>5.3</w:t>
            </w:r>
            <w:r w:rsidRPr="00DD0C86">
              <w:tab/>
              <w:t>Con</w:t>
            </w:r>
            <w:r w:rsidRPr="00DD0C86">
              <w:t>sultations are held with interested parties for input on land use, condition and trend.</w:t>
            </w:r>
          </w:p>
          <w:p w:rsidR="00000000" w:rsidRPr="00DD0C86" w:rsidP="00DD0C86">
            <w:pPr>
              <w:pStyle w:val="List"/>
            </w:pPr>
            <w:r w:rsidRPr="00DD0C86">
              <w:t>5.4</w:t>
            </w:r>
            <w:r w:rsidRPr="00DD0C86">
              <w:tab/>
              <w:t>Reports are provided to management on emerging issues.</w:t>
            </w:r>
          </w:p>
          <w:p w:rsidR="00000000" w:rsidP="00DD0C86">
            <w:pPr>
              <w:pStyle w:val="List"/>
              <w:rPr>
                <w:lang w:val="en-NZ"/>
              </w:rPr>
            </w:pPr>
            <w:r w:rsidRPr="00DD0C86">
              <w:t>5.5</w:t>
            </w:r>
            <w:r w:rsidRPr="00DD0C86">
              <w:tab/>
              <w:t>Plans and land management strategies are revised on a regular basis as required.</w:t>
            </w:r>
          </w:p>
        </w:tc>
      </w:tr>
      <w:tr w:rsidTr="00B2739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0C86">
            <w:pPr>
              <w:pStyle w:val="List"/>
              <w:rPr>
                <w:lang w:val="en-NZ"/>
              </w:rPr>
            </w:pPr>
            <w:r w:rsidRPr="00DD0C86">
              <w:rPr>
                <w:rStyle w:val="SpecialBold"/>
              </w:rPr>
              <w:t>6</w:t>
            </w:r>
            <w:r w:rsidRPr="00DD0C86">
              <w:t>.</w:t>
            </w:r>
            <w:r w:rsidRPr="00DD0C86">
              <w:tab/>
            </w:r>
            <w:r w:rsidRPr="00DD0C86">
              <w:rPr>
                <w:rStyle w:val="SpecialBold"/>
              </w:rPr>
              <w:t>Take a strategic app</w:t>
            </w:r>
            <w:r w:rsidRPr="00DD0C86">
              <w:rPr>
                <w:rStyle w:val="SpecialBold"/>
              </w:rPr>
              <w:t>roach to the jurisdiction's land asset portfolio</w:t>
            </w:r>
          </w:p>
        </w:tc>
        <w:tc>
          <w:tcPr>
            <w:tcW w:w="6662" w:type="dxa"/>
            <w:tcBorders>
              <w:top w:val="nil"/>
              <w:left w:val="nil"/>
              <w:bottom w:val="nil"/>
              <w:right w:val="nil"/>
            </w:tcBorders>
            <w:tcMar>
              <w:top w:w="0" w:type="dxa"/>
              <w:left w:w="62" w:type="dxa"/>
              <w:bottom w:w="0" w:type="dxa"/>
              <w:right w:w="62" w:type="dxa"/>
            </w:tcMar>
          </w:tcPr>
          <w:p w:rsidR="00000000" w:rsidRPr="00DD0C86" w:rsidP="00DD0C86">
            <w:pPr>
              <w:pStyle w:val="List"/>
            </w:pPr>
            <w:r w:rsidRPr="00DD0C86">
              <w:t>6.1</w:t>
            </w:r>
            <w:r w:rsidRPr="00DD0C86">
              <w:tab/>
              <w:t>Existing organisational systems are utilised to update information and strategies on managed lands.</w:t>
            </w:r>
          </w:p>
          <w:p w:rsidR="00000000" w:rsidRPr="00DD0C86" w:rsidP="00DD0C86">
            <w:pPr>
              <w:pStyle w:val="List"/>
            </w:pPr>
            <w:r w:rsidRPr="00DD0C86">
              <w:t>6.2</w:t>
            </w:r>
            <w:r w:rsidRPr="00DD0C86">
              <w:tab/>
              <w:t>Opportunities are identified for effective utilisation of resources in accordance with</w:t>
            </w:r>
            <w:r w:rsidRPr="00DD0C86">
              <w:rPr>
                <w:rStyle w:val="BoldandItalics"/>
              </w:rPr>
              <w:t xml:space="preserve"> legislation,</w:t>
            </w:r>
            <w:r w:rsidRPr="00DD0C86">
              <w:rPr>
                <w:rStyle w:val="BoldandItalics"/>
              </w:rPr>
              <w:t xml:space="preserve"> policy and procedures</w:t>
            </w:r>
            <w:r w:rsidRPr="00DD0C86">
              <w:rPr>
                <w:rStyle w:val="Emphasis"/>
              </w:rPr>
              <w:t>.</w:t>
            </w:r>
          </w:p>
          <w:p w:rsidR="00000000" w:rsidRPr="00DD0C86" w:rsidP="00DD0C86">
            <w:pPr>
              <w:pStyle w:val="List"/>
            </w:pPr>
            <w:r w:rsidRPr="00DD0C86">
              <w:t>6.3</w:t>
            </w:r>
            <w:r w:rsidRPr="00DD0C86">
              <w:tab/>
              <w:t>Land management budgets for works, maintenance, and other items are developed in accordance with organisational priorities.</w:t>
            </w:r>
          </w:p>
          <w:p w:rsidR="00000000" w:rsidRPr="00DD0C86" w:rsidP="00DD0C86">
            <w:pPr>
              <w:pStyle w:val="List"/>
            </w:pPr>
            <w:r w:rsidRPr="00DD0C86">
              <w:t>6.4</w:t>
            </w:r>
            <w:r w:rsidRPr="00DD0C86">
              <w:tab/>
            </w:r>
            <w:r w:rsidRPr="00DD0C86">
              <w:t>Strategic planning for land assets is promoted through linkages with local and regional land management initiatives and partnerships.</w:t>
            </w:r>
          </w:p>
          <w:p w:rsidR="00000000" w:rsidRPr="00DD0C86" w:rsidP="00DD0C86">
            <w:pPr>
              <w:pStyle w:val="List"/>
            </w:pPr>
            <w:r w:rsidRPr="00DD0C86">
              <w:t>6.5</w:t>
            </w:r>
            <w:r w:rsidRPr="00DD0C86">
              <w:tab/>
              <w:t>A planned and strategic framework is implemented for Crown land and reserved land management.</w:t>
            </w:r>
          </w:p>
        </w:tc>
      </w:tr>
    </w:tbl>
    <w:p w:rsidR="00000000" w:rsidRPr="00DD0C86" w:rsidP="00DD0C86">
      <w:pPr>
        <w:pStyle w:val="BodyText"/>
      </w:pPr>
    </w:p>
    <w:p w:rsidR="00000000" w:rsidRPr="00DD0C86" w:rsidP="00DD0C86">
      <w:pPr>
        <w:pStyle w:val="AllowPageBreak"/>
      </w:pPr>
    </w:p>
    <w:p w:rsidR="00000000" w:rsidRPr="00DD0C86" w:rsidP="00DD0C86">
      <w:pPr>
        <w:pStyle w:val="Heading1"/>
      </w:pPr>
      <w:bookmarkStart w:id="9" w:name="O_497129"/>
      <w:bookmarkEnd w:id="9"/>
      <w:r w:rsidRPr="00DD0C86">
        <w:t>Requi</w:t>
      </w:r>
      <w:r w:rsidRPr="00DD0C86">
        <w:t>red Skills and Knowledge</w:t>
      </w:r>
    </w:p>
    <w:tbl>
      <w:tblPr>
        <w:tblW w:w="0" w:type="auto"/>
        <w:tblLayout w:type="fixed"/>
        <w:tblCellMar>
          <w:left w:w="62" w:type="dxa"/>
          <w:right w:w="62" w:type="dxa"/>
        </w:tblCellMar>
        <w:tblLook w:val="0000"/>
      </w:tblPr>
      <w:tblGrid>
        <w:gridCol w:w="8510"/>
        <w:gridCol w:w="43"/>
      </w:tblGrid>
      <w:tr w:rsidTr="00B27391">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t>This section describes the essential skills and knowledge and their level, required for this unit.</w:t>
            </w:r>
          </w:p>
        </w:tc>
      </w:tr>
      <w:tr w:rsidTr="00B2739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D0C86" w:rsidP="00DD0C86">
            <w:pPr>
              <w:pStyle w:val="BodyText"/>
            </w:pPr>
            <w:r w:rsidRPr="00DD0C86">
              <w:rPr>
                <w:rStyle w:val="SpecialBold"/>
              </w:rPr>
              <w:t>Skill requirements</w:t>
            </w:r>
          </w:p>
          <w:p w:rsidR="00000000" w:rsidRPr="00DD0C86" w:rsidP="00DD0C86">
            <w:pPr>
              <w:pStyle w:val="BodyText"/>
            </w:pPr>
            <w:r w:rsidRPr="00DD0C86">
              <w:t>Look for evidence that confirms skills in:</w:t>
            </w:r>
          </w:p>
          <w:p w:rsidR="00000000" w:rsidRPr="00DD0C86" w:rsidP="00DD0C86">
            <w:pPr>
              <w:pStyle w:val="ListBullet2"/>
            </w:pPr>
            <w:r w:rsidRPr="00DD0C86">
              <w:t>interpreting legislation relating to Crown/State land administration</w:t>
            </w:r>
            <w:r w:rsidRPr="00DD0C86">
              <w:t xml:space="preserve"> and land management</w:t>
            </w:r>
          </w:p>
          <w:p w:rsidR="00000000" w:rsidRPr="00DD0C86" w:rsidP="00DD0C86">
            <w:pPr>
              <w:pStyle w:val="ListBullet2"/>
            </w:pPr>
            <w:r w:rsidRPr="00DD0C86">
              <w:t>researching issues relating to particular land from organisational databases, files and other sources</w:t>
            </w:r>
          </w:p>
          <w:p w:rsidR="00000000" w:rsidRPr="00DD0C86" w:rsidP="00DD0C86">
            <w:pPr>
              <w:pStyle w:val="ListBullet2"/>
            </w:pPr>
            <w:r w:rsidRPr="00DD0C86">
              <w:t>managing and coordinating activities</w:t>
            </w:r>
          </w:p>
          <w:p w:rsidR="00000000" w:rsidRPr="00DD0C86" w:rsidP="00DD0C86">
            <w:pPr>
              <w:pStyle w:val="ListBullet2"/>
            </w:pPr>
            <w:r w:rsidRPr="00DD0C86">
              <w:t>consulting and negotiating with diverse stakeholders using a range of techniques to suit different audiences</w:t>
            </w:r>
          </w:p>
          <w:p w:rsidR="00000000" w:rsidRPr="00DD0C86" w:rsidP="00DD0C86">
            <w:pPr>
              <w:pStyle w:val="ListBullet2"/>
            </w:pPr>
            <w:r w:rsidRPr="00DD0C86">
              <w:t xml:space="preserve">responding to diversity, including gender and disability </w:t>
            </w:r>
          </w:p>
          <w:p w:rsidR="00000000" w:rsidP="00DD0C86">
            <w:pPr>
              <w:pStyle w:val="ListBullet2"/>
              <w:rPr>
                <w:lang w:val="en-NZ"/>
              </w:rPr>
            </w:pPr>
            <w:r w:rsidRPr="00DD0C86">
              <w:t>applying public sector legislation such as occupational health and safety, environment, a</w:t>
            </w:r>
            <w:r w:rsidRPr="00DD0C86">
              <w:t>nti-discrimination and diversity in the context of land management</w:t>
            </w:r>
          </w:p>
        </w:tc>
      </w:tr>
      <w:tr w:rsidTr="00B2739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DD0C86" w:rsidP="00DD0C86">
            <w:pPr>
              <w:pStyle w:val="BodyText"/>
            </w:pPr>
            <w:r w:rsidRPr="00DD0C86">
              <w:rPr>
                <w:rStyle w:val="SpecialBold"/>
              </w:rPr>
              <w:t>Knowledge requirements</w:t>
            </w:r>
          </w:p>
          <w:p w:rsidR="00000000" w:rsidRPr="00DD0C86" w:rsidP="00DD0C86">
            <w:pPr>
              <w:pStyle w:val="BodyText"/>
            </w:pPr>
            <w:r w:rsidRPr="00DD0C86">
              <w:t xml:space="preserve"> Look for evidence that confirms knowledge and understanding of:</w:t>
            </w:r>
          </w:p>
          <w:p w:rsidR="00000000" w:rsidRPr="00DD0C86" w:rsidP="00DD0C86">
            <w:pPr>
              <w:pStyle w:val="ListBullet2"/>
            </w:pPr>
            <w:r w:rsidRPr="00DD0C86">
              <w:t>legislation, policies and procedures relating to Crown/State land administration and land managemen</w:t>
            </w:r>
            <w:r w:rsidRPr="00DD0C86">
              <w:t>t</w:t>
            </w:r>
          </w:p>
          <w:p w:rsidR="00000000" w:rsidRPr="00DD0C86" w:rsidP="00DD0C86">
            <w:pPr>
              <w:pStyle w:val="ListBullet2"/>
            </w:pPr>
            <w:r w:rsidRPr="00DD0C86">
              <w:t>resource condition and trend</w:t>
            </w:r>
          </w:p>
          <w:p w:rsidR="00000000" w:rsidRPr="00DD0C86" w:rsidP="00DD0C86">
            <w:pPr>
              <w:pStyle w:val="ListBullet2"/>
            </w:pPr>
            <w:r w:rsidRPr="00DD0C86">
              <w:t>local/regional physical and environmental characteristics</w:t>
            </w:r>
          </w:p>
          <w:p w:rsidR="00000000" w:rsidRPr="00DD0C86" w:rsidP="00DD0C86">
            <w:pPr>
              <w:pStyle w:val="ListBullet2"/>
            </w:pPr>
            <w:r w:rsidRPr="00DD0C86">
              <w:t>consultation processes and methodologies</w:t>
            </w:r>
          </w:p>
          <w:p w:rsidR="00000000" w:rsidRPr="00DD0C86" w:rsidP="00DD0C86">
            <w:pPr>
              <w:pStyle w:val="ListBullet2"/>
            </w:pPr>
            <w:r w:rsidRPr="00DD0C86">
              <w:t>budgeting and project management</w:t>
            </w:r>
          </w:p>
          <w:p w:rsidR="00000000" w:rsidRPr="00DD0C86" w:rsidP="00DD0C86">
            <w:pPr>
              <w:pStyle w:val="ListBullet2"/>
            </w:pPr>
            <w:r w:rsidRPr="00DD0C86">
              <w:t>contemporary land management issues and environmentally sustainable development principles</w:t>
            </w:r>
          </w:p>
          <w:p w:rsidR="00000000" w:rsidRPr="00DD0C86" w:rsidP="00DD0C86">
            <w:pPr>
              <w:pStyle w:val="ListBullet2"/>
            </w:pPr>
            <w:r w:rsidRPr="00DD0C86">
              <w:t>strategic planning and management planning techniques</w:t>
            </w:r>
          </w:p>
          <w:p w:rsidR="00000000" w:rsidRPr="00DD0C86" w:rsidP="00DD0C86">
            <w:pPr>
              <w:pStyle w:val="ListBullet2"/>
            </w:pPr>
            <w:r w:rsidRPr="00DD0C86">
              <w:t>public sector legislation including occupational health and safety and environment in the context of land management</w:t>
            </w:r>
          </w:p>
        </w:tc>
      </w:tr>
    </w:tbl>
    <w:p w:rsidR="00000000" w:rsidRPr="00DD0C86" w:rsidP="00DD0C86">
      <w:pPr>
        <w:pStyle w:val="BodyText"/>
      </w:pPr>
    </w:p>
    <w:p w:rsidR="00000000" w:rsidRPr="00DD0C86" w:rsidP="00DD0C86">
      <w:pPr>
        <w:pStyle w:val="AllowPageBreak"/>
      </w:pPr>
    </w:p>
    <w:p w:rsidR="00000000" w:rsidRPr="00DD0C86" w:rsidP="00DD0C86">
      <w:pPr>
        <w:pStyle w:val="Heading1"/>
      </w:pPr>
      <w:bookmarkStart w:id="10" w:name="O_497130"/>
      <w:bookmarkEnd w:id="10"/>
      <w:r w:rsidRPr="00DD0C86">
        <w:t>Evidence Guide</w:t>
      </w:r>
    </w:p>
    <w:tbl>
      <w:tblPr>
        <w:tblW w:w="9322" w:type="dxa"/>
        <w:tblLayout w:type="fixed"/>
        <w:tblCellMar>
          <w:left w:w="62" w:type="dxa"/>
          <w:right w:w="62" w:type="dxa"/>
        </w:tblCellMar>
        <w:tblLook w:val="0000"/>
      </w:tblPr>
      <w:tblGrid>
        <w:gridCol w:w="2660"/>
        <w:gridCol w:w="6662"/>
      </w:tblGrid>
      <w:tr w:rsidTr="00B2739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t xml:space="preserve">The Evidence Guide specifies the evidence required </w:t>
            </w:r>
            <w:r w:rsidRPr="00DD0C86">
              <w:t>to demonstrate achievement in the unit of competency as a whole. It must be read in conjunction with the Unit descriptor, Performance Criteria, the Range Statement and the Assessment Guidelines for the Public Sector Training Package.</w:t>
            </w:r>
          </w:p>
        </w:tc>
      </w:tr>
      <w:tr w:rsidTr="00B2739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D0C86" w:rsidP="00DD0C86">
            <w:pPr>
              <w:pStyle w:val="BodyText"/>
            </w:pPr>
            <w:r w:rsidRPr="00DD0C86">
              <w:rPr>
                <w:rStyle w:val="SpecialBold"/>
              </w:rPr>
              <w:t>Units to be assessed together</w:t>
            </w:r>
            <w:r w:rsidRPr="00DD0C86">
              <w:t xml:space="preserve"> </w:t>
            </w:r>
          </w:p>
        </w:tc>
        <w:tc>
          <w:tcPr>
            <w:tcW w:w="6662" w:type="dxa"/>
            <w:tcBorders>
              <w:top w:val="nil"/>
              <w:left w:val="nil"/>
              <w:bottom w:val="nil"/>
              <w:right w:val="nil"/>
            </w:tcBorders>
            <w:tcMar>
              <w:top w:w="0" w:type="dxa"/>
              <w:left w:w="62" w:type="dxa"/>
              <w:bottom w:w="0" w:type="dxa"/>
              <w:right w:w="62" w:type="dxa"/>
            </w:tcMar>
          </w:tcPr>
          <w:p w:rsidR="00000000" w:rsidRPr="00DD0C86" w:rsidP="00DD0C86">
            <w:pPr>
              <w:pStyle w:val="ListBullet2"/>
            </w:pPr>
            <w:r w:rsidRPr="00DD0C86">
              <w:rPr>
                <w:rStyle w:val="Emphasis"/>
              </w:rPr>
              <w:t>Pre</w:t>
            </w:r>
            <w:r w:rsidRPr="00DD0C86">
              <w:t>-</w:t>
            </w:r>
            <w:r w:rsidRPr="00DD0C86">
              <w:rPr>
                <w:rStyle w:val="Emphasis"/>
              </w:rPr>
              <w:t>requisite</w:t>
            </w:r>
            <w:r w:rsidRPr="00DD0C86">
              <w:t xml:space="preserve"> units that must be achieved prior to this unit:</w:t>
            </w:r>
            <w:r w:rsidRPr="00DD0C86">
              <w:rPr>
                <w:rStyle w:val="Emphasis"/>
              </w:rPr>
              <w:t>Nil</w:t>
            </w:r>
          </w:p>
          <w:p w:rsidR="00000000" w:rsidRPr="00DD0C86" w:rsidP="00DD0C86">
            <w:pPr>
              <w:pStyle w:val="ListBullet2"/>
            </w:pPr>
            <w:r w:rsidRPr="00DD0C86">
              <w:rPr>
                <w:rStyle w:val="Emphasis"/>
              </w:rPr>
              <w:t>Co</w:t>
            </w:r>
            <w:r w:rsidRPr="00DD0C86">
              <w:t>-</w:t>
            </w:r>
            <w:r w:rsidRPr="00DD0C86">
              <w:rPr>
                <w:rStyle w:val="Emphasis"/>
              </w:rPr>
              <w:t>requisite</w:t>
            </w:r>
            <w:r w:rsidRPr="00DD0C86">
              <w:t xml:space="preserve"> units that must be assessed with this unit:</w:t>
            </w:r>
            <w:r w:rsidRPr="00DD0C86">
              <w:rPr>
                <w:rStyle w:val="Emphasis"/>
              </w:rPr>
              <w:t>Nil</w:t>
            </w:r>
          </w:p>
          <w:p w:rsidR="00000000" w:rsidRPr="00DD0C86" w:rsidP="00DD0C86">
            <w:pPr>
              <w:pStyle w:val="ListBullet2"/>
            </w:pPr>
            <w:r w:rsidRPr="00DD0C86">
              <w:rPr>
                <w:rStyle w:val="Emphasis"/>
              </w:rPr>
              <w:t>Co</w:t>
            </w:r>
            <w:r w:rsidRPr="00DD0C86">
              <w:t>-</w:t>
            </w:r>
            <w:r w:rsidRPr="00DD0C86">
              <w:rPr>
                <w:rStyle w:val="Emphasis"/>
              </w:rPr>
              <w:t>assessed units</w:t>
            </w:r>
            <w:r w:rsidRPr="00DD0C86">
              <w:t xml:space="preserve"> that may be assessed with this unit to increase the efficiency and realism of the</w:t>
            </w:r>
            <w:r w:rsidRPr="00DD0C86">
              <w:t xml:space="preserve"> assessment process include, but are not limited to:</w:t>
            </w:r>
          </w:p>
          <w:p w:rsidR="00000000" w:rsidRPr="00DD0C86" w:rsidP="00DD0C86">
            <w:pPr>
              <w:pStyle w:val="ListBullet3"/>
            </w:pPr>
            <w:r w:rsidRPr="00DD0C86">
              <w:t xml:space="preserve">PSPETHC601B Maintain and enhance confidence in public service </w:t>
            </w:r>
          </w:p>
          <w:p w:rsidR="00000000" w:rsidRPr="00DD0C86" w:rsidP="00DD0C86">
            <w:pPr>
              <w:pStyle w:val="ListBullet3"/>
            </w:pPr>
            <w:r w:rsidRPr="00DD0C86">
              <w:t>PSPGOV601B Apply government systems</w:t>
            </w:r>
          </w:p>
          <w:p w:rsidR="00000000" w:rsidRPr="00DD0C86" w:rsidP="00DD0C86">
            <w:pPr>
              <w:pStyle w:val="ListBullet3"/>
            </w:pPr>
            <w:r w:rsidRPr="00DD0C86">
              <w:t>PSPGOV602B Establish and maintain strategic networks</w:t>
            </w:r>
          </w:p>
          <w:p w:rsidR="00000000" w:rsidRPr="00DD0C86" w:rsidP="00DD0C86">
            <w:pPr>
              <w:pStyle w:val="ListBullet3"/>
            </w:pPr>
            <w:r w:rsidRPr="00DD0C86">
              <w:t>PSPLEGN601B Manage compliance with legislation in the public sector</w:t>
            </w:r>
          </w:p>
          <w:p w:rsidR="00000000" w:rsidRPr="00DD0C86" w:rsidP="00DD0C86">
            <w:pPr>
              <w:pStyle w:val="ListBullet3"/>
            </w:pPr>
            <w:r w:rsidRPr="00DD0C86">
              <w:t>PSPMNGT602B Manage resources</w:t>
            </w:r>
          </w:p>
          <w:p w:rsidR="00000000" w:rsidRPr="00DD0C86" w:rsidP="00DD0C86">
            <w:pPr>
              <w:pStyle w:val="ListBullet3"/>
            </w:pPr>
            <w:r w:rsidRPr="00DD0C86">
              <w:t>PSPMNGT605B Manage diversity</w:t>
            </w:r>
          </w:p>
          <w:p w:rsidR="00000000" w:rsidRPr="00DD0C86" w:rsidP="00DD0C86">
            <w:pPr>
              <w:pStyle w:val="ListBullet3"/>
            </w:pPr>
            <w:r w:rsidRPr="00DD0C86">
              <w:t xml:space="preserve">PSPMNGT608B Manage risk </w:t>
            </w:r>
          </w:p>
          <w:p w:rsidR="00000000" w:rsidP="00DD0C86">
            <w:pPr>
              <w:pStyle w:val="ListBullet3"/>
              <w:rPr>
                <w:lang w:val="en-NZ"/>
              </w:rPr>
            </w:pPr>
            <w:r w:rsidRPr="00DD0C86">
              <w:t>PSPPOL603A Manage policy implementation</w:t>
            </w:r>
          </w:p>
        </w:tc>
      </w:tr>
      <w:tr w:rsidTr="00B2739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D0C86" w:rsidP="00DD0C86">
            <w:pPr>
              <w:pStyle w:val="BodyText"/>
            </w:pPr>
            <w:r w:rsidRPr="00DD0C86">
              <w:t>In addition to integrated demo</w:t>
            </w:r>
            <w:r w:rsidRPr="00DD0C86">
              <w:t>nstration of the elements and their related performance criteria, look for evidence that confirms:</w:t>
            </w:r>
          </w:p>
          <w:p w:rsidR="00000000" w:rsidRPr="00DD0C86" w:rsidP="00DD0C86">
            <w:pPr>
              <w:pStyle w:val="ListBullet2"/>
            </w:pPr>
            <w:r w:rsidRPr="00DD0C86">
              <w:t xml:space="preserve">the knowledge requirements of this unit </w:t>
            </w:r>
          </w:p>
          <w:p w:rsidR="00000000" w:rsidRPr="00DD0C86" w:rsidP="00DD0C86">
            <w:pPr>
              <w:pStyle w:val="ListBullet2"/>
            </w:pPr>
            <w:r w:rsidRPr="00DD0C86">
              <w:t>the skill requirements of this unit</w:t>
            </w:r>
          </w:p>
          <w:p w:rsidR="00000000" w:rsidRPr="00DD0C86" w:rsidP="00DD0C86">
            <w:pPr>
              <w:pStyle w:val="ListBullet2"/>
            </w:pPr>
            <w:r w:rsidRPr="00DD0C86">
              <w:t>application of the Employability Skills as t</w:t>
            </w:r>
            <w:r w:rsidRPr="00DD0C86">
              <w:t>hey relate to this unit (see Employability Summaries in Qualifications Framework)</w:t>
            </w:r>
          </w:p>
          <w:p w:rsidR="00000000" w:rsidP="00DD0C86">
            <w:pPr>
              <w:pStyle w:val="ListBullet2"/>
              <w:rPr>
                <w:lang w:val="en-NZ"/>
              </w:rPr>
            </w:pPr>
            <w:r w:rsidRPr="00DD0C86">
              <w:t>management of unallocated land in a range of (3 or more) contexts (or occasions, over time)</w:t>
            </w:r>
          </w:p>
        </w:tc>
      </w:tr>
      <w:tr w:rsidTr="00B2739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D0C86" w:rsidP="00DD0C86">
            <w:pPr>
              <w:pStyle w:val="BodyText"/>
            </w:pPr>
            <w:r w:rsidRPr="00DD0C86">
              <w:t>These resources include:</w:t>
            </w:r>
          </w:p>
          <w:p w:rsidR="00000000" w:rsidRPr="00DD0C86" w:rsidP="00DD0C86">
            <w:pPr>
              <w:pStyle w:val="ListBullet2"/>
            </w:pPr>
            <w:r w:rsidRPr="00DD0C86">
              <w:t>legislation,</w:t>
            </w:r>
            <w:r w:rsidRPr="00DD0C86">
              <w:t xml:space="preserve"> policy, procedures and protocols relating to management of unallocated land </w:t>
            </w:r>
          </w:p>
          <w:p w:rsidR="00000000" w:rsidP="00DD0C86">
            <w:pPr>
              <w:pStyle w:val="ListBullet2"/>
              <w:rPr>
                <w:lang w:val="en-NZ"/>
              </w:rPr>
            </w:pPr>
            <w:r w:rsidRPr="00DD0C86">
              <w:t xml:space="preserve">case studies and workplace scenarios to capture the range of situations likely to be encountered when managing unallocated land </w:t>
            </w:r>
          </w:p>
        </w:tc>
      </w:tr>
      <w:tr w:rsidTr="00B2739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D0C86" w:rsidP="00DD0C86">
            <w:pPr>
              <w:pStyle w:val="BodyText"/>
            </w:pPr>
            <w:r w:rsidRPr="00DD0C86">
              <w:t>Valid assessmen</w:t>
            </w:r>
            <w:r w:rsidRPr="00DD0C86">
              <w:t xml:space="preserve">t of this unit requires: </w:t>
            </w:r>
          </w:p>
          <w:p w:rsidR="00000000" w:rsidRPr="00DD0C86" w:rsidP="00DD0C86">
            <w:pPr>
              <w:pStyle w:val="ListBullet2"/>
            </w:pPr>
            <w:r w:rsidRPr="00DD0C86">
              <w:t>a workplace environment or one that closely resembles normal work practice and replicates the range of conditions likely to be encountered when managing unallocated land, including coping with difficulties, irregularities and bre</w:t>
            </w:r>
            <w:r w:rsidRPr="00DD0C86">
              <w:t>akdowns in routine</w:t>
            </w:r>
          </w:p>
          <w:p w:rsidR="00000000" w:rsidRPr="00DD0C86" w:rsidP="00DD0C86">
            <w:pPr>
              <w:pStyle w:val="ListBullet2"/>
            </w:pPr>
            <w:r w:rsidRPr="00DD0C86">
              <w:t>management of unallocated land in a range of (3 or more) contexts (or occasions, over time)</w:t>
            </w:r>
          </w:p>
          <w:p w:rsidR="00000000" w:rsidRPr="00DD0C86" w:rsidP="00DD0C86">
            <w:pPr>
              <w:pStyle w:val="BodyText"/>
            </w:pPr>
            <w:r w:rsidRPr="00DD0C86">
              <w:t>Assessment methods should reflect workplace demands, such as literacy, and the needs of particular groups, such as:</w:t>
            </w:r>
          </w:p>
          <w:p w:rsidR="00000000" w:rsidRPr="00DD0C86" w:rsidP="00DD0C86">
            <w:pPr>
              <w:pStyle w:val="ListBullet2"/>
            </w:pPr>
            <w:r w:rsidRPr="00DD0C86">
              <w:t>people with disabilities</w:t>
            </w:r>
          </w:p>
          <w:p w:rsidR="00000000" w:rsidRPr="00DD0C86" w:rsidP="00DD0C86">
            <w:pPr>
              <w:pStyle w:val="ListBullet2"/>
            </w:pPr>
            <w:r w:rsidRPr="00DD0C86">
              <w:t>people from culturally and linguistically diverse backgrounds</w:t>
            </w:r>
          </w:p>
          <w:p w:rsidR="00000000" w:rsidRPr="00DD0C86" w:rsidP="00DD0C86">
            <w:pPr>
              <w:pStyle w:val="ListBullet2"/>
            </w:pPr>
            <w:r w:rsidRPr="00DD0C86">
              <w:t>Aboriginal and Torres Strait Islander people</w:t>
            </w:r>
          </w:p>
          <w:p w:rsidR="00000000" w:rsidRPr="00DD0C86" w:rsidP="00DD0C86">
            <w:pPr>
              <w:pStyle w:val="ListBullet2"/>
            </w:pPr>
            <w:r w:rsidRPr="00DD0C86">
              <w:t>women</w:t>
            </w:r>
          </w:p>
          <w:p w:rsidR="00000000" w:rsidRPr="00DD0C86" w:rsidP="00DD0C86">
            <w:pPr>
              <w:pStyle w:val="ListBullet2"/>
            </w:pPr>
            <w:r w:rsidRPr="00DD0C86">
              <w:t>young people</w:t>
            </w:r>
          </w:p>
          <w:p w:rsidR="00000000" w:rsidRPr="00DD0C86" w:rsidP="00DD0C86">
            <w:pPr>
              <w:pStyle w:val="ListBullet2"/>
            </w:pPr>
            <w:r w:rsidRPr="00DD0C86">
              <w:t>older people</w:t>
            </w:r>
          </w:p>
          <w:p w:rsidR="00000000" w:rsidRPr="00DD0C86" w:rsidP="00DD0C86">
            <w:pPr>
              <w:pStyle w:val="ListBullet2"/>
            </w:pPr>
            <w:r w:rsidRPr="00DD0C86">
              <w:t>people in rural and remote locations</w:t>
            </w:r>
          </w:p>
          <w:p w:rsidR="00000000" w:rsidRPr="00DD0C86" w:rsidP="00DD0C86">
            <w:pPr>
              <w:pStyle w:val="BodyText"/>
            </w:pPr>
            <w:r w:rsidRPr="00DD0C86">
              <w:t>Assessment methods suitable for valid and reliable assessment of this competency</w:t>
            </w:r>
            <w:r w:rsidRPr="00DD0C86">
              <w:t xml:space="preserve"> may include, but are not limited to, a combination of 2 or more of: </w:t>
            </w:r>
          </w:p>
          <w:p w:rsidR="00000000" w:rsidRPr="00DD0C86" w:rsidP="00DD0C86">
            <w:pPr>
              <w:pStyle w:val="ListBullet2"/>
            </w:pPr>
            <w:r w:rsidRPr="00DD0C86">
              <w:t>case studies</w:t>
            </w:r>
          </w:p>
          <w:p w:rsidR="00000000" w:rsidRPr="00DD0C86" w:rsidP="00DD0C86">
            <w:pPr>
              <w:pStyle w:val="ListBullet2"/>
            </w:pPr>
            <w:r w:rsidRPr="00DD0C86">
              <w:t xml:space="preserve">portfolios </w:t>
            </w:r>
          </w:p>
          <w:p w:rsidR="00000000" w:rsidRPr="00DD0C86" w:rsidP="00DD0C86">
            <w:pPr>
              <w:pStyle w:val="ListBullet2"/>
            </w:pPr>
            <w:r w:rsidRPr="00DD0C86">
              <w:t>questioning</w:t>
            </w:r>
          </w:p>
          <w:p w:rsidR="00000000" w:rsidRPr="00DD0C86" w:rsidP="00DD0C86">
            <w:pPr>
              <w:pStyle w:val="ListBullet2"/>
            </w:pPr>
            <w:r w:rsidRPr="00DD0C86">
              <w:t>scenarios</w:t>
            </w:r>
          </w:p>
          <w:p w:rsidR="00000000" w:rsidRPr="00DD0C86" w:rsidP="00DD0C86">
            <w:pPr>
              <w:pStyle w:val="ListBullet2"/>
            </w:pPr>
            <w:r w:rsidRPr="00DD0C86">
              <w:t>simulation or role plays</w:t>
            </w:r>
          </w:p>
          <w:p w:rsidR="00000000" w:rsidP="00DD0C86">
            <w:pPr>
              <w:pStyle w:val="ListBullet2"/>
              <w:rPr>
                <w:lang w:val="en-NZ"/>
              </w:rPr>
            </w:pPr>
            <w:r w:rsidRPr="00DD0C86">
              <w:t xml:space="preserve">authenticated evidence from the workplace and/or training courses   </w:t>
            </w:r>
          </w:p>
        </w:tc>
      </w:tr>
      <w:tr w:rsidTr="00B2739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D0C86" w:rsidP="00DD0C86">
            <w:pPr>
              <w:pStyle w:val="BodyText"/>
            </w:pPr>
            <w:r w:rsidRPr="00DD0C86">
              <w:t>Evidence must be gathered over time in a range of contexts to ensure the person can achieve the unit outcome and apply the competency in different situations or environments</w:t>
            </w:r>
          </w:p>
        </w:tc>
      </w:tr>
    </w:tbl>
    <w:p w:rsidR="00000000" w:rsidRPr="00DD0C86" w:rsidP="00DD0C86">
      <w:pPr>
        <w:pStyle w:val="BodyText"/>
      </w:pPr>
    </w:p>
    <w:p w:rsidR="00000000" w:rsidRPr="00DD0C86" w:rsidP="00DD0C86">
      <w:pPr>
        <w:pStyle w:val="AllowPageBreak"/>
      </w:pPr>
    </w:p>
    <w:p w:rsidR="00000000" w:rsidRPr="00DD0C86" w:rsidP="00DD0C86">
      <w:pPr>
        <w:pStyle w:val="Heading1"/>
      </w:pPr>
      <w:bookmarkStart w:id="11" w:name="O_497135"/>
      <w:bookmarkEnd w:id="11"/>
      <w:r w:rsidRPr="00DD0C86">
        <w:t>Range Statement</w:t>
      </w:r>
    </w:p>
    <w:tbl>
      <w:tblPr>
        <w:tblW w:w="9322" w:type="dxa"/>
        <w:tblLayout w:type="fixed"/>
        <w:tblCellMar>
          <w:left w:w="62" w:type="dxa"/>
          <w:right w:w="62" w:type="dxa"/>
        </w:tblCellMar>
        <w:tblLook w:val="0000"/>
      </w:tblPr>
      <w:tblGrid>
        <w:gridCol w:w="2635"/>
        <w:gridCol w:w="6598"/>
        <w:gridCol w:w="89"/>
      </w:tblGrid>
      <w:tr w:rsidTr="00B27391">
        <w:tblPrEx>
          <w:tblW w:w="9322" w:type="dxa"/>
          <w:tblLayout w:type="fixed"/>
          <w:tblCellMar>
            <w:left w:w="62" w:type="dxa"/>
            <w:right w:w="62" w:type="dxa"/>
          </w:tblCellMar>
          <w:tblLook w:val="0000"/>
        </w:tblPrEx>
        <w:tc>
          <w:tcPr>
            <w:tcW w:w="9322" w:type="dxa"/>
            <w:gridSpan w:val="3"/>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t xml:space="preserve">The Range Statement provides information about </w:t>
            </w:r>
            <w:r w:rsidRPr="00DD0C86">
              <w:t>the context in which the unit of competency is carried out. The variables cater for differences between States and Territories and the Commonwealth, and between organisations and workplaces. They allow for different work requirements, work practices and kn</w:t>
            </w:r>
            <w:r w:rsidRPr="00DD0C86">
              <w:t>owledge. The Range Statement also provides a focus for assessment. It relates to the unit as a whole. Text in</w:t>
            </w:r>
            <w:r w:rsidRPr="00DD0C86">
              <w:rPr>
                <w:rStyle w:val="BoldandItalics"/>
              </w:rPr>
              <w:t xml:space="preserve"> bold italics </w:t>
            </w:r>
            <w:r w:rsidRPr="00DD0C86">
              <w:t>in the Performance Criteria is explained here.</w:t>
            </w:r>
          </w:p>
        </w:tc>
      </w:tr>
      <w:tr w:rsidTr="00B27391">
        <w:tblPrEx>
          <w:tblW w:w="9322" w:type="dxa"/>
          <w:tblLayout w:type="fixed"/>
          <w:tblCellMar>
            <w:left w:w="62" w:type="dxa"/>
            <w:right w:w="62" w:type="dxa"/>
          </w:tblCellMar>
          <w:tblLook w:val="0000"/>
        </w:tblPrEx>
        <w:trPr>
          <w:gridAfter w:val="1"/>
          <w:wAfter w:w="89" w:type="dxa"/>
        </w:trPr>
        <w:tc>
          <w:tcPr>
            <w:tcW w:w="2635"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rPr>
                <w:rStyle w:val="BoldandItalics"/>
              </w:rPr>
              <w:t>Unallocated land</w:t>
            </w:r>
            <w:r w:rsidRPr="00DD0C86">
              <w:t xml:space="preserve"> may include:</w:t>
            </w:r>
          </w:p>
        </w:tc>
        <w:tc>
          <w:tcPr>
            <w:tcW w:w="6598" w:type="dxa"/>
            <w:tcBorders>
              <w:top w:val="nil"/>
              <w:left w:val="nil"/>
              <w:bottom w:val="nil"/>
              <w:right w:val="nil"/>
            </w:tcBorders>
            <w:tcMar>
              <w:top w:w="0" w:type="dxa"/>
              <w:left w:w="62" w:type="dxa"/>
              <w:bottom w:w="0" w:type="dxa"/>
              <w:right w:w="62" w:type="dxa"/>
            </w:tcMar>
          </w:tcPr>
          <w:p w:rsidR="00000000" w:rsidRPr="00DD0C86" w:rsidP="00DD0C86">
            <w:pPr>
              <w:pStyle w:val="ListBullet2"/>
            </w:pPr>
            <w:r w:rsidRPr="00DD0C86">
              <w:t xml:space="preserve">Crown land </w:t>
            </w:r>
          </w:p>
          <w:p w:rsidR="00000000" w:rsidRPr="00DD0C86" w:rsidP="00DD0C86">
            <w:pPr>
              <w:pStyle w:val="ListBullet2"/>
            </w:pPr>
            <w:r w:rsidRPr="00DD0C86">
              <w:t>reserved land</w:t>
            </w:r>
          </w:p>
          <w:p w:rsidR="00000000" w:rsidRPr="00DD0C86" w:rsidP="00DD0C86">
            <w:pPr>
              <w:pStyle w:val="ListBullet2"/>
            </w:pPr>
            <w:r w:rsidRPr="00DD0C86">
              <w:t>unleased land</w:t>
            </w:r>
          </w:p>
          <w:p w:rsidR="00000000" w:rsidRPr="00DD0C86" w:rsidP="00DD0C86">
            <w:pPr>
              <w:pStyle w:val="ListBullet2"/>
            </w:pPr>
            <w:r w:rsidRPr="00DD0C86">
              <w:t>variable amounts and extent in a locality/region requiring management</w:t>
            </w:r>
          </w:p>
          <w:p w:rsidR="00000000" w:rsidRPr="00DD0C86" w:rsidP="00DD0C86">
            <w:pPr>
              <w:pStyle w:val="ListBullet2"/>
            </w:pPr>
            <w:r w:rsidRPr="00DD0C86">
              <w:t>different physical characteristics</w:t>
            </w:r>
          </w:p>
          <w:p w:rsidR="00000000" w:rsidRPr="00DD0C86" w:rsidP="00DD0C86">
            <w:pPr>
              <w:pStyle w:val="ListBullet2"/>
            </w:pPr>
            <w:r w:rsidRPr="00DD0C86">
              <w:t>different locations</w:t>
            </w:r>
          </w:p>
          <w:p w:rsidR="00000000" w:rsidRPr="00DD0C86" w:rsidP="00DD0C86">
            <w:pPr>
              <w:pStyle w:val="ListBullet2"/>
            </w:pPr>
            <w:r w:rsidRPr="00DD0C86">
              <w:t>varying levels of community interest in issues relating to the land</w:t>
            </w:r>
          </w:p>
          <w:p w:rsidR="00000000" w:rsidRPr="00DD0C86" w:rsidP="00DD0C86">
            <w:pPr>
              <w:pStyle w:val="ListBullet2"/>
            </w:pPr>
            <w:r w:rsidRPr="00DD0C86">
              <w:t>varying hazards and levels of risk</w:t>
            </w:r>
          </w:p>
          <w:p w:rsidR="00000000" w:rsidP="00DD0C86">
            <w:pPr>
              <w:pStyle w:val="ListBullet2"/>
              <w:rPr>
                <w:lang w:val="en-NZ"/>
              </w:rPr>
            </w:pPr>
            <w:r w:rsidRPr="00DD0C86">
              <w:t>special, unique environmenta</w:t>
            </w:r>
            <w:r w:rsidRPr="00DD0C86">
              <w:t>l features</w:t>
            </w:r>
          </w:p>
        </w:tc>
      </w:tr>
      <w:tr w:rsidTr="00B27391">
        <w:tblPrEx>
          <w:tblW w:w="9322" w:type="dxa"/>
          <w:tblLayout w:type="fixed"/>
          <w:tblCellMar>
            <w:left w:w="62" w:type="dxa"/>
            <w:right w:w="62" w:type="dxa"/>
          </w:tblCellMar>
          <w:tblLook w:val="0000"/>
        </w:tblPrEx>
        <w:trPr>
          <w:gridAfter w:val="1"/>
          <w:wAfter w:w="89" w:type="dxa"/>
        </w:trPr>
        <w:tc>
          <w:tcPr>
            <w:tcW w:w="2635"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t xml:space="preserve">Boundaries may be </w:t>
            </w:r>
            <w:r w:rsidRPr="00DD0C86">
              <w:rPr>
                <w:rStyle w:val="BoldandItalics"/>
              </w:rPr>
              <w:t xml:space="preserve">confirmed </w:t>
            </w:r>
            <w:r w:rsidRPr="00DD0C86">
              <w:t>using:</w:t>
            </w:r>
          </w:p>
        </w:tc>
        <w:tc>
          <w:tcPr>
            <w:tcW w:w="6598" w:type="dxa"/>
            <w:tcBorders>
              <w:top w:val="nil"/>
              <w:left w:val="nil"/>
              <w:bottom w:val="nil"/>
              <w:right w:val="nil"/>
            </w:tcBorders>
            <w:tcMar>
              <w:top w:w="0" w:type="dxa"/>
              <w:left w:w="62" w:type="dxa"/>
              <w:bottom w:w="0" w:type="dxa"/>
              <w:right w:w="62" w:type="dxa"/>
            </w:tcMar>
          </w:tcPr>
          <w:p w:rsidR="00000000" w:rsidRPr="00DD0C86" w:rsidP="00DD0C86">
            <w:pPr>
              <w:pStyle w:val="ListBullet2"/>
            </w:pPr>
            <w:r w:rsidRPr="00DD0C86">
              <w:t>plans</w:t>
            </w:r>
          </w:p>
          <w:p w:rsidR="00000000" w:rsidRPr="00DD0C86" w:rsidP="00DD0C86">
            <w:pPr>
              <w:pStyle w:val="ListBullet2"/>
            </w:pPr>
            <w:r w:rsidRPr="00DD0C86">
              <w:t>aerial photographs</w:t>
            </w:r>
          </w:p>
          <w:p w:rsidR="00000000" w:rsidP="00DD0C86">
            <w:pPr>
              <w:pStyle w:val="ListBullet2"/>
              <w:rPr>
                <w:lang w:val="en-NZ"/>
              </w:rPr>
            </w:pPr>
            <w:r w:rsidRPr="00DD0C86">
              <w:t>databases</w:t>
            </w:r>
          </w:p>
        </w:tc>
      </w:tr>
      <w:tr w:rsidTr="00B27391">
        <w:tblPrEx>
          <w:tblW w:w="9322" w:type="dxa"/>
          <w:tblLayout w:type="fixed"/>
          <w:tblCellMar>
            <w:left w:w="62" w:type="dxa"/>
            <w:right w:w="62" w:type="dxa"/>
          </w:tblCellMar>
          <w:tblLook w:val="0000"/>
        </w:tblPrEx>
        <w:trPr>
          <w:gridAfter w:val="1"/>
          <w:wAfter w:w="89" w:type="dxa"/>
        </w:trPr>
        <w:tc>
          <w:tcPr>
            <w:tcW w:w="2635"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rPr>
                <w:rStyle w:val="BoldandItalics"/>
              </w:rPr>
              <w:t xml:space="preserve">Site inspection results </w:t>
            </w:r>
            <w:r w:rsidRPr="00DD0C86">
              <w:t>may be recorded through:</w:t>
            </w:r>
          </w:p>
        </w:tc>
        <w:tc>
          <w:tcPr>
            <w:tcW w:w="6598" w:type="dxa"/>
            <w:tcBorders>
              <w:top w:val="nil"/>
              <w:left w:val="nil"/>
              <w:bottom w:val="nil"/>
              <w:right w:val="nil"/>
            </w:tcBorders>
            <w:tcMar>
              <w:top w:w="0" w:type="dxa"/>
              <w:left w:w="62" w:type="dxa"/>
              <w:bottom w:w="0" w:type="dxa"/>
              <w:right w:w="62" w:type="dxa"/>
            </w:tcMar>
          </w:tcPr>
          <w:p w:rsidR="00000000" w:rsidRPr="00DD0C86" w:rsidP="00DD0C86">
            <w:pPr>
              <w:pStyle w:val="ListBullet2"/>
            </w:pPr>
            <w:r w:rsidRPr="00DD0C86">
              <w:t>photos</w:t>
            </w:r>
          </w:p>
          <w:p w:rsidR="00000000" w:rsidRPr="00DD0C86" w:rsidP="00DD0C86">
            <w:pPr>
              <w:pStyle w:val="ListBullet2"/>
            </w:pPr>
            <w:r w:rsidRPr="00DD0C86">
              <w:t>diagrams</w:t>
            </w:r>
          </w:p>
          <w:p w:rsidR="00000000" w:rsidP="00DD0C86">
            <w:pPr>
              <w:pStyle w:val="ListBullet2"/>
              <w:rPr>
                <w:lang w:val="en-NZ"/>
              </w:rPr>
            </w:pPr>
            <w:r w:rsidRPr="00DD0C86">
              <w:t>sketches, etc</w:t>
            </w:r>
          </w:p>
        </w:tc>
      </w:tr>
      <w:tr w:rsidTr="00B27391">
        <w:tblPrEx>
          <w:tblW w:w="9322" w:type="dxa"/>
          <w:tblLayout w:type="fixed"/>
          <w:tblCellMar>
            <w:left w:w="62" w:type="dxa"/>
            <w:right w:w="62" w:type="dxa"/>
          </w:tblCellMar>
          <w:tblLook w:val="0000"/>
        </w:tblPrEx>
        <w:trPr>
          <w:gridAfter w:val="1"/>
          <w:wAfter w:w="89" w:type="dxa"/>
        </w:trPr>
        <w:tc>
          <w:tcPr>
            <w:tcW w:w="2635"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rPr>
                <w:rStyle w:val="BoldandItalics"/>
              </w:rPr>
              <w:t>Organisational procedures</w:t>
            </w:r>
            <w:r w:rsidRPr="00DD0C86">
              <w:t xml:space="preserve"> may be specified in:</w:t>
            </w:r>
          </w:p>
        </w:tc>
        <w:tc>
          <w:tcPr>
            <w:tcW w:w="6598" w:type="dxa"/>
            <w:tcBorders>
              <w:top w:val="nil"/>
              <w:left w:val="nil"/>
              <w:bottom w:val="nil"/>
              <w:right w:val="nil"/>
            </w:tcBorders>
            <w:tcMar>
              <w:top w:w="0" w:type="dxa"/>
              <w:left w:w="62" w:type="dxa"/>
              <w:bottom w:w="0" w:type="dxa"/>
              <w:right w:w="62" w:type="dxa"/>
            </w:tcMar>
          </w:tcPr>
          <w:p w:rsidR="00000000" w:rsidRPr="00DD0C86" w:rsidP="00DD0C86">
            <w:pPr>
              <w:pStyle w:val="ListBullet2"/>
            </w:pPr>
            <w:r w:rsidRPr="00DD0C86">
              <w:t>procedures manual</w:t>
            </w:r>
          </w:p>
          <w:p w:rsidR="00000000" w:rsidRPr="00DD0C86" w:rsidP="00DD0C86">
            <w:pPr>
              <w:pStyle w:val="ListBullet2"/>
            </w:pPr>
            <w:r w:rsidRPr="00DD0C86">
              <w:t>office practice guidelines</w:t>
            </w:r>
          </w:p>
          <w:p w:rsidR="00000000" w:rsidRPr="00DD0C86" w:rsidP="00DD0C86">
            <w:pPr>
              <w:pStyle w:val="ListBullet2"/>
            </w:pPr>
            <w:r w:rsidRPr="00DD0C86">
              <w:t>workplace notices</w:t>
            </w:r>
          </w:p>
          <w:p w:rsidR="00000000" w:rsidP="00DD0C86">
            <w:pPr>
              <w:pStyle w:val="ListBullet2"/>
              <w:rPr>
                <w:lang w:val="en-NZ"/>
              </w:rPr>
            </w:pPr>
            <w:r w:rsidRPr="00DD0C86">
              <w:t>computer training manuals</w:t>
            </w:r>
          </w:p>
        </w:tc>
      </w:tr>
      <w:tr w:rsidTr="00B27391">
        <w:tblPrEx>
          <w:tblW w:w="9322" w:type="dxa"/>
          <w:tblLayout w:type="fixed"/>
          <w:tblCellMar>
            <w:left w:w="62" w:type="dxa"/>
            <w:right w:w="62" w:type="dxa"/>
          </w:tblCellMar>
          <w:tblLook w:val="0000"/>
        </w:tblPrEx>
        <w:trPr>
          <w:gridAfter w:val="1"/>
          <w:wAfter w:w="89" w:type="dxa"/>
        </w:trPr>
        <w:tc>
          <w:tcPr>
            <w:tcW w:w="2635"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rPr>
                <w:rStyle w:val="BoldandItalics"/>
              </w:rPr>
              <w:t>Organisational procedures</w:t>
            </w:r>
            <w:r w:rsidRPr="00DD0C86">
              <w:t xml:space="preserve"> may include:</w:t>
            </w:r>
          </w:p>
        </w:tc>
        <w:tc>
          <w:tcPr>
            <w:tcW w:w="6598" w:type="dxa"/>
            <w:tcBorders>
              <w:top w:val="nil"/>
              <w:left w:val="nil"/>
              <w:bottom w:val="nil"/>
              <w:right w:val="nil"/>
            </w:tcBorders>
            <w:tcMar>
              <w:top w:w="0" w:type="dxa"/>
              <w:left w:w="62" w:type="dxa"/>
              <w:bottom w:w="0" w:type="dxa"/>
              <w:right w:w="62" w:type="dxa"/>
            </w:tcMar>
          </w:tcPr>
          <w:p w:rsidR="00000000" w:rsidRPr="00DD0C86" w:rsidP="00DD0C86">
            <w:pPr>
              <w:pStyle w:val="ListBullet2"/>
            </w:pPr>
            <w:r w:rsidRPr="00DD0C86">
              <w:t>regulatory requirements</w:t>
            </w:r>
          </w:p>
          <w:p w:rsidR="00000000" w:rsidRPr="00DD0C86" w:rsidP="00DD0C86">
            <w:pPr>
              <w:pStyle w:val="ListBullet2"/>
            </w:pPr>
            <w:r w:rsidRPr="00DD0C86">
              <w:t>industry practices</w:t>
            </w:r>
          </w:p>
          <w:p w:rsidR="00000000" w:rsidP="00DD0C86">
            <w:pPr>
              <w:pStyle w:val="ListBullet2"/>
              <w:rPr>
                <w:lang w:val="en-NZ"/>
              </w:rPr>
            </w:pPr>
            <w:r w:rsidRPr="00DD0C86">
              <w:t>manual or electronic applications</w:t>
            </w:r>
          </w:p>
        </w:tc>
      </w:tr>
      <w:tr w:rsidTr="00B27391">
        <w:tblPrEx>
          <w:tblW w:w="9322" w:type="dxa"/>
          <w:tblLayout w:type="fixed"/>
          <w:tblCellMar>
            <w:left w:w="62" w:type="dxa"/>
            <w:right w:w="62" w:type="dxa"/>
          </w:tblCellMar>
          <w:tblLook w:val="0000"/>
        </w:tblPrEx>
        <w:trPr>
          <w:gridAfter w:val="1"/>
          <w:wAfter w:w="89" w:type="dxa"/>
        </w:trPr>
        <w:tc>
          <w:tcPr>
            <w:tcW w:w="2635"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rPr>
                <w:rStyle w:val="BoldandItalics"/>
              </w:rPr>
              <w:t>Key stakeholders and other interested parties</w:t>
            </w:r>
            <w:r w:rsidRPr="00DD0C86">
              <w:t xml:space="preserve"> may include:</w:t>
            </w:r>
          </w:p>
        </w:tc>
        <w:tc>
          <w:tcPr>
            <w:tcW w:w="6598" w:type="dxa"/>
            <w:tcBorders>
              <w:top w:val="nil"/>
              <w:left w:val="nil"/>
              <w:bottom w:val="nil"/>
              <w:right w:val="nil"/>
            </w:tcBorders>
            <w:tcMar>
              <w:top w:w="0" w:type="dxa"/>
              <w:left w:w="62" w:type="dxa"/>
              <w:bottom w:w="0" w:type="dxa"/>
              <w:right w:w="62" w:type="dxa"/>
            </w:tcMar>
          </w:tcPr>
          <w:p w:rsidR="00000000" w:rsidRPr="00DD0C86" w:rsidP="00DD0C86">
            <w:pPr>
              <w:pStyle w:val="ListBullet2"/>
            </w:pPr>
            <w:r w:rsidRPr="00DD0C86">
              <w:t>Aboriginal groups</w:t>
            </w:r>
          </w:p>
          <w:p w:rsidR="00000000" w:rsidRPr="00DD0C86" w:rsidP="00DD0C86">
            <w:pPr>
              <w:pStyle w:val="ListBullet2"/>
            </w:pPr>
            <w:r w:rsidRPr="00DD0C86">
              <w:t>Aboriginal land councils</w:t>
            </w:r>
          </w:p>
          <w:p w:rsidR="00000000" w:rsidRPr="00DD0C86" w:rsidP="00DD0C86">
            <w:pPr>
              <w:pStyle w:val="ListBullet2"/>
            </w:pPr>
            <w:r w:rsidRPr="00DD0C86">
              <w:t>environmental groups</w:t>
            </w:r>
          </w:p>
          <w:p w:rsidR="00000000" w:rsidRPr="00DD0C86" w:rsidP="00DD0C86">
            <w:pPr>
              <w:pStyle w:val="ListBullet2"/>
            </w:pPr>
            <w:r w:rsidRPr="00DD0C86">
              <w:t>internal customers</w:t>
            </w:r>
          </w:p>
          <w:p w:rsidR="00000000" w:rsidRPr="00DD0C86" w:rsidP="00DD0C86">
            <w:pPr>
              <w:pStyle w:val="ListBullet2"/>
            </w:pPr>
            <w:r w:rsidRPr="00DD0C86">
              <w:t>local charities/clubs/sporting organisations</w:t>
            </w:r>
          </w:p>
          <w:p w:rsidR="00000000" w:rsidRPr="00DD0C86" w:rsidP="00DD0C86">
            <w:pPr>
              <w:pStyle w:val="ListBullet2"/>
            </w:pPr>
            <w:r w:rsidRPr="00DD0C86">
              <w:t>Local Governments</w:t>
            </w:r>
          </w:p>
          <w:p w:rsidR="00000000" w:rsidRPr="00DD0C86" w:rsidP="00DD0C86">
            <w:pPr>
              <w:pStyle w:val="ListBullet2"/>
            </w:pPr>
            <w:r w:rsidRPr="00DD0C86">
              <w:t>Members of Parliament</w:t>
            </w:r>
          </w:p>
          <w:p w:rsidR="00000000" w:rsidRPr="00DD0C86" w:rsidP="00DD0C86">
            <w:pPr>
              <w:pStyle w:val="ListBullet2"/>
            </w:pPr>
            <w:r w:rsidRPr="00DD0C86">
              <w:t>other government agencies</w:t>
            </w:r>
          </w:p>
          <w:p w:rsidR="00000000" w:rsidRPr="00DD0C86" w:rsidP="00DD0C86">
            <w:pPr>
              <w:pStyle w:val="ListBullet2"/>
            </w:pPr>
            <w:r w:rsidRPr="00DD0C86">
              <w:t>other user groups</w:t>
            </w:r>
          </w:p>
          <w:p w:rsidR="00000000" w:rsidP="00DD0C86">
            <w:pPr>
              <w:pStyle w:val="ListBullet2"/>
              <w:rPr>
                <w:lang w:val="en-NZ"/>
              </w:rPr>
            </w:pPr>
            <w:r w:rsidRPr="00DD0C86">
              <w:t>the public</w:t>
            </w:r>
          </w:p>
        </w:tc>
      </w:tr>
      <w:tr w:rsidTr="00B27391">
        <w:tblPrEx>
          <w:tblW w:w="9322" w:type="dxa"/>
          <w:tblLayout w:type="fixed"/>
          <w:tblCellMar>
            <w:left w:w="62" w:type="dxa"/>
            <w:right w:w="62" w:type="dxa"/>
          </w:tblCellMar>
          <w:tblLook w:val="0000"/>
        </w:tblPrEx>
        <w:trPr>
          <w:gridAfter w:val="1"/>
          <w:wAfter w:w="89" w:type="dxa"/>
        </w:trPr>
        <w:tc>
          <w:tcPr>
            <w:tcW w:w="2635"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rPr>
                <w:rStyle w:val="BoldandItalics"/>
              </w:rPr>
              <w:t>Emerging issues</w:t>
            </w:r>
            <w:r w:rsidRPr="00DD0C86">
              <w:t xml:space="preserve"> may include:</w:t>
            </w:r>
          </w:p>
        </w:tc>
        <w:tc>
          <w:tcPr>
            <w:tcW w:w="6598" w:type="dxa"/>
            <w:tcBorders>
              <w:top w:val="nil"/>
              <w:left w:val="nil"/>
              <w:bottom w:val="nil"/>
              <w:right w:val="nil"/>
            </w:tcBorders>
            <w:tcMar>
              <w:top w:w="0" w:type="dxa"/>
              <w:left w:w="62" w:type="dxa"/>
              <w:bottom w:w="0" w:type="dxa"/>
              <w:right w:w="62" w:type="dxa"/>
            </w:tcMar>
          </w:tcPr>
          <w:p w:rsidR="00000000" w:rsidRPr="00DD0C86" w:rsidP="00DD0C86">
            <w:pPr>
              <w:pStyle w:val="ListBullet2"/>
            </w:pPr>
            <w:r w:rsidRPr="00DD0C86">
              <w:t>complaints from the public re nuisance issues such as:</w:t>
            </w:r>
          </w:p>
          <w:p w:rsidR="00000000" w:rsidRPr="00DD0C86" w:rsidP="00DD0C86">
            <w:pPr>
              <w:pStyle w:val="ListBullet3"/>
            </w:pPr>
            <w:r w:rsidRPr="00DD0C86">
              <w:t>weeds</w:t>
            </w:r>
          </w:p>
          <w:p w:rsidR="00000000" w:rsidRPr="00DD0C86" w:rsidP="00DD0C86">
            <w:pPr>
              <w:pStyle w:val="ListBullet3"/>
            </w:pPr>
            <w:r w:rsidRPr="00DD0C86">
              <w:t>pests</w:t>
            </w:r>
          </w:p>
          <w:p w:rsidR="00000000" w:rsidRPr="00DD0C86" w:rsidP="00DD0C86">
            <w:pPr>
              <w:pStyle w:val="ListBullet3"/>
            </w:pPr>
            <w:r w:rsidRPr="00DD0C86">
              <w:t>fire hazards</w:t>
            </w:r>
          </w:p>
          <w:p w:rsidR="00000000" w:rsidP="00DD0C86">
            <w:pPr>
              <w:pStyle w:val="ListBullet3"/>
              <w:rPr>
                <w:lang w:val="en-NZ"/>
              </w:rPr>
            </w:pPr>
            <w:r w:rsidRPr="00DD0C86">
              <w:t>urgent matters affecting life and property</w:t>
            </w:r>
          </w:p>
        </w:tc>
      </w:tr>
      <w:tr w:rsidTr="00B27391">
        <w:tblPrEx>
          <w:tblW w:w="9322" w:type="dxa"/>
          <w:tblLayout w:type="fixed"/>
          <w:tblCellMar>
            <w:left w:w="62" w:type="dxa"/>
            <w:right w:w="62" w:type="dxa"/>
          </w:tblCellMar>
          <w:tblLook w:val="0000"/>
        </w:tblPrEx>
        <w:trPr>
          <w:gridAfter w:val="1"/>
          <w:wAfter w:w="89" w:type="dxa"/>
        </w:trPr>
        <w:tc>
          <w:tcPr>
            <w:tcW w:w="2635" w:type="dxa"/>
            <w:tcBorders>
              <w:top w:val="nil"/>
              <w:left w:val="nil"/>
              <w:bottom w:val="nil"/>
              <w:right w:val="nil"/>
            </w:tcBorders>
            <w:tcMar>
              <w:top w:w="0" w:type="dxa"/>
              <w:left w:w="62" w:type="dxa"/>
              <w:bottom w:w="0" w:type="dxa"/>
              <w:right w:w="62" w:type="dxa"/>
            </w:tcMar>
          </w:tcPr>
          <w:p w:rsidR="00000000" w:rsidP="00DD0C86">
            <w:pPr>
              <w:pStyle w:val="BodyText"/>
              <w:rPr>
                <w:lang w:val="en-NZ"/>
              </w:rPr>
            </w:pPr>
            <w:r w:rsidRPr="00DD0C86">
              <w:rPr>
                <w:rStyle w:val="BoldandItalics"/>
              </w:rPr>
              <w:t>Legislation, policy and procedures</w:t>
            </w:r>
            <w:r w:rsidRPr="00DD0C86">
              <w:t xml:space="preserve"> may include:</w:t>
            </w:r>
          </w:p>
        </w:tc>
        <w:tc>
          <w:tcPr>
            <w:tcW w:w="6598" w:type="dxa"/>
            <w:tcBorders>
              <w:top w:val="nil"/>
              <w:left w:val="nil"/>
              <w:bottom w:val="nil"/>
              <w:right w:val="nil"/>
            </w:tcBorders>
            <w:tcMar>
              <w:top w:w="0" w:type="dxa"/>
              <w:left w:w="62" w:type="dxa"/>
              <w:bottom w:w="0" w:type="dxa"/>
              <w:right w:w="62" w:type="dxa"/>
            </w:tcMar>
          </w:tcPr>
          <w:p w:rsidR="00000000" w:rsidRPr="00DD0C86" w:rsidP="00DD0C86">
            <w:pPr>
              <w:pStyle w:val="ListBullet2"/>
            </w:pPr>
            <w:r w:rsidRPr="00DD0C86">
              <w:t xml:space="preserve">legislation related to Crown land, State land or public land administration, in </w:t>
            </w:r>
            <w:r w:rsidRPr="00DD0C86">
              <w:t>particular Commonwealth Native Title Act 1993, regulations, and Wik amendments</w:t>
            </w:r>
          </w:p>
          <w:p w:rsidR="00000000" w:rsidRPr="00DD0C86" w:rsidP="00DD0C86">
            <w:pPr>
              <w:pStyle w:val="ListBullet2"/>
            </w:pPr>
            <w:r w:rsidRPr="00DD0C86">
              <w:t>public sector legislation such as equal employment opportunity, anti-discrimination, diversity, occupational health and safety</w:t>
            </w:r>
          </w:p>
          <w:p w:rsidR="00000000" w:rsidRPr="00DD0C86" w:rsidP="00DD0C86">
            <w:pPr>
              <w:pStyle w:val="ListBullet2"/>
            </w:pPr>
            <w:r w:rsidRPr="00DD0C86">
              <w:t>privacy legislation and freedom of information</w:t>
            </w:r>
          </w:p>
          <w:p w:rsidR="00000000" w:rsidRPr="00DD0C86" w:rsidP="00DD0C86">
            <w:pPr>
              <w:pStyle w:val="ListBullet2"/>
            </w:pPr>
            <w:r w:rsidRPr="00DD0C86">
              <w:t>public sector standards</w:t>
            </w:r>
          </w:p>
          <w:p w:rsidR="00000000" w:rsidRPr="00DD0C86" w:rsidP="00DD0C86">
            <w:pPr>
              <w:pStyle w:val="ListBullet2"/>
            </w:pPr>
            <w:r w:rsidRPr="00DD0C86">
              <w:t>organisational standards</w:t>
            </w:r>
          </w:p>
          <w:p w:rsidR="00000000" w:rsidRPr="00DD0C86" w:rsidP="00DD0C86">
            <w:pPr>
              <w:pStyle w:val="ListBullet2"/>
            </w:pPr>
            <w:r w:rsidRPr="00DD0C86">
              <w:t>quality standards</w:t>
            </w:r>
          </w:p>
          <w:p w:rsidR="00000000" w:rsidRPr="00DD0C86" w:rsidP="00DD0C86">
            <w:pPr>
              <w:pStyle w:val="ListBullet2"/>
            </w:pPr>
            <w:r w:rsidRPr="00DD0C86">
              <w:t>jurisdictional and organisational code/s of practice and code/s of ethics</w:t>
            </w:r>
          </w:p>
        </w:tc>
      </w:tr>
    </w:tbl>
    <w:p w:rsidR="00B27391" w:rsidP="00DD0C86">
      <w:pPr>
        <w:pStyle w:val="BodyText"/>
      </w:pPr>
    </w:p>
    <w:p w:rsidR="00B27391" w:rsidP="00DD0C86">
      <w:pPr>
        <w:pStyle w:val="BodyText"/>
      </w:pPr>
    </w:p>
    <w:p w:rsidR="00000000" w:rsidRPr="00DD0C86" w:rsidP="00DD0C86">
      <w:pPr>
        <w:pStyle w:val="Heading1"/>
      </w:pPr>
      <w:bookmarkStart w:id="12" w:name="O_497131"/>
      <w:bookmarkEnd w:id="12"/>
      <w:r w:rsidRPr="00DD0C86">
        <w:t>Unit Sector(s)</w:t>
      </w:r>
    </w:p>
    <w:p w:rsidR="00000000" w:rsidRPr="00DD0C86" w:rsidP="00DD0C86">
      <w:pPr>
        <w:pStyle w:val="BodyText"/>
      </w:pPr>
      <w:r w:rsidRPr="00DD0C86">
        <w:t>Not applicable.</w:t>
      </w:r>
    </w:p>
    <w:p w:rsidR="00000000" w:rsidRPr="00DD0C86" w:rsidP="00DD0C86">
      <w:pPr>
        <w:pStyle w:val="AllowPageBreak"/>
      </w:pPr>
    </w:p>
    <w:p w:rsidR="00000000" w:rsidRPr="00DD0C86" w:rsidP="00DD0C86">
      <w:pPr>
        <w:pStyle w:val="Heading1"/>
      </w:pPr>
      <w:bookmarkStart w:id="13" w:name="O_497139"/>
      <w:bookmarkEnd w:id="13"/>
      <w:r w:rsidRPr="00DD0C86">
        <w:t>Competency field</w:t>
      </w:r>
    </w:p>
    <w:p w:rsidR="00000000" w:rsidRPr="00DD0C86" w:rsidP="00DD0C86">
      <w:pPr>
        <w:pStyle w:val="BodyText"/>
      </w:pPr>
      <w:r w:rsidRPr="00DD0C86">
        <w:t>Public Land Administration.</w:t>
      </w:r>
    </w:p>
    <w:p w:rsidR="00000000" w:rsidRPr="00DD0C86" w:rsidP="00DD0C86"/>
    <w:sectPr w:rsidSect="00DD0C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391" w:rsidP="00B273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91" w:rsidP="00DD0C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7391" w:rsidP="00DD0C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27391" w:rsidP="00DD0C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C86" w:rsidRPr="00B27391" w:rsidP="00B273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91" w:rsidRPr="002D2AF8" w:rsidP="00DD0C86">
    <w:pPr>
      <w:pStyle w:val="Header"/>
      <w:framePr w:wrap="around"/>
    </w:pPr>
    <w:r>
      <w:fldChar w:fldCharType="begin"/>
    </w:r>
    <w:r>
      <w:instrText xml:space="preserve"> TITLE   \* MERGEFORMAT </w:instrText>
    </w:r>
    <w:r>
      <w:fldChar w:fldCharType="separate"/>
    </w:r>
    <w:r>
      <w:t>PSPLAND601A Manage unallocated land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27391" w:rsidP="00DD0C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8EE3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3143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C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C86"/>
    <w:pPr>
      <w:spacing w:before="360" w:after="60"/>
      <w:outlineLvl w:val="0"/>
    </w:pPr>
    <w:rPr>
      <w:sz w:val="32"/>
    </w:rPr>
  </w:style>
  <w:style w:type="paragraph" w:styleId="Heading2">
    <w:name w:val="heading 2"/>
    <w:basedOn w:val="HeadingBase"/>
    <w:next w:val="BodyText"/>
    <w:link w:val="Heading2Char"/>
    <w:qFormat/>
    <w:rsid w:val="00DD0C86"/>
    <w:pPr>
      <w:keepLines/>
      <w:spacing w:before="240" w:after="120"/>
      <w:outlineLvl w:val="1"/>
    </w:pPr>
    <w:rPr>
      <w:sz w:val="28"/>
      <w:szCs w:val="40"/>
    </w:rPr>
  </w:style>
  <w:style w:type="paragraph" w:styleId="Heading3">
    <w:name w:val="heading 3"/>
    <w:basedOn w:val="HeadingBase"/>
    <w:next w:val="BodyText"/>
    <w:link w:val="Heading3Char"/>
    <w:qFormat/>
    <w:rsid w:val="00DD0C86"/>
    <w:pPr>
      <w:spacing w:before="180" w:after="120"/>
      <w:outlineLvl w:val="2"/>
    </w:pPr>
    <w:rPr>
      <w:spacing w:val="-10"/>
      <w:kern w:val="32"/>
    </w:rPr>
  </w:style>
  <w:style w:type="paragraph" w:styleId="Heading4">
    <w:name w:val="heading 4"/>
    <w:basedOn w:val="HeadingBase"/>
    <w:next w:val="BodyText"/>
    <w:link w:val="Heading4Char"/>
    <w:qFormat/>
    <w:rsid w:val="00DD0C86"/>
    <w:pPr>
      <w:spacing w:before="160" w:after="120"/>
      <w:outlineLvl w:val="3"/>
    </w:pPr>
    <w:rPr>
      <w:sz w:val="22"/>
    </w:rPr>
  </w:style>
  <w:style w:type="paragraph" w:styleId="Heading5">
    <w:name w:val="heading 5"/>
    <w:basedOn w:val="HeadingBase"/>
    <w:next w:val="Normal"/>
    <w:link w:val="Heading5Char"/>
    <w:qFormat/>
    <w:rsid w:val="00DD0C86"/>
    <w:pPr>
      <w:spacing w:before="80"/>
      <w:outlineLvl w:val="4"/>
    </w:pPr>
    <w:rPr>
      <w:color w:val="918585"/>
      <w:sz w:val="20"/>
    </w:rPr>
  </w:style>
  <w:style w:type="paragraph" w:styleId="Heading6">
    <w:name w:val="heading 6"/>
    <w:basedOn w:val="HeadingBase"/>
    <w:next w:val="Normal"/>
    <w:link w:val="Heading6Char"/>
    <w:qFormat/>
    <w:rsid w:val="00DD0C86"/>
    <w:pPr>
      <w:spacing w:before="60"/>
      <w:outlineLvl w:val="5"/>
    </w:pPr>
    <w:rPr>
      <w:color w:val="918585"/>
      <w:sz w:val="20"/>
    </w:rPr>
  </w:style>
  <w:style w:type="paragraph" w:styleId="Heading7">
    <w:name w:val="heading 7"/>
    <w:basedOn w:val="Normal"/>
    <w:next w:val="Normal"/>
    <w:link w:val="Heading7Char"/>
    <w:qFormat/>
    <w:rsid w:val="00DD0C86"/>
    <w:pPr>
      <w:ind w:left="720"/>
      <w:outlineLvl w:val="6"/>
    </w:pPr>
    <w:rPr>
      <w:i/>
    </w:rPr>
  </w:style>
  <w:style w:type="paragraph" w:styleId="Heading8">
    <w:name w:val="heading 8"/>
    <w:basedOn w:val="Normal"/>
    <w:next w:val="Normal"/>
    <w:link w:val="Heading8Char"/>
    <w:qFormat/>
    <w:rsid w:val="00DD0C86"/>
    <w:pPr>
      <w:ind w:left="720"/>
      <w:outlineLvl w:val="7"/>
    </w:pPr>
    <w:rPr>
      <w:i/>
    </w:rPr>
  </w:style>
  <w:style w:type="paragraph" w:styleId="Heading9">
    <w:name w:val="heading 9"/>
    <w:basedOn w:val="Normal"/>
    <w:next w:val="Normal"/>
    <w:link w:val="Heading9Char"/>
    <w:qFormat/>
    <w:rsid w:val="00DD0C86"/>
    <w:pPr>
      <w:ind w:left="720"/>
      <w:outlineLvl w:val="8"/>
    </w:pPr>
    <w:rPr>
      <w:i/>
    </w:rPr>
  </w:style>
  <w:style w:type="character" w:default="1" w:styleId="DefaultParagraphFont">
    <w:name w:val="Default Paragraph Font"/>
    <w:uiPriority w:val="1"/>
    <w:unhideWhenUsed/>
    <w:rsid w:val="00DD0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C86"/>
  </w:style>
  <w:style w:type="character" w:customStyle="1" w:styleId="Heading1Char">
    <w:name w:val="Heading 1 Char"/>
    <w:basedOn w:val="DefaultParagraphFont"/>
    <w:link w:val="Heading1"/>
    <w:rsid w:val="00DD0C86"/>
    <w:rPr>
      <w:rFonts w:ascii="Times New Roman" w:eastAsia="Times New Roman" w:hAnsi="Times New Roman" w:cs="Times New Roman"/>
      <w:b/>
      <w:sz w:val="32"/>
      <w:szCs w:val="20"/>
      <w:lang w:eastAsia="en-US"/>
    </w:rPr>
  </w:style>
  <w:style w:type="paragraph" w:styleId="BodyText">
    <w:name w:val="Body Text"/>
    <w:basedOn w:val="Normal"/>
    <w:link w:val="BodyTextChar"/>
    <w:rsid w:val="00DD0C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C86"/>
    <w:rPr>
      <w:rFonts w:ascii="Times New Roman" w:eastAsia="Times New Roman" w:hAnsi="Times New Roman" w:cs="Times New Roman"/>
      <w:sz w:val="24"/>
      <w:lang w:eastAsia="en-US"/>
    </w:rPr>
  </w:style>
  <w:style w:type="paragraph" w:styleId="Footer">
    <w:name w:val="footer"/>
    <w:basedOn w:val="Normal"/>
    <w:link w:val="FooterChar"/>
    <w:rsid w:val="00DD0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C86"/>
    <w:rPr>
      <w:rFonts w:ascii="Times New Roman" w:eastAsia="Times New Roman" w:hAnsi="Times New Roman" w:cs="Times New Roman"/>
      <w:sz w:val="16"/>
      <w:lang w:eastAsia="en-US"/>
    </w:rPr>
  </w:style>
  <w:style w:type="paragraph" w:styleId="List">
    <w:name w:val="List"/>
    <w:basedOn w:val="BodyText"/>
    <w:next w:val="BodyText"/>
    <w:rsid w:val="00DD0C86"/>
    <w:pPr>
      <w:tabs>
        <w:tab w:val="left" w:pos="340"/>
      </w:tabs>
      <w:spacing w:before="60" w:after="60"/>
      <w:ind w:left="340" w:hanging="340"/>
    </w:pPr>
  </w:style>
  <w:style w:type="character" w:customStyle="1" w:styleId="SpecialBold">
    <w:name w:val="Special Bold"/>
    <w:basedOn w:val="DefaultParagraphFont"/>
    <w:rsid w:val="00DD0C86"/>
    <w:rPr>
      <w:b/>
      <w:spacing w:val="0"/>
    </w:rPr>
  </w:style>
  <w:style w:type="paragraph" w:styleId="ListBullet2">
    <w:name w:val="List Bullet 2"/>
    <w:basedOn w:val="List2"/>
    <w:rsid w:val="00DD0C86"/>
    <w:pPr>
      <w:numPr>
        <w:numId w:val="14"/>
      </w:numPr>
      <w:tabs>
        <w:tab w:val="clear" w:pos="680"/>
      </w:tabs>
    </w:pPr>
  </w:style>
  <w:style w:type="character" w:styleId="Emphasis">
    <w:name w:val="Emphasis"/>
    <w:basedOn w:val="DefaultParagraphFont"/>
    <w:qFormat/>
    <w:rsid w:val="00DD0C86"/>
    <w:rPr>
      <w:i/>
    </w:rPr>
  </w:style>
  <w:style w:type="paragraph" w:customStyle="1" w:styleId="SuperHeading">
    <w:name w:val="SuperHeading"/>
    <w:basedOn w:val="Normal"/>
    <w:rsid w:val="00DD0C86"/>
    <w:pPr>
      <w:spacing w:before="240" w:after="120"/>
      <w:outlineLvl w:val="0"/>
    </w:pPr>
    <w:rPr>
      <w:rFonts w:ascii="Times New Roman" w:hAnsi="Times New Roman"/>
      <w:b/>
      <w:sz w:val="28"/>
    </w:rPr>
  </w:style>
  <w:style w:type="paragraph" w:customStyle="1" w:styleId="AllowPageBreak">
    <w:name w:val="AllowPageBreak"/>
    <w:rsid w:val="00DD0C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0C86"/>
    <w:pPr>
      <w:numPr>
        <w:numId w:val="2"/>
      </w:numPr>
      <w:tabs>
        <w:tab w:val="clear" w:pos="1021"/>
      </w:tabs>
      <w:ind w:left="1037" w:hanging="357"/>
    </w:pPr>
  </w:style>
  <w:style w:type="character" w:customStyle="1" w:styleId="BoldandItalics">
    <w:name w:val="Bold and Italics"/>
    <w:qFormat/>
    <w:rsid w:val="00DD0C86"/>
    <w:rPr>
      <w:b/>
      <w:i/>
      <w:u w:val="none"/>
    </w:rPr>
  </w:style>
  <w:style w:type="character" w:customStyle="1" w:styleId="Heading2Char">
    <w:name w:val="Heading 2 Char"/>
    <w:basedOn w:val="DefaultParagraphFont"/>
    <w:link w:val="Heading2"/>
    <w:rsid w:val="00DD0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C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C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C86"/>
    <w:rPr>
      <w:rFonts w:ascii="Courier New" w:eastAsia="Times New Roman" w:hAnsi="Courier New" w:cs="Times New Roman"/>
      <w:i/>
      <w:szCs w:val="20"/>
      <w:lang w:eastAsia="en-US"/>
    </w:rPr>
  </w:style>
  <w:style w:type="paragraph" w:customStyle="1" w:styleId="HeadingBase">
    <w:name w:val="Heading Base"/>
    <w:rsid w:val="00DD0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C86"/>
    <w:pPr>
      <w:tabs>
        <w:tab w:val="right" w:leader="dot" w:pos="9072"/>
      </w:tabs>
      <w:ind w:left="567"/>
    </w:pPr>
    <w:rPr>
      <w:szCs w:val="22"/>
    </w:rPr>
  </w:style>
  <w:style w:type="paragraph" w:customStyle="1" w:styleId="TOCBase">
    <w:name w:val="TOC Base"/>
    <w:rsid w:val="00DD0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C86"/>
    <w:pPr>
      <w:tabs>
        <w:tab w:val="right" w:leader="dot" w:pos="9072"/>
      </w:tabs>
      <w:spacing w:before="40" w:after="40"/>
      <w:ind w:left="284"/>
    </w:pPr>
    <w:rPr>
      <w:rFonts w:ascii="Times New Roman" w:hAnsi="Times New Roman"/>
    </w:rPr>
  </w:style>
  <w:style w:type="paragraph" w:styleId="TOC1">
    <w:name w:val="toc 1"/>
    <w:basedOn w:val="TOCBase"/>
    <w:next w:val="Normal"/>
    <w:rsid w:val="00DD0C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C86"/>
    <w:pPr>
      <w:spacing w:before="5040"/>
      <w:jc w:val="center"/>
    </w:pPr>
    <w:rPr>
      <w:sz w:val="48"/>
      <w:szCs w:val="72"/>
      <w:lang w:val="en-US"/>
    </w:rPr>
  </w:style>
  <w:style w:type="character" w:customStyle="1" w:styleId="TitleChar">
    <w:name w:val="Title Char"/>
    <w:basedOn w:val="DefaultParagraphFont"/>
    <w:link w:val="Title"/>
    <w:rsid w:val="00DD0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C86"/>
    <w:pPr>
      <w:tabs>
        <w:tab w:val="left" w:pos="3600"/>
        <w:tab w:val="left" w:pos="3958"/>
      </w:tabs>
    </w:pPr>
  </w:style>
  <w:style w:type="paragraph" w:styleId="ListBullet">
    <w:name w:val="List Bullet"/>
    <w:basedOn w:val="List"/>
    <w:rsid w:val="00DD0C86"/>
    <w:pPr>
      <w:numPr>
        <w:numId w:val="13"/>
      </w:numPr>
      <w:tabs>
        <w:tab w:val="clear" w:pos="340"/>
      </w:tabs>
      <w:spacing w:before="40" w:after="40"/>
    </w:pPr>
  </w:style>
  <w:style w:type="paragraph" w:customStyle="1" w:styleId="Note">
    <w:name w:val="Note"/>
    <w:basedOn w:val="BodyText"/>
    <w:rsid w:val="00DD0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C86"/>
    <w:pPr>
      <w:framePr w:wrap="auto" w:hAnchor="text" w:y="6049"/>
    </w:pPr>
    <w:rPr>
      <w:color w:val="000000"/>
      <w:sz w:val="40"/>
    </w:rPr>
  </w:style>
  <w:style w:type="paragraph" w:customStyle="1" w:styleId="TOCTitle">
    <w:name w:val="TOCTitle"/>
    <w:basedOn w:val="Heading1"/>
    <w:rsid w:val="00DD0C86"/>
    <w:pPr>
      <w:spacing w:after="240"/>
      <w:jc w:val="center"/>
      <w:outlineLvl w:val="9"/>
    </w:pPr>
    <w:rPr>
      <w:caps/>
    </w:rPr>
  </w:style>
  <w:style w:type="paragraph" w:customStyle="1" w:styleId="Version">
    <w:name w:val="Version"/>
    <w:rsid w:val="00DD0C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C86"/>
    <w:pPr>
      <w:keepNext w:val="0"/>
      <w:tabs>
        <w:tab w:val="right" w:pos="4176"/>
      </w:tabs>
      <w:ind w:left="198" w:hanging="198"/>
    </w:pPr>
    <w:rPr>
      <w:rFonts w:ascii="Garamond" w:hAnsi="Garamond"/>
    </w:rPr>
  </w:style>
  <w:style w:type="paragraph" w:styleId="IndexHeading">
    <w:name w:val="index heading"/>
    <w:basedOn w:val="Normal"/>
    <w:next w:val="Index1"/>
    <w:semiHidden/>
    <w:rsid w:val="00DD0C86"/>
    <w:pPr>
      <w:spacing w:before="120" w:after="120"/>
    </w:pPr>
    <w:rPr>
      <w:rFonts w:ascii="Arial" w:hAnsi="Arial"/>
      <w:b/>
      <w:color w:val="918585"/>
      <w:sz w:val="24"/>
    </w:rPr>
  </w:style>
  <w:style w:type="paragraph" w:styleId="Header">
    <w:name w:val="header"/>
    <w:basedOn w:val="Normal"/>
    <w:link w:val="HeaderChar"/>
    <w:rsid w:val="00DD0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C86"/>
    <w:rPr>
      <w:rFonts w:ascii="Times New Roman" w:eastAsia="Times New Roman" w:hAnsi="Times New Roman" w:cs="Times New Roman"/>
      <w:sz w:val="16"/>
      <w:szCs w:val="20"/>
      <w:lang w:val="en-GB" w:eastAsia="en-US"/>
    </w:rPr>
  </w:style>
  <w:style w:type="paragraph" w:customStyle="1" w:styleId="Chapter">
    <w:name w:val="Chapter"/>
    <w:basedOn w:val="Normal"/>
    <w:rsid w:val="00DD0C86"/>
    <w:pPr>
      <w:spacing w:before="240"/>
    </w:pPr>
    <w:rPr>
      <w:rFonts w:ascii="Times New Roman" w:hAnsi="Times New Roman"/>
      <w:smallCaps/>
      <w:spacing w:val="80"/>
      <w:sz w:val="28"/>
    </w:rPr>
  </w:style>
  <w:style w:type="paragraph" w:customStyle="1" w:styleId="InChapter">
    <w:name w:val="InChapter"/>
    <w:basedOn w:val="Heading3"/>
    <w:rsid w:val="00DD0C86"/>
    <w:pPr>
      <w:spacing w:after="240"/>
      <w:outlineLvl w:val="9"/>
    </w:pPr>
    <w:rPr>
      <w:noProof/>
    </w:rPr>
  </w:style>
  <w:style w:type="paragraph" w:styleId="Index2">
    <w:name w:val="index 2"/>
    <w:basedOn w:val="Normal"/>
    <w:next w:val="Normal"/>
    <w:semiHidden/>
    <w:rsid w:val="00DD0C86"/>
    <w:pPr>
      <w:tabs>
        <w:tab w:val="right" w:pos="4176"/>
      </w:tabs>
      <w:ind w:left="568" w:hanging="284"/>
    </w:pPr>
    <w:rPr>
      <w:rFonts w:ascii="Garamond" w:hAnsi="Garamond"/>
    </w:rPr>
  </w:style>
  <w:style w:type="paragraph" w:customStyle="1" w:styleId="Byline">
    <w:name w:val="Byline"/>
    <w:rsid w:val="00DD0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C86"/>
    <w:pPr>
      <w:tabs>
        <w:tab w:val="clear" w:pos="3600"/>
        <w:tab w:val="clear" w:pos="3958"/>
      </w:tabs>
      <w:jc w:val="right"/>
    </w:pPr>
  </w:style>
  <w:style w:type="paragraph" w:styleId="Caption">
    <w:name w:val="caption"/>
    <w:basedOn w:val="BodyText"/>
    <w:next w:val="Normal"/>
    <w:qFormat/>
    <w:rsid w:val="00DD0C86"/>
    <w:pPr>
      <w:framePr w:w="2268" w:hSpace="181" w:vSpace="181" w:wrap="around" w:vAnchor="text" w:hAnchor="page" w:x="1135" w:y="285" w:anchorLock="1"/>
    </w:pPr>
    <w:rPr>
      <w:i/>
    </w:rPr>
  </w:style>
  <w:style w:type="paragraph" w:customStyle="1" w:styleId="MiniTOCTitle">
    <w:name w:val="MiniTOCTitle"/>
    <w:basedOn w:val="Heading4"/>
    <w:rsid w:val="00DD0C86"/>
    <w:pPr>
      <w:spacing w:before="240"/>
      <w:outlineLvl w:val="9"/>
    </w:pPr>
    <w:rPr>
      <w:noProof/>
      <w:sz w:val="24"/>
    </w:rPr>
  </w:style>
  <w:style w:type="paragraph" w:customStyle="1" w:styleId="MiniTOCItem">
    <w:name w:val="MiniTOCItem"/>
    <w:basedOn w:val="ListBullet"/>
    <w:rsid w:val="00DD0C86"/>
    <w:pPr>
      <w:numPr>
        <w:numId w:val="0"/>
      </w:numPr>
      <w:tabs>
        <w:tab w:val="right" w:leader="dot" w:pos="6521"/>
      </w:tabs>
      <w:spacing w:before="0" w:after="0"/>
    </w:pPr>
  </w:style>
  <w:style w:type="paragraph" w:customStyle="1" w:styleId="TOFTitle">
    <w:name w:val="TOFTitle"/>
    <w:basedOn w:val="TOCTitle"/>
    <w:rsid w:val="00DD0C86"/>
  </w:style>
  <w:style w:type="paragraph" w:styleId="TableofFigures">
    <w:name w:val="table of figures"/>
    <w:basedOn w:val="Normal"/>
    <w:next w:val="Normal"/>
    <w:semiHidden/>
    <w:rsid w:val="00DD0C86"/>
    <w:pPr>
      <w:tabs>
        <w:tab w:val="right" w:leader="dot" w:pos="9072"/>
      </w:tabs>
      <w:ind w:left="970" w:hanging="403"/>
    </w:pPr>
    <w:rPr>
      <w:rFonts w:ascii="Times New Roman" w:hAnsi="Times New Roman"/>
      <w:b/>
    </w:rPr>
  </w:style>
  <w:style w:type="paragraph" w:styleId="ListNumber">
    <w:name w:val="List Number"/>
    <w:basedOn w:val="List"/>
    <w:rsid w:val="00DD0C86"/>
    <w:pPr>
      <w:numPr>
        <w:numId w:val="11"/>
      </w:numPr>
    </w:pPr>
  </w:style>
  <w:style w:type="character" w:customStyle="1" w:styleId="WingdingSymbols">
    <w:name w:val="Wingding Symbols"/>
    <w:rsid w:val="00DD0C86"/>
    <w:rPr>
      <w:rFonts w:ascii="Wingdings" w:hAnsi="Wingdings"/>
    </w:rPr>
  </w:style>
  <w:style w:type="paragraph" w:customStyle="1" w:styleId="TableHeading">
    <w:name w:val="Table Heading"/>
    <w:basedOn w:val="HeadingBase"/>
    <w:rsid w:val="00DD0C86"/>
    <w:pPr>
      <w:keepLines/>
      <w:pBdr>
        <w:bottom w:val="single" w:sz="6" w:space="1" w:color="918585"/>
      </w:pBdr>
      <w:spacing w:before="240"/>
    </w:pPr>
  </w:style>
  <w:style w:type="character" w:customStyle="1" w:styleId="HotSpot">
    <w:name w:val="HotSpot"/>
    <w:rsid w:val="00DD0C86"/>
    <w:rPr>
      <w:color w:val="0033CC"/>
      <w:u w:val="none"/>
    </w:rPr>
  </w:style>
  <w:style w:type="paragraph" w:customStyle="1" w:styleId="BodyTextRight">
    <w:name w:val="Body Text Right"/>
    <w:basedOn w:val="BodyText"/>
    <w:rsid w:val="00DD0C86"/>
    <w:pPr>
      <w:spacing w:before="0" w:after="0"/>
      <w:jc w:val="right"/>
    </w:pPr>
  </w:style>
  <w:style w:type="paragraph" w:styleId="Index3">
    <w:name w:val="index 3"/>
    <w:basedOn w:val="ListNumber2"/>
    <w:next w:val="Normal"/>
    <w:semiHidden/>
    <w:rsid w:val="00DD0C86"/>
    <w:pPr>
      <w:numPr>
        <w:numId w:val="0"/>
      </w:numPr>
      <w:tabs>
        <w:tab w:val="right" w:leader="dot" w:pos="4176"/>
      </w:tabs>
    </w:pPr>
  </w:style>
  <w:style w:type="paragraph" w:styleId="ListNumber2">
    <w:name w:val="List Number 2"/>
    <w:basedOn w:val="List2"/>
    <w:rsid w:val="00DD0C86"/>
    <w:pPr>
      <w:numPr>
        <w:numId w:val="10"/>
      </w:numPr>
      <w:tabs>
        <w:tab w:val="clear" w:pos="1060"/>
      </w:tabs>
    </w:pPr>
  </w:style>
  <w:style w:type="paragraph" w:customStyle="1" w:styleId="MarginNote">
    <w:name w:val="Margin Note"/>
    <w:basedOn w:val="BodyText"/>
    <w:rsid w:val="00DD0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C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C86"/>
    <w:rPr>
      <w:sz w:val="32"/>
    </w:rPr>
  </w:style>
  <w:style w:type="paragraph" w:customStyle="1" w:styleId="HeadingProcedure">
    <w:name w:val="Heading Procedure"/>
    <w:basedOn w:val="HeadingBase"/>
    <w:next w:val="Normal"/>
    <w:rsid w:val="00DD0C86"/>
    <w:pPr>
      <w:tabs>
        <w:tab w:val="left" w:pos="0"/>
      </w:tabs>
      <w:spacing w:before="120" w:after="60"/>
    </w:pPr>
    <w:rPr>
      <w:i/>
      <w:color w:val="918585"/>
      <w:sz w:val="22"/>
    </w:rPr>
  </w:style>
  <w:style w:type="paragraph" w:customStyle="1" w:styleId="TableBodyText">
    <w:name w:val="Table Body Text"/>
    <w:basedOn w:val="BodyText"/>
    <w:rsid w:val="00DD0C86"/>
    <w:pPr>
      <w:spacing w:before="60" w:after="60"/>
    </w:pPr>
  </w:style>
  <w:style w:type="paragraph" w:styleId="ListContinue">
    <w:name w:val="List Continue"/>
    <w:basedOn w:val="List"/>
    <w:rsid w:val="00DD0C86"/>
    <w:pPr>
      <w:ind w:firstLine="0"/>
    </w:pPr>
  </w:style>
  <w:style w:type="paragraph" w:customStyle="1" w:styleId="ListNote">
    <w:name w:val="List Note"/>
    <w:basedOn w:val="List"/>
    <w:rsid w:val="00DD0C86"/>
    <w:pPr>
      <w:pBdr>
        <w:top w:val="single" w:sz="6" w:space="2" w:color="918585"/>
        <w:bottom w:val="single" w:sz="6" w:space="2" w:color="918585"/>
      </w:pBdr>
      <w:tabs>
        <w:tab w:val="left" w:pos="1021"/>
      </w:tabs>
      <w:ind w:firstLine="0"/>
    </w:pPr>
  </w:style>
  <w:style w:type="paragraph" w:customStyle="1" w:styleId="Warning">
    <w:name w:val="Warning"/>
    <w:basedOn w:val="BodyText"/>
    <w:rsid w:val="00DD0C86"/>
    <w:pPr>
      <w:shd w:val="clear" w:color="auto" w:fill="D9D9D9"/>
      <w:tabs>
        <w:tab w:val="left" w:pos="992"/>
      </w:tabs>
      <w:ind w:left="119" w:right="119"/>
    </w:pPr>
    <w:rPr>
      <w:sz w:val="20"/>
    </w:rPr>
  </w:style>
  <w:style w:type="paragraph" w:customStyle="1" w:styleId="MarginIcons">
    <w:name w:val="Margin Icons"/>
    <w:basedOn w:val="BodyText"/>
    <w:rsid w:val="00DD0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C86"/>
    <w:rPr>
      <w:rFonts w:ascii="Courier New" w:hAnsi="Courier New"/>
    </w:rPr>
  </w:style>
  <w:style w:type="paragraph" w:customStyle="1" w:styleId="NoteBullet">
    <w:name w:val="Note Bullet"/>
    <w:basedOn w:val="Note"/>
    <w:rsid w:val="00DD0C86"/>
    <w:pPr>
      <w:tabs>
        <w:tab w:val="clear" w:pos="680"/>
      </w:tabs>
      <w:spacing w:before="60" w:after="60"/>
    </w:pPr>
  </w:style>
  <w:style w:type="paragraph" w:customStyle="1" w:styleId="SubHeading2">
    <w:name w:val="SubHeading2"/>
    <w:basedOn w:val="HeadingBase"/>
    <w:rsid w:val="00DD0C86"/>
    <w:pPr>
      <w:spacing w:before="240" w:after="60"/>
    </w:pPr>
    <w:rPr>
      <w:sz w:val="20"/>
    </w:rPr>
  </w:style>
  <w:style w:type="paragraph" w:customStyle="1" w:styleId="SubHeading1">
    <w:name w:val="SubHeading1"/>
    <w:basedOn w:val="HeadingBase"/>
    <w:rsid w:val="00DD0C86"/>
    <w:pPr>
      <w:spacing w:before="240" w:after="60"/>
    </w:pPr>
    <w:rPr>
      <w:color w:val="918585"/>
      <w:sz w:val="22"/>
    </w:rPr>
  </w:style>
  <w:style w:type="paragraph" w:customStyle="1" w:styleId="SideHeading">
    <w:name w:val="Side Heading"/>
    <w:basedOn w:val="HeadingBase"/>
    <w:rsid w:val="00DD0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C86"/>
    <w:pPr>
      <w:numPr>
        <w:numId w:val="12"/>
      </w:numPr>
    </w:pPr>
  </w:style>
  <w:style w:type="paragraph" w:styleId="PlainText">
    <w:name w:val="Plain Text"/>
    <w:basedOn w:val="Normal"/>
    <w:link w:val="PlainTextChar"/>
    <w:rsid w:val="00DD0C86"/>
    <w:rPr>
      <w:sz w:val="20"/>
    </w:rPr>
  </w:style>
  <w:style w:type="character" w:customStyle="1" w:styleId="PlainTextChar">
    <w:name w:val="Plain Text Char"/>
    <w:basedOn w:val="DefaultParagraphFont"/>
    <w:link w:val="PlainText"/>
    <w:rsid w:val="00DD0C86"/>
    <w:rPr>
      <w:rFonts w:ascii="Courier New" w:eastAsia="Times New Roman" w:hAnsi="Courier New" w:cs="Times New Roman"/>
      <w:sz w:val="20"/>
      <w:szCs w:val="20"/>
      <w:lang w:eastAsia="en-US"/>
    </w:rPr>
  </w:style>
  <w:style w:type="character" w:customStyle="1" w:styleId="MenuOption">
    <w:name w:val="Menu Option"/>
    <w:basedOn w:val="DefaultParagraphFont"/>
    <w:rsid w:val="00DD0C86"/>
    <w:rPr>
      <w:b/>
      <w:smallCaps/>
    </w:rPr>
  </w:style>
  <w:style w:type="paragraph" w:customStyle="1" w:styleId="TableListNumber">
    <w:name w:val="Table List Number"/>
    <w:basedOn w:val="ListNumber"/>
    <w:rsid w:val="00DD0C86"/>
    <w:pPr>
      <w:numPr>
        <w:numId w:val="0"/>
      </w:numPr>
    </w:pPr>
  </w:style>
  <w:style w:type="paragraph" w:styleId="TOC4">
    <w:name w:val="toc 4"/>
    <w:basedOn w:val="TOCBase"/>
    <w:next w:val="Normal"/>
    <w:semiHidden/>
    <w:rsid w:val="00DD0C86"/>
    <w:pPr>
      <w:tabs>
        <w:tab w:val="right" w:leader="dot" w:pos="9071"/>
      </w:tabs>
      <w:ind w:left="1701"/>
    </w:pPr>
  </w:style>
  <w:style w:type="paragraph" w:customStyle="1" w:styleId="ListAlpha">
    <w:name w:val="List Alpha"/>
    <w:basedOn w:val="List"/>
    <w:rsid w:val="00DD0C86"/>
    <w:pPr>
      <w:numPr>
        <w:numId w:val="9"/>
      </w:numPr>
    </w:pPr>
  </w:style>
  <w:style w:type="paragraph" w:customStyle="1" w:styleId="ListAlpha2">
    <w:name w:val="List Alpha 2"/>
    <w:basedOn w:val="List2"/>
    <w:rsid w:val="00DD0C86"/>
    <w:pPr>
      <w:numPr>
        <w:numId w:val="8"/>
      </w:numPr>
    </w:pPr>
  </w:style>
  <w:style w:type="paragraph" w:styleId="List2">
    <w:name w:val="List 2"/>
    <w:basedOn w:val="BodyText"/>
    <w:rsid w:val="00DD0C86"/>
    <w:pPr>
      <w:tabs>
        <w:tab w:val="left" w:pos="680"/>
      </w:tabs>
      <w:spacing w:before="60" w:after="60"/>
      <w:ind w:left="680" w:hanging="340"/>
    </w:pPr>
  </w:style>
  <w:style w:type="paragraph" w:styleId="List3">
    <w:name w:val="List 3"/>
    <w:basedOn w:val="BodyText"/>
    <w:rsid w:val="00DD0C86"/>
    <w:pPr>
      <w:tabs>
        <w:tab w:val="left" w:pos="1021"/>
      </w:tabs>
      <w:spacing w:before="60" w:after="60"/>
      <w:ind w:left="1020" w:hanging="340"/>
    </w:pPr>
  </w:style>
  <w:style w:type="paragraph" w:styleId="List4">
    <w:name w:val="List 4"/>
    <w:basedOn w:val="BodyText"/>
    <w:rsid w:val="00DD0C86"/>
    <w:pPr>
      <w:tabs>
        <w:tab w:val="left" w:pos="1361"/>
      </w:tabs>
      <w:spacing w:before="60" w:after="60"/>
      <w:ind w:left="1361" w:hanging="340"/>
    </w:pPr>
  </w:style>
  <w:style w:type="paragraph" w:styleId="List5">
    <w:name w:val="List 5"/>
    <w:basedOn w:val="BodyText"/>
    <w:rsid w:val="00DD0C86"/>
    <w:pPr>
      <w:tabs>
        <w:tab w:val="left" w:pos="1701"/>
      </w:tabs>
      <w:spacing w:before="60" w:after="60"/>
      <w:ind w:left="1701" w:hanging="340"/>
    </w:pPr>
  </w:style>
  <w:style w:type="paragraph" w:styleId="ListBullet4">
    <w:name w:val="List Bullet 4"/>
    <w:basedOn w:val="List4"/>
    <w:rsid w:val="00DD0C86"/>
    <w:pPr>
      <w:numPr>
        <w:numId w:val="3"/>
      </w:numPr>
    </w:pPr>
  </w:style>
  <w:style w:type="paragraph" w:styleId="ListBullet5">
    <w:name w:val="List Bullet 5"/>
    <w:basedOn w:val="List5"/>
    <w:rsid w:val="00DD0C86"/>
    <w:pPr>
      <w:numPr>
        <w:numId w:val="4"/>
      </w:numPr>
    </w:pPr>
  </w:style>
  <w:style w:type="paragraph" w:styleId="ListContinue2">
    <w:name w:val="List Continue 2"/>
    <w:basedOn w:val="List2"/>
    <w:rsid w:val="00DD0C86"/>
    <w:pPr>
      <w:ind w:firstLine="0"/>
    </w:pPr>
  </w:style>
  <w:style w:type="paragraph" w:styleId="ListContinue3">
    <w:name w:val="List Continue 3"/>
    <w:basedOn w:val="List3"/>
    <w:rsid w:val="00DD0C86"/>
    <w:pPr>
      <w:ind w:left="1021" w:firstLine="0"/>
    </w:pPr>
  </w:style>
  <w:style w:type="paragraph" w:styleId="ListContinue4">
    <w:name w:val="List Continue 4"/>
    <w:basedOn w:val="List4"/>
    <w:rsid w:val="00DD0C86"/>
    <w:pPr>
      <w:ind w:firstLine="0"/>
    </w:pPr>
  </w:style>
  <w:style w:type="paragraph" w:styleId="ListContinue5">
    <w:name w:val="List Continue 5"/>
    <w:basedOn w:val="List5"/>
    <w:rsid w:val="00DD0C86"/>
    <w:pPr>
      <w:ind w:firstLine="0"/>
    </w:pPr>
  </w:style>
  <w:style w:type="paragraph" w:styleId="ListNumber3">
    <w:name w:val="List Number 3"/>
    <w:basedOn w:val="List3"/>
    <w:rsid w:val="00DD0C86"/>
    <w:pPr>
      <w:numPr>
        <w:numId w:val="5"/>
      </w:numPr>
    </w:pPr>
  </w:style>
  <w:style w:type="paragraph" w:styleId="ListNumber4">
    <w:name w:val="List Number 4"/>
    <w:basedOn w:val="List4"/>
    <w:rsid w:val="00DD0C86"/>
    <w:pPr>
      <w:numPr>
        <w:numId w:val="6"/>
      </w:numPr>
    </w:pPr>
  </w:style>
  <w:style w:type="paragraph" w:styleId="ListNumber5">
    <w:name w:val="List Number 5"/>
    <w:basedOn w:val="List5"/>
    <w:rsid w:val="00DD0C86"/>
    <w:pPr>
      <w:numPr>
        <w:numId w:val="7"/>
      </w:numPr>
    </w:pPr>
  </w:style>
  <w:style w:type="paragraph" w:styleId="BlockText">
    <w:name w:val="Block Text"/>
    <w:basedOn w:val="Normal"/>
    <w:rsid w:val="00DD0C86"/>
    <w:pPr>
      <w:spacing w:after="120"/>
      <w:ind w:left="1440" w:right="1440"/>
    </w:pPr>
  </w:style>
  <w:style w:type="character" w:customStyle="1" w:styleId="Subscript">
    <w:name w:val="Subscript"/>
    <w:basedOn w:val="DefaultParagraphFont"/>
    <w:rsid w:val="00DD0C86"/>
    <w:rPr>
      <w:sz w:val="16"/>
      <w:vertAlign w:val="subscript"/>
    </w:rPr>
  </w:style>
  <w:style w:type="character" w:customStyle="1" w:styleId="Superscript">
    <w:name w:val="Superscript"/>
    <w:basedOn w:val="DefaultParagraphFont"/>
    <w:rsid w:val="00DD0C86"/>
    <w:rPr>
      <w:sz w:val="16"/>
      <w:vertAlign w:val="superscript"/>
    </w:rPr>
  </w:style>
  <w:style w:type="character" w:customStyle="1" w:styleId="Symbols">
    <w:name w:val="Symbols"/>
    <w:basedOn w:val="DefaultParagraphFont"/>
    <w:rsid w:val="00DD0C86"/>
    <w:rPr>
      <w:rFonts w:ascii="Symbol" w:hAnsi="Symbol"/>
    </w:rPr>
  </w:style>
  <w:style w:type="character" w:customStyle="1" w:styleId="MenuOptions">
    <w:name w:val="Menu Options"/>
    <w:basedOn w:val="DefaultParagraphFont"/>
    <w:rsid w:val="00DD0C86"/>
    <w:rPr>
      <w:rFonts w:ascii="Arial Narrow" w:hAnsi="Arial Narrow"/>
      <w:smallCaps/>
    </w:rPr>
  </w:style>
  <w:style w:type="character" w:customStyle="1" w:styleId="Buttons">
    <w:name w:val="Buttons"/>
    <w:basedOn w:val="DefaultParagraphFont"/>
    <w:rsid w:val="00DD0C86"/>
    <w:rPr>
      <w:b/>
    </w:rPr>
  </w:style>
  <w:style w:type="character" w:customStyle="1" w:styleId="Underlined">
    <w:name w:val="Underlined"/>
    <w:basedOn w:val="DefaultParagraphFont"/>
    <w:rsid w:val="00DD0C86"/>
    <w:rPr>
      <w:u w:val="single"/>
    </w:rPr>
  </w:style>
  <w:style w:type="paragraph" w:customStyle="1" w:styleId="TableBodyTextRight">
    <w:name w:val="Table Body Text Right"/>
    <w:basedOn w:val="TableBodyText"/>
    <w:rsid w:val="00DD0C86"/>
    <w:pPr>
      <w:widowControl w:val="0"/>
      <w:autoSpaceDE w:val="0"/>
      <w:autoSpaceDN w:val="0"/>
      <w:adjustRightInd w:val="0"/>
      <w:jc w:val="right"/>
    </w:pPr>
    <w:rPr>
      <w:rFonts w:cs="Arial"/>
      <w:szCs w:val="18"/>
    </w:rPr>
  </w:style>
  <w:style w:type="paragraph" w:customStyle="1" w:styleId="CopyrightText">
    <w:name w:val="Copyright Text"/>
    <w:basedOn w:val="BodyText"/>
    <w:rsid w:val="00DD0C86"/>
    <w:rPr>
      <w:sz w:val="18"/>
    </w:rPr>
  </w:style>
  <w:style w:type="paragraph" w:customStyle="1" w:styleId="BodySmallRight">
    <w:name w:val="Body Small Right"/>
    <w:basedOn w:val="BodyTextRight"/>
    <w:rsid w:val="00DD0C86"/>
    <w:rPr>
      <w:sz w:val="18"/>
      <w:szCs w:val="18"/>
    </w:rPr>
  </w:style>
  <w:style w:type="paragraph" w:customStyle="1" w:styleId="MarginEdition">
    <w:name w:val="Margin Edition"/>
    <w:basedOn w:val="MarginNote"/>
    <w:rsid w:val="00DD0C86"/>
    <w:pPr>
      <w:spacing w:before="0" w:after="0"/>
    </w:pPr>
    <w:rPr>
      <w:rFonts w:ascii="Times New Roman" w:hAnsi="Times New Roman"/>
      <w:color w:val="999999"/>
    </w:rPr>
  </w:style>
  <w:style w:type="paragraph" w:customStyle="1" w:styleId="Spacer">
    <w:name w:val="Spacer"/>
    <w:basedOn w:val="Normal"/>
    <w:rsid w:val="00DD0C86"/>
    <w:rPr>
      <w:sz w:val="2"/>
      <w:szCs w:val="2"/>
    </w:rPr>
  </w:style>
  <w:style w:type="character" w:customStyle="1" w:styleId="Small">
    <w:name w:val="Small"/>
    <w:basedOn w:val="DefaultParagraphFont"/>
    <w:rsid w:val="00DD0C86"/>
    <w:rPr>
      <w:sz w:val="16"/>
    </w:rPr>
  </w:style>
  <w:style w:type="paragraph" w:customStyle="1" w:styleId="WideTable">
    <w:name w:val="Wide Table"/>
    <w:basedOn w:val="Normal"/>
    <w:rsid w:val="00DD0C86"/>
    <w:pPr>
      <w:ind w:left="-1418"/>
    </w:pPr>
    <w:rPr>
      <w:sz w:val="2"/>
      <w:szCs w:val="2"/>
    </w:rPr>
  </w:style>
  <w:style w:type="character" w:styleId="PageNumber">
    <w:name w:val="page number"/>
    <w:basedOn w:val="DefaultParagraphFont"/>
    <w:rsid w:val="00DD0C86"/>
  </w:style>
  <w:style w:type="paragraph" w:styleId="Quote">
    <w:name w:val="Quote"/>
    <w:basedOn w:val="Heading1"/>
    <w:link w:val="QuoteChar"/>
    <w:qFormat/>
    <w:rsid w:val="00DD0C86"/>
    <w:rPr>
      <w:b w:val="0"/>
      <w:sz w:val="72"/>
      <w:szCs w:val="72"/>
      <w:lang w:val="en-NZ"/>
    </w:rPr>
  </w:style>
  <w:style w:type="character" w:customStyle="1" w:styleId="QuoteChar">
    <w:name w:val="Quote Char"/>
    <w:basedOn w:val="DefaultParagraphFont"/>
    <w:link w:val="Quote"/>
    <w:rsid w:val="00DD0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C86"/>
    <w:pPr>
      <w:pageBreakBefore/>
    </w:pPr>
  </w:style>
  <w:style w:type="paragraph" w:customStyle="1" w:styleId="Border">
    <w:name w:val="Border"/>
    <w:basedOn w:val="Normal"/>
    <w:qFormat/>
    <w:rsid w:val="00DD0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C86"/>
    <w:rPr>
      <w:b/>
      <w:bCs/>
      <w:i/>
      <w:iCs/>
      <w:color w:val="auto"/>
    </w:rPr>
  </w:style>
  <w:style w:type="paragraph" w:styleId="IntenseQuote">
    <w:name w:val="Intense Quote"/>
    <w:basedOn w:val="Normal"/>
    <w:next w:val="Normal"/>
    <w:link w:val="IntenseQuoteChar"/>
    <w:uiPriority w:val="30"/>
    <w:qFormat/>
    <w:rsid w:val="00DD0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C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C86"/>
    <w:rPr>
      <w:smallCaps/>
      <w:color w:val="auto"/>
      <w:u w:val="single"/>
    </w:rPr>
  </w:style>
  <w:style w:type="character" w:styleId="IntenseReference">
    <w:name w:val="Intense Reference"/>
    <w:basedOn w:val="DefaultParagraphFont"/>
    <w:uiPriority w:val="32"/>
    <w:qFormat/>
    <w:rsid w:val="00DD0C86"/>
    <w:rPr>
      <w:b/>
      <w:bCs/>
      <w:smallCaps/>
      <w:color w:val="auto"/>
      <w:spacing w:val="5"/>
      <w:u w:val="single"/>
    </w:rPr>
  </w:style>
  <w:style w:type="paragraph" w:customStyle="1" w:styleId="2ColumnHeading">
    <w:name w:val="2Column Heading"/>
    <w:basedOn w:val="BodyText"/>
    <w:qFormat/>
    <w:rsid w:val="00DD0C86"/>
    <w:pPr>
      <w:spacing w:after="60"/>
      <w:ind w:left="-2268"/>
    </w:pPr>
    <w:rPr>
      <w:b/>
    </w:rPr>
  </w:style>
  <w:style w:type="paragraph" w:customStyle="1" w:styleId="Heading1TOC">
    <w:name w:val="Heading1 TOC"/>
    <w:basedOn w:val="Normal"/>
    <w:qFormat/>
    <w:rsid w:val="00DD0C86"/>
    <w:pPr>
      <w:spacing w:before="240" w:after="120"/>
    </w:pPr>
    <w:rPr>
      <w:rFonts w:ascii="Times New Roman" w:hAnsi="Times New Roman"/>
      <w:b/>
      <w:sz w:val="32"/>
    </w:rPr>
  </w:style>
  <w:style w:type="paragraph" w:customStyle="1" w:styleId="Heading2TOC">
    <w:name w:val="Heading2 TOC"/>
    <w:basedOn w:val="Normal"/>
    <w:qFormat/>
    <w:rsid w:val="00DD0C86"/>
    <w:pPr>
      <w:spacing w:before="240" w:after="60"/>
    </w:pPr>
    <w:rPr>
      <w:rFonts w:ascii="Times New Roman" w:hAnsi="Times New Roman"/>
      <w:b/>
      <w:sz w:val="28"/>
    </w:rPr>
  </w:style>
  <w:style w:type="character" w:customStyle="1" w:styleId="Underline">
    <w:name w:val="Underline"/>
    <w:basedOn w:val="DefaultParagraphFont"/>
    <w:qFormat/>
    <w:rsid w:val="00DD0C86"/>
    <w:rPr>
      <w:u w:val="single"/>
    </w:rPr>
  </w:style>
  <w:style w:type="paragraph" w:styleId="BalloonText">
    <w:name w:val="Balloon Text"/>
    <w:basedOn w:val="Normal"/>
    <w:link w:val="BalloonTextChar"/>
    <w:rsid w:val="00DD0C86"/>
    <w:rPr>
      <w:rFonts w:ascii="Tahoma" w:hAnsi="Tahoma" w:cs="Tahoma"/>
      <w:sz w:val="16"/>
      <w:szCs w:val="16"/>
    </w:rPr>
  </w:style>
  <w:style w:type="character" w:customStyle="1" w:styleId="BalloonTextChar">
    <w:name w:val="Balloon Text Char"/>
    <w:basedOn w:val="DefaultParagraphFont"/>
    <w:link w:val="BalloonText"/>
    <w:rsid w:val="00DD0C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C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C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C86"/>
    <w:rPr>
      <w:b/>
      <w:color w:val="660033"/>
      <w:spacing w:val="0"/>
    </w:rPr>
  </w:style>
  <w:style w:type="paragraph" w:customStyle="1" w:styleId="Nameditemlist">
    <w:name w:val="Named item list"/>
    <w:basedOn w:val="BodyText"/>
    <w:qFormat/>
    <w:rsid w:val="00DD0C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1522</Words>
  <Characters>9785</Characters>
  <Application>Microsoft Office Word</Application>
  <DocSecurity>0</DocSecurity>
  <Lines>324</Lines>
  <Paragraphs>192</Paragraphs>
  <ScaleCrop>false</ScaleCrop>
  <Company>Author-it Software Corporation Ltd.</Company>
  <LinksUpToDate>false</LinksUpToDate>
  <CharactersWithSpaces>11222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PSPLAND601A Manage unallocated land</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2012-11-01T18:26:00Z</dcterms:created>
  <dcterms:modified xsi:type="dcterms:W3CDTF">2012-11-01T18:26:00Z</dcterms:modified>
</cp:coreProperties>
</file>