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6756" w:rsidP="00E36756">
      <w:pPr>
        <w:pStyle w:val="Title"/>
      </w:pPr>
      <w:bookmarkStart w:id="0" w:name="_GoBack"/>
      <w:bookmarkEnd w:id="0"/>
      <w:r>
        <w:fldChar w:fldCharType="begin"/>
      </w:r>
      <w:r>
        <w:instrText xml:space="preserve"> TITLE   \* MERGEFORMAT </w:instrText>
      </w:r>
      <w:r>
        <w:fldChar w:fldCharType="separate"/>
      </w:r>
      <w:r>
        <w:t>PSPLAND409A Handle compensation claims</w:t>
      </w:r>
      <w:r>
        <w:fldChar w:fldCharType="end"/>
      </w:r>
    </w:p>
    <w:p w:rsidR="00E36756" w:rsidP="00E36756">
      <w:pPr>
        <w:pStyle w:val="Version"/>
        <w:sectPr w:rsidSect="00FE33C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FE33C4" w:rsidP="00FE33C4">
      <w:pPr>
        <w:pStyle w:val="SuperHeading"/>
      </w:pPr>
      <w:r w:rsidRPr="00FE33C4">
        <w:t>PSPLAND409A Handle compensation claims</w:t>
      </w:r>
    </w:p>
    <w:p w:rsidR="00000000" w:rsidRPr="00FE33C4" w:rsidP="00FE33C4">
      <w:pPr>
        <w:pStyle w:val="SuperHeading"/>
      </w:pPr>
    </w:p>
    <w:p w:rsidR="00000000" w:rsidRPr="00FE33C4" w:rsidP="00FE33C4">
      <w:pPr>
        <w:pStyle w:val="Heading1"/>
      </w:pPr>
      <w:bookmarkStart w:id="1" w:name="O_496971"/>
      <w:bookmarkEnd w:id="1"/>
      <w:r w:rsidRPr="00FE33C4">
        <w:t>Modification History</w:t>
      </w:r>
    </w:p>
    <w:tbl>
      <w:tblPr>
        <w:tblW w:w="0" w:type="auto"/>
        <w:tblLayout w:type="fixed"/>
        <w:tblCellMar>
          <w:left w:w="62" w:type="dxa"/>
          <w:right w:w="62" w:type="dxa"/>
        </w:tblCellMar>
        <w:tblLook w:val="0000"/>
      </w:tblPr>
      <w:tblGrid>
        <w:gridCol w:w="3052"/>
        <w:gridCol w:w="3052"/>
        <w:gridCol w:w="3052"/>
      </w:tblGrid>
      <w:tr w:rsidTr="00E36756">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33C4" w:rsidP="00FE33C4">
            <w:pPr>
              <w:pStyle w:val="BodyText"/>
            </w:pPr>
            <w:r w:rsidRPr="00FE33C4">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33C4" w:rsidP="00FE33C4">
            <w:pPr>
              <w:pStyle w:val="BodyText"/>
            </w:pPr>
            <w:r w:rsidRPr="00FE33C4">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3C4">
            <w:pPr>
              <w:pStyle w:val="BodyText"/>
              <w:rPr>
                <w:lang w:val="en-NZ"/>
              </w:rPr>
            </w:pPr>
            <w:r w:rsidRPr="00FE33C4">
              <w:rPr>
                <w:rStyle w:val="SpecialBold"/>
              </w:rPr>
              <w:t>Comments</w:t>
            </w:r>
          </w:p>
        </w:tc>
      </w:tr>
      <w:tr w:rsidTr="00E36756">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3C4">
            <w:pPr>
              <w:pStyle w:val="BodyText"/>
              <w:rPr>
                <w:lang w:val="en-NZ"/>
              </w:rPr>
            </w:pPr>
            <w:r w:rsidRPr="00FE33C4">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3C4">
            <w:pPr>
              <w:pStyle w:val="BodyText"/>
              <w:rPr>
                <w:lang w:val="en-NZ"/>
              </w:rPr>
            </w:pPr>
            <w:r w:rsidRPr="00FE33C4">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3C4">
            <w:pPr>
              <w:pStyle w:val="BodyText"/>
              <w:rPr>
                <w:lang w:val="en-NZ"/>
              </w:rPr>
            </w:pPr>
            <w:r w:rsidRPr="00FE33C4">
              <w:t xml:space="preserve">Unit descriptor edited. </w:t>
            </w:r>
          </w:p>
        </w:tc>
      </w:tr>
      <w:tr w:rsidTr="00E36756">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3C4">
            <w:pPr>
              <w:pStyle w:val="BodyText"/>
              <w:rPr>
                <w:lang w:val="en-NZ"/>
              </w:rPr>
            </w:pPr>
            <w:r w:rsidRPr="00FE33C4">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3C4">
            <w:pPr>
              <w:pStyle w:val="BodyText"/>
              <w:rPr>
                <w:lang w:val="en-NZ"/>
              </w:rPr>
            </w:pPr>
            <w:r w:rsidRPr="00FE33C4">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3C4">
            <w:pPr>
              <w:pStyle w:val="BodyText"/>
              <w:rPr>
                <w:lang w:val="en-NZ"/>
              </w:rPr>
            </w:pPr>
            <w:r w:rsidRPr="00FE33C4">
              <w:t>Layout adjusted. No changes to content.</w:t>
            </w:r>
          </w:p>
        </w:tc>
      </w:tr>
      <w:tr w:rsidTr="00E36756">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3C4">
            <w:pPr>
              <w:pStyle w:val="BodyText"/>
              <w:rPr>
                <w:lang w:val="en-NZ"/>
              </w:rPr>
            </w:pPr>
            <w:r w:rsidRPr="00FE33C4">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3C4">
            <w:pPr>
              <w:pStyle w:val="BodyText"/>
              <w:rPr>
                <w:lang w:val="en-NZ"/>
              </w:rPr>
            </w:pPr>
            <w:r w:rsidRPr="00FE33C4">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33C4" w:rsidP="00FE33C4">
            <w:pPr>
              <w:pStyle w:val="BodyText"/>
            </w:pPr>
            <w:r w:rsidRPr="00FE33C4">
              <w:t>Primary release.</w:t>
            </w:r>
          </w:p>
        </w:tc>
      </w:tr>
    </w:tbl>
    <w:p w:rsidR="00E36756" w:rsidP="00FE33C4">
      <w:pPr>
        <w:pStyle w:val="BodyText"/>
      </w:pPr>
    </w:p>
    <w:p w:rsidR="00E36756" w:rsidP="00FE33C4">
      <w:pPr>
        <w:pStyle w:val="BodyText"/>
      </w:pPr>
    </w:p>
    <w:p w:rsidR="00000000" w:rsidRPr="00FE33C4" w:rsidP="00FE33C4">
      <w:pPr>
        <w:pStyle w:val="Heading1"/>
      </w:pPr>
      <w:bookmarkStart w:id="2" w:name="O_496973"/>
      <w:bookmarkEnd w:id="2"/>
      <w:r w:rsidRPr="00FE33C4">
        <w:t>Unit Descriptor</w:t>
      </w:r>
    </w:p>
    <w:p w:rsidR="00000000" w:rsidRPr="00FE33C4" w:rsidP="00FE33C4">
      <w:pPr>
        <w:pStyle w:val="BodyText"/>
      </w:pPr>
      <w:r w:rsidRPr="00FE33C4">
        <w:t>This unit covers settlement of compensation claims with respect to public land. It includes responding to claims, and determining and settling com</w:t>
      </w:r>
      <w:r w:rsidRPr="00FE33C4">
        <w:t>pensation.</w:t>
      </w:r>
    </w:p>
    <w:p w:rsidR="00000000" w:rsidRPr="00FE33C4" w:rsidP="00FE33C4">
      <w:pPr>
        <w:pStyle w:val="BodyText"/>
      </w:pPr>
      <w:r w:rsidRPr="00FE33C4">
        <w:t>In practice, handling compensation claims may overlap with other generalist or specialist public sector work activities such as working ethically, complying with legislation, applying government processes, using resources, gathering and analysin</w:t>
      </w:r>
      <w:r w:rsidRPr="00FE33C4">
        <w:t>g information, working with diversity.</w:t>
      </w:r>
    </w:p>
    <w:p w:rsidR="00E36756" w:rsidP="00FE33C4">
      <w:pPr>
        <w:pStyle w:val="BodyText"/>
      </w:pPr>
      <w:r w:rsidRPr="00FE33C4">
        <w:t>No licensing, legislative, regulatory or certification requirements apply to this unit at the time of publication</w:t>
      </w:r>
    </w:p>
    <w:p w:rsidR="00E36756" w:rsidP="00FE33C4">
      <w:pPr>
        <w:pStyle w:val="BodyText"/>
      </w:pPr>
    </w:p>
    <w:p w:rsidR="00000000" w:rsidRPr="00FE33C4" w:rsidP="00FE33C4">
      <w:pPr>
        <w:pStyle w:val="Heading1"/>
      </w:pPr>
      <w:bookmarkStart w:id="3" w:name="O_496980"/>
      <w:bookmarkEnd w:id="3"/>
      <w:r w:rsidRPr="00FE33C4">
        <w:t>Application of the Unit</w:t>
      </w:r>
    </w:p>
    <w:p w:rsidR="00000000" w:rsidRPr="00FE33C4" w:rsidP="00FE33C4">
      <w:pPr>
        <w:pStyle w:val="BodyText"/>
      </w:pPr>
      <w:r w:rsidRPr="00FE33C4">
        <w:t>Not applicable.</w:t>
      </w:r>
    </w:p>
    <w:p w:rsidR="00000000" w:rsidRPr="00FE33C4" w:rsidP="00FE33C4">
      <w:pPr>
        <w:pStyle w:val="AllowPageBreak"/>
      </w:pPr>
    </w:p>
    <w:p w:rsidR="00000000" w:rsidRPr="00FE33C4" w:rsidP="00FE33C4">
      <w:pPr>
        <w:pStyle w:val="Heading1"/>
      </w:pPr>
      <w:bookmarkStart w:id="4" w:name="O_496969"/>
      <w:bookmarkEnd w:id="4"/>
      <w:r w:rsidRPr="00FE33C4">
        <w:t>Licensing/Regulatory Information</w:t>
      </w:r>
    </w:p>
    <w:p w:rsidR="00000000" w:rsidRPr="00FE33C4" w:rsidP="00FE33C4">
      <w:pPr>
        <w:pStyle w:val="BodyText"/>
      </w:pPr>
      <w:r w:rsidRPr="00FE33C4">
        <w:t>Not applicable.</w:t>
      </w:r>
    </w:p>
    <w:p w:rsidR="00000000" w:rsidRPr="00FE33C4" w:rsidP="00FE33C4">
      <w:pPr>
        <w:pStyle w:val="AllowPageBreak"/>
      </w:pPr>
    </w:p>
    <w:p w:rsidR="00000000" w:rsidRPr="00FE33C4" w:rsidP="00FE33C4">
      <w:pPr>
        <w:pStyle w:val="Heading1"/>
      </w:pPr>
      <w:bookmarkStart w:id="5" w:name="O_496972"/>
      <w:bookmarkEnd w:id="5"/>
      <w:r w:rsidRPr="00FE33C4">
        <w:t>Pre-Requisites</w:t>
      </w:r>
    </w:p>
    <w:p w:rsidR="00000000" w:rsidRPr="00FE33C4" w:rsidP="00FE33C4">
      <w:pPr>
        <w:pStyle w:val="BodyText"/>
      </w:pPr>
      <w:r w:rsidRPr="00FE33C4">
        <w:t>Not applicable.</w:t>
      </w:r>
    </w:p>
    <w:p w:rsidR="00000000" w:rsidRPr="00FE33C4" w:rsidP="00FE33C4">
      <w:pPr>
        <w:pStyle w:val="AllowPageBreak"/>
      </w:pPr>
    </w:p>
    <w:p w:rsidR="00000000" w:rsidRPr="00FE33C4" w:rsidP="00FE33C4">
      <w:pPr>
        <w:pStyle w:val="Heading1"/>
      </w:pPr>
      <w:bookmarkStart w:id="6" w:name="O_496976"/>
      <w:bookmarkEnd w:id="6"/>
      <w:r w:rsidRPr="00FE33C4">
        <w:t>Employability Skills Information</w:t>
      </w:r>
    </w:p>
    <w:p w:rsidR="00000000" w:rsidRPr="00FE33C4" w:rsidP="00FE33C4">
      <w:pPr>
        <w:pStyle w:val="BodyText"/>
      </w:pPr>
      <w:r w:rsidRPr="00FE33C4">
        <w:t>This unit contains employability skills.</w:t>
      </w:r>
    </w:p>
    <w:p w:rsidR="00000000" w:rsidRPr="00FE33C4" w:rsidP="00FE33C4">
      <w:pPr>
        <w:pStyle w:val="AllowPageBreak"/>
      </w:pPr>
    </w:p>
    <w:p w:rsidR="00000000" w:rsidRPr="00FE33C4" w:rsidP="00FE33C4">
      <w:pPr>
        <w:pStyle w:val="Heading1"/>
      </w:pPr>
      <w:bookmarkStart w:id="7" w:name="O_496977"/>
      <w:bookmarkEnd w:id="7"/>
      <w:r w:rsidRPr="00FE33C4">
        <w:t>Elements and Performance Criteria Pre-Content</w:t>
      </w:r>
    </w:p>
    <w:tbl>
      <w:tblPr>
        <w:tblW w:w="9322" w:type="dxa"/>
        <w:tblLayout w:type="fixed"/>
        <w:tblCellMar>
          <w:left w:w="62" w:type="dxa"/>
          <w:right w:w="62" w:type="dxa"/>
        </w:tblCellMar>
        <w:tblLook w:val="0000"/>
      </w:tblPr>
      <w:tblGrid>
        <w:gridCol w:w="2660"/>
        <w:gridCol w:w="6662"/>
      </w:tblGrid>
      <w:tr w:rsidTr="00E36756">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E33C4">
            <w:pPr>
              <w:pStyle w:val="BodyText"/>
              <w:rPr>
                <w:lang w:val="en-NZ"/>
              </w:rPr>
            </w:pPr>
            <w:r w:rsidRPr="00FE33C4">
              <w:t>Eleme</w:t>
            </w:r>
            <w:r w:rsidRPr="00FE33C4">
              <w:t>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FE33C4" w:rsidP="00FE33C4">
            <w:pPr>
              <w:pStyle w:val="BodyText"/>
            </w:pPr>
            <w:r w:rsidRPr="00FE33C4">
              <w:t xml:space="preserve">Together, performance criteria specify the requirements for competent performance. Text in </w:t>
            </w:r>
            <w:r w:rsidRPr="00FE33C4">
              <w:rPr>
                <w:rStyle w:val="BoldandItalics"/>
              </w:rPr>
              <w:t>bold italics</w:t>
            </w:r>
            <w:r w:rsidRPr="00FE33C4">
              <w:t xml:space="preserve">  is explained in the Range Statement following.</w:t>
            </w:r>
          </w:p>
        </w:tc>
      </w:tr>
    </w:tbl>
    <w:p w:rsidR="00000000" w:rsidRPr="00FE33C4" w:rsidP="00FE33C4">
      <w:pPr>
        <w:pStyle w:val="BodyText"/>
      </w:pPr>
    </w:p>
    <w:p w:rsidR="00000000" w:rsidRPr="00FE33C4" w:rsidP="00FE33C4">
      <w:pPr>
        <w:pStyle w:val="AllowPageBreak"/>
      </w:pPr>
    </w:p>
    <w:p w:rsidR="00000000" w:rsidRPr="00FE33C4" w:rsidP="00FE33C4">
      <w:pPr>
        <w:pStyle w:val="Heading1"/>
      </w:pPr>
      <w:bookmarkStart w:id="8" w:name="O_496978"/>
      <w:bookmarkEnd w:id="8"/>
      <w:r w:rsidRPr="00FE33C4">
        <w:t>Elements and Performance Criteria</w:t>
      </w:r>
    </w:p>
    <w:tbl>
      <w:tblPr>
        <w:tblW w:w="9322" w:type="dxa"/>
        <w:tblLayout w:type="fixed"/>
        <w:tblCellMar>
          <w:left w:w="62" w:type="dxa"/>
          <w:right w:w="62" w:type="dxa"/>
        </w:tblCellMar>
        <w:tblLook w:val="0000"/>
      </w:tblPr>
      <w:tblGrid>
        <w:gridCol w:w="2660"/>
        <w:gridCol w:w="6662"/>
      </w:tblGrid>
      <w:tr w:rsidTr="00E36756">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FE33C4" w:rsidP="00FE33C4">
            <w:pPr>
              <w:pStyle w:val="BodyText"/>
            </w:pPr>
            <w:r w:rsidRPr="00FE33C4">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FE33C4">
            <w:pPr>
              <w:pStyle w:val="BodyText"/>
              <w:rPr>
                <w:lang w:val="en-NZ"/>
              </w:rPr>
            </w:pPr>
            <w:r w:rsidRPr="00FE33C4">
              <w:rPr>
                <w:rStyle w:val="SpecialBold"/>
              </w:rPr>
              <w:t>PERFORMANCE CRITERIA</w:t>
            </w:r>
          </w:p>
        </w:tc>
      </w:tr>
      <w:tr w:rsidTr="00E36756">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E33C4">
            <w:pPr>
              <w:pStyle w:val="List"/>
              <w:rPr>
                <w:lang w:val="en-NZ"/>
              </w:rPr>
            </w:pPr>
            <w:r w:rsidRPr="00FE33C4">
              <w:rPr>
                <w:rStyle w:val="SpecialBold"/>
              </w:rPr>
              <w:t>1</w:t>
            </w:r>
            <w:r w:rsidRPr="00FE33C4">
              <w:t xml:space="preserve">.  </w:t>
            </w:r>
            <w:r w:rsidRPr="00FE33C4">
              <w:tab/>
            </w:r>
            <w:r w:rsidRPr="00FE33C4">
              <w:rPr>
                <w:rStyle w:val="SpecialBold"/>
              </w:rPr>
              <w:t>Respond to claims for compensation</w:t>
            </w:r>
          </w:p>
        </w:tc>
        <w:tc>
          <w:tcPr>
            <w:tcW w:w="6662" w:type="dxa"/>
            <w:tcBorders>
              <w:top w:val="nil"/>
              <w:left w:val="nil"/>
              <w:bottom w:val="nil"/>
              <w:right w:val="nil"/>
            </w:tcBorders>
            <w:tcMar>
              <w:top w:w="0" w:type="dxa"/>
              <w:left w:w="62" w:type="dxa"/>
              <w:bottom w:w="0" w:type="dxa"/>
              <w:right w:w="62" w:type="dxa"/>
            </w:tcMar>
          </w:tcPr>
          <w:p w:rsidR="00000000" w:rsidRPr="00FE33C4" w:rsidP="00FE33C4">
            <w:pPr>
              <w:pStyle w:val="List"/>
            </w:pPr>
            <w:r w:rsidRPr="00FE33C4">
              <w:t>1.1</w:t>
            </w:r>
            <w:r w:rsidRPr="00FE33C4">
              <w:tab/>
              <w:t>Claims are assessed and responded to within statutory timeframes.</w:t>
            </w:r>
          </w:p>
          <w:p w:rsidR="00000000" w:rsidRPr="00FE33C4" w:rsidP="00FE33C4">
            <w:pPr>
              <w:pStyle w:val="List"/>
            </w:pPr>
            <w:r w:rsidRPr="00FE33C4">
              <w:t>1.2</w:t>
            </w:r>
            <w:r w:rsidRPr="00FE33C4">
              <w:tab/>
            </w:r>
            <w:r w:rsidRPr="00FE33C4">
              <w:t>Compensation claims are served in the required format within the specified time period.</w:t>
            </w:r>
          </w:p>
          <w:p w:rsidR="00000000" w:rsidP="00FE33C4">
            <w:pPr>
              <w:pStyle w:val="List"/>
              <w:rPr>
                <w:lang w:val="en-NZ"/>
              </w:rPr>
            </w:pPr>
            <w:r w:rsidRPr="00FE33C4">
              <w:t>1.3</w:t>
            </w:r>
            <w:r w:rsidRPr="00FE33C4">
              <w:tab/>
              <w:t xml:space="preserve">A determination is made as to whether a </w:t>
            </w:r>
            <w:r w:rsidRPr="00FE33C4">
              <w:rPr>
                <w:rStyle w:val="BoldandItalics"/>
              </w:rPr>
              <w:t xml:space="preserve">claimant </w:t>
            </w:r>
            <w:r w:rsidRPr="00FE33C4">
              <w:t>is entitled to compensation in accordance with legislation, organisational policy and procedures.</w:t>
            </w:r>
          </w:p>
        </w:tc>
      </w:tr>
      <w:tr w:rsidTr="00E36756">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E33C4">
            <w:pPr>
              <w:pStyle w:val="List"/>
              <w:rPr>
                <w:lang w:val="en-NZ"/>
              </w:rPr>
            </w:pPr>
            <w:r w:rsidRPr="00FE33C4">
              <w:rPr>
                <w:rStyle w:val="SpecialBold"/>
              </w:rPr>
              <w:t>2</w:t>
            </w:r>
            <w:r w:rsidRPr="00FE33C4">
              <w:t xml:space="preserve">.  </w:t>
            </w:r>
            <w:r w:rsidRPr="00FE33C4">
              <w:tab/>
            </w:r>
            <w:r w:rsidRPr="00FE33C4">
              <w:rPr>
                <w:rStyle w:val="SpecialBold"/>
              </w:rPr>
              <w:t>Determine c</w:t>
            </w:r>
            <w:r w:rsidRPr="00FE33C4">
              <w:rPr>
                <w:rStyle w:val="SpecialBold"/>
              </w:rPr>
              <w:t>ompensation</w:t>
            </w:r>
          </w:p>
        </w:tc>
        <w:tc>
          <w:tcPr>
            <w:tcW w:w="6662" w:type="dxa"/>
            <w:tcBorders>
              <w:top w:val="nil"/>
              <w:left w:val="nil"/>
              <w:bottom w:val="nil"/>
              <w:right w:val="nil"/>
            </w:tcBorders>
            <w:tcMar>
              <w:top w:w="0" w:type="dxa"/>
              <w:left w:w="62" w:type="dxa"/>
              <w:bottom w:w="0" w:type="dxa"/>
              <w:right w:w="62" w:type="dxa"/>
            </w:tcMar>
          </w:tcPr>
          <w:p w:rsidR="00000000" w:rsidRPr="00FE33C4" w:rsidP="00FE33C4">
            <w:pPr>
              <w:pStyle w:val="List"/>
            </w:pPr>
            <w:r w:rsidRPr="00FE33C4">
              <w:t>2.1</w:t>
            </w:r>
            <w:r w:rsidRPr="00FE33C4">
              <w:tab/>
            </w:r>
            <w:r w:rsidRPr="00FE33C4">
              <w:rPr>
                <w:rStyle w:val="BoldandItalics"/>
              </w:rPr>
              <w:t xml:space="preserve">Settlement terms </w:t>
            </w:r>
            <w:r w:rsidRPr="00FE33C4">
              <w:t xml:space="preserve">are determined according to </w:t>
            </w:r>
            <w:r w:rsidRPr="00FE33C4">
              <w:rPr>
                <w:rStyle w:val="BoldandItalics"/>
              </w:rPr>
              <w:t>legislation, organisational policy and procedures</w:t>
            </w:r>
            <w:r w:rsidRPr="00FE33C4">
              <w:rPr>
                <w:rStyle w:val="Emphasis"/>
              </w:rPr>
              <w:t>.</w:t>
            </w:r>
          </w:p>
          <w:p w:rsidR="00000000" w:rsidRPr="00FE33C4" w:rsidP="00FE33C4">
            <w:pPr>
              <w:pStyle w:val="List"/>
            </w:pPr>
            <w:r w:rsidRPr="00FE33C4">
              <w:t>2.2</w:t>
            </w:r>
            <w:r w:rsidRPr="00FE33C4">
              <w:tab/>
              <w:t xml:space="preserve">Advice is obtained as necessary to deal with any </w:t>
            </w:r>
            <w:r w:rsidRPr="00FE33C4">
              <w:rPr>
                <w:rStyle w:val="BoldandItalics"/>
              </w:rPr>
              <w:t xml:space="preserve">non-routine aspects </w:t>
            </w:r>
            <w:r w:rsidRPr="00FE33C4">
              <w:t>of claims.</w:t>
            </w:r>
          </w:p>
          <w:p w:rsidR="00000000" w:rsidRPr="00FE33C4" w:rsidP="00FE33C4">
            <w:pPr>
              <w:pStyle w:val="List"/>
            </w:pPr>
            <w:r w:rsidRPr="00FE33C4">
              <w:t>2.3</w:t>
            </w:r>
            <w:r w:rsidRPr="00FE33C4">
              <w:tab/>
              <w:t xml:space="preserve">Agreement is negotiated with the claimant in accordance </w:t>
            </w:r>
            <w:r w:rsidRPr="00FE33C4">
              <w:t>with organisational policy and procedures.</w:t>
            </w:r>
          </w:p>
          <w:p w:rsidR="00000000" w:rsidRPr="00FE33C4" w:rsidP="00FE33C4">
            <w:pPr>
              <w:pStyle w:val="List"/>
            </w:pPr>
            <w:r w:rsidRPr="00FE33C4">
              <w:t>2.4</w:t>
            </w:r>
            <w:r w:rsidRPr="00FE33C4">
              <w:tab/>
              <w:t>If agreement cannot be reached, an action is prepared and processed through court or compensation court in accordance with</w:t>
            </w:r>
            <w:r w:rsidRPr="00FE33C4">
              <w:rPr>
                <w:rStyle w:val="BoldandItalics"/>
              </w:rPr>
              <w:t xml:space="preserve"> organisational procedures</w:t>
            </w:r>
            <w:r w:rsidRPr="00FE33C4">
              <w:rPr>
                <w:rStyle w:val="Emphasis"/>
              </w:rPr>
              <w:t>.</w:t>
            </w:r>
          </w:p>
          <w:p w:rsidR="00000000" w:rsidP="00FE33C4">
            <w:pPr>
              <w:pStyle w:val="List"/>
              <w:rPr>
                <w:lang w:val="en-NZ"/>
              </w:rPr>
            </w:pPr>
            <w:r w:rsidRPr="00FE33C4">
              <w:t>2.5</w:t>
            </w:r>
            <w:r w:rsidRPr="00FE33C4">
              <w:tab/>
              <w:t>Settlement documents are prepared in accordance with th</w:t>
            </w:r>
            <w:r w:rsidRPr="00FE33C4">
              <w:t>e compensation determination containing information that is technically correct.</w:t>
            </w:r>
          </w:p>
        </w:tc>
      </w:tr>
      <w:tr w:rsidTr="00E36756">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E33C4">
            <w:pPr>
              <w:pStyle w:val="List"/>
              <w:rPr>
                <w:lang w:val="en-NZ"/>
              </w:rPr>
            </w:pPr>
            <w:r w:rsidRPr="00FE33C4">
              <w:rPr>
                <w:rStyle w:val="SpecialBold"/>
              </w:rPr>
              <w:t>3</w:t>
            </w:r>
            <w:r w:rsidRPr="00FE33C4">
              <w:t xml:space="preserve">.  </w:t>
            </w:r>
            <w:r w:rsidRPr="00FE33C4">
              <w:tab/>
            </w:r>
            <w:r w:rsidRPr="00FE33C4">
              <w:rPr>
                <w:rStyle w:val="SpecialBold"/>
              </w:rPr>
              <w:t>Settle compensation</w:t>
            </w:r>
          </w:p>
        </w:tc>
        <w:tc>
          <w:tcPr>
            <w:tcW w:w="6662" w:type="dxa"/>
            <w:tcBorders>
              <w:top w:val="nil"/>
              <w:left w:val="nil"/>
              <w:bottom w:val="nil"/>
              <w:right w:val="nil"/>
            </w:tcBorders>
            <w:tcMar>
              <w:top w:w="0" w:type="dxa"/>
              <w:left w:w="62" w:type="dxa"/>
              <w:bottom w:w="0" w:type="dxa"/>
              <w:right w:w="62" w:type="dxa"/>
            </w:tcMar>
          </w:tcPr>
          <w:p w:rsidR="00000000" w:rsidRPr="00FE33C4" w:rsidP="00FE33C4">
            <w:pPr>
              <w:pStyle w:val="List"/>
            </w:pPr>
            <w:r w:rsidRPr="00FE33C4">
              <w:t>3.1</w:t>
            </w:r>
            <w:r w:rsidRPr="00FE33C4">
              <w:tab/>
              <w:t>Once a settlement is reached, compensation is paid in the required timeframe in accordance with agreements or court determination.</w:t>
            </w:r>
          </w:p>
          <w:p w:rsidR="00000000" w:rsidRPr="00FE33C4" w:rsidP="00FE33C4">
            <w:pPr>
              <w:pStyle w:val="List"/>
            </w:pPr>
            <w:r w:rsidRPr="00FE33C4">
              <w:t>3.2</w:t>
            </w:r>
            <w:r w:rsidRPr="00FE33C4">
              <w:tab/>
            </w:r>
            <w:r w:rsidRPr="00FE33C4">
              <w:t>Settlement release is obtained from client and/or third party, as applicable.</w:t>
            </w:r>
          </w:p>
          <w:p w:rsidR="00000000" w:rsidRPr="00FE33C4" w:rsidP="00FE33C4">
            <w:pPr>
              <w:pStyle w:val="List"/>
            </w:pPr>
            <w:r w:rsidRPr="00FE33C4">
              <w:t>3.3</w:t>
            </w:r>
            <w:r w:rsidRPr="00FE33C4">
              <w:tab/>
              <w:t xml:space="preserve">Records of finalised compensation claims are stored, maintained and secured according to organisational policy and legislative requirements. </w:t>
            </w:r>
          </w:p>
        </w:tc>
      </w:tr>
    </w:tbl>
    <w:p w:rsidR="00000000" w:rsidRPr="00FE33C4" w:rsidP="00FE33C4">
      <w:pPr>
        <w:pStyle w:val="BodyText"/>
      </w:pPr>
    </w:p>
    <w:p w:rsidR="00000000" w:rsidRPr="00FE33C4" w:rsidP="00FE33C4">
      <w:pPr>
        <w:pStyle w:val="AllowPageBreak"/>
      </w:pPr>
    </w:p>
    <w:p w:rsidR="00000000" w:rsidRPr="00FE33C4" w:rsidP="00FE33C4">
      <w:pPr>
        <w:pStyle w:val="Heading1"/>
      </w:pPr>
      <w:bookmarkStart w:id="9" w:name="O_496967"/>
      <w:bookmarkEnd w:id="9"/>
      <w:r w:rsidRPr="00FE33C4">
        <w:t>Required Skil</w:t>
      </w:r>
      <w:r w:rsidRPr="00FE33C4">
        <w:t>ls and Knowledge</w:t>
      </w:r>
    </w:p>
    <w:tbl>
      <w:tblPr>
        <w:tblW w:w="0" w:type="auto"/>
        <w:tblLayout w:type="fixed"/>
        <w:tblCellMar>
          <w:left w:w="62" w:type="dxa"/>
          <w:right w:w="62" w:type="dxa"/>
        </w:tblCellMar>
        <w:tblLook w:val="0000"/>
      </w:tblPr>
      <w:tblGrid>
        <w:gridCol w:w="8510"/>
        <w:gridCol w:w="43"/>
      </w:tblGrid>
      <w:tr w:rsidTr="00E36756">
        <w:tblPrEx>
          <w:tblW w:w="0" w:type="auto"/>
          <w:tblLayout w:type="fixed"/>
          <w:tblCellMar>
            <w:left w:w="62" w:type="dxa"/>
            <w:right w:w="62" w:type="dxa"/>
          </w:tblCellMar>
          <w:tblLook w:val="0000"/>
        </w:tblPrEx>
        <w:trPr>
          <w:gridAfter w:val="1"/>
          <w:wAfter w:w="43" w:type="dxa"/>
        </w:trPr>
        <w:tc>
          <w:tcPr>
            <w:tcW w:w="8510" w:type="dxa"/>
            <w:tcBorders>
              <w:top w:val="nil"/>
              <w:left w:val="nil"/>
              <w:bottom w:val="nil"/>
              <w:right w:val="nil"/>
            </w:tcBorders>
            <w:tcMar>
              <w:top w:w="0" w:type="dxa"/>
              <w:left w:w="62" w:type="dxa"/>
              <w:bottom w:w="0" w:type="dxa"/>
              <w:right w:w="62" w:type="dxa"/>
            </w:tcMar>
          </w:tcPr>
          <w:p w:rsidR="00000000" w:rsidP="00FE33C4">
            <w:pPr>
              <w:pStyle w:val="BodyText"/>
              <w:rPr>
                <w:lang w:val="en-NZ"/>
              </w:rPr>
            </w:pPr>
            <w:r w:rsidRPr="00FE33C4">
              <w:t>This section describes the essential skills and knowledge and their level, required for this unit.</w:t>
            </w:r>
          </w:p>
        </w:tc>
      </w:tr>
      <w:tr w:rsidTr="00E36756">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FE33C4" w:rsidP="00FE33C4">
            <w:pPr>
              <w:pStyle w:val="BodyText"/>
            </w:pPr>
            <w:r w:rsidRPr="00FE33C4">
              <w:rPr>
                <w:rStyle w:val="SpecialBold"/>
              </w:rPr>
              <w:t>Skill requirements</w:t>
            </w:r>
          </w:p>
          <w:p w:rsidR="00000000" w:rsidRPr="00FE33C4" w:rsidP="00FE33C4">
            <w:pPr>
              <w:pStyle w:val="BodyText"/>
            </w:pPr>
            <w:r w:rsidRPr="00FE33C4">
              <w:t>Look for evidence that confirms skills in:</w:t>
            </w:r>
          </w:p>
          <w:p w:rsidR="00000000" w:rsidRPr="00FE33C4" w:rsidP="00FE33C4">
            <w:pPr>
              <w:pStyle w:val="ListBullet2"/>
            </w:pPr>
            <w:r w:rsidRPr="00FE33C4">
              <w:t>interpreting and applying legislation relating to Crown/State land administr</w:t>
            </w:r>
            <w:r w:rsidRPr="00FE33C4">
              <w:t>ation and compensation</w:t>
            </w:r>
          </w:p>
          <w:p w:rsidR="00000000" w:rsidRPr="00FE33C4" w:rsidP="00FE33C4">
            <w:pPr>
              <w:pStyle w:val="ListBullet2"/>
            </w:pPr>
            <w:r w:rsidRPr="00FE33C4">
              <w:t>communicating with diverse stakeholders including effective negotiation</w:t>
            </w:r>
          </w:p>
          <w:p w:rsidR="00000000" w:rsidRPr="00FE33C4" w:rsidP="00FE33C4">
            <w:pPr>
              <w:pStyle w:val="ListBullet2"/>
            </w:pPr>
            <w:r w:rsidRPr="00FE33C4">
              <w:t>generating documentation to organisational standards</w:t>
            </w:r>
          </w:p>
          <w:p w:rsidR="00000000" w:rsidRPr="00FE33C4" w:rsidP="00FE33C4">
            <w:pPr>
              <w:pStyle w:val="ListBullet2"/>
            </w:pPr>
            <w:r w:rsidRPr="00FE33C4">
              <w:t>writing reports requiring formality of language and structure</w:t>
            </w:r>
          </w:p>
          <w:p w:rsidR="00000000" w:rsidRPr="00FE33C4" w:rsidP="00FE33C4">
            <w:pPr>
              <w:pStyle w:val="ListBullet2"/>
            </w:pPr>
            <w:r w:rsidRPr="00FE33C4">
              <w:t xml:space="preserve">responding to diversity, including gender and disability </w:t>
            </w:r>
          </w:p>
          <w:p w:rsidR="00000000" w:rsidP="00FE33C4">
            <w:pPr>
              <w:pStyle w:val="ListBullet2"/>
              <w:rPr>
                <w:lang w:val="en-NZ"/>
              </w:rPr>
            </w:pPr>
            <w:r w:rsidRPr="00FE33C4">
              <w:t>applying public sector legislation such as occupational health and safety, environment, anti-discrimination and diversity in the context of compensation</w:t>
            </w:r>
          </w:p>
        </w:tc>
      </w:tr>
      <w:tr w:rsidTr="00E36756">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FE33C4" w:rsidP="00FE33C4">
            <w:pPr>
              <w:pStyle w:val="BodyText"/>
            </w:pPr>
            <w:r w:rsidRPr="00FE33C4">
              <w:rPr>
                <w:rStyle w:val="SpecialBold"/>
              </w:rPr>
              <w:t>Knowledge requirements</w:t>
            </w:r>
          </w:p>
          <w:p w:rsidR="00000000" w:rsidRPr="00FE33C4" w:rsidP="00FE33C4">
            <w:pPr>
              <w:pStyle w:val="BodyText"/>
            </w:pPr>
            <w:r w:rsidRPr="00FE33C4">
              <w:t xml:space="preserve"> Look for evidence th</w:t>
            </w:r>
            <w:r w:rsidRPr="00FE33C4">
              <w:t>at confirms knowledge and understanding of:</w:t>
            </w:r>
          </w:p>
          <w:p w:rsidR="00000000" w:rsidRPr="00FE33C4" w:rsidP="00FE33C4">
            <w:pPr>
              <w:pStyle w:val="ListBullet2"/>
            </w:pPr>
            <w:r w:rsidRPr="00FE33C4">
              <w:t>legislation, policies and procedures relating to Crown/State land administration and compensation</w:t>
            </w:r>
          </w:p>
          <w:p w:rsidR="00000000" w:rsidRPr="00FE33C4" w:rsidP="00FE33C4">
            <w:pPr>
              <w:pStyle w:val="ListBullet2"/>
            </w:pPr>
            <w:r w:rsidRPr="00FE33C4">
              <w:t>organisational processes and protocols relating to the handling of compensation claims</w:t>
            </w:r>
          </w:p>
          <w:p w:rsidR="00000000" w:rsidRPr="00FE33C4" w:rsidP="00FE33C4">
            <w:pPr>
              <w:pStyle w:val="ListBullet2"/>
            </w:pPr>
            <w:r w:rsidRPr="00FE33C4">
              <w:t>court procedures</w:t>
            </w:r>
          </w:p>
          <w:p w:rsidR="00000000" w:rsidRPr="00FE33C4" w:rsidP="00FE33C4">
            <w:pPr>
              <w:pStyle w:val="ListBullet2"/>
            </w:pPr>
            <w:r w:rsidRPr="00FE33C4">
              <w:t>public se</w:t>
            </w:r>
            <w:r w:rsidRPr="00FE33C4">
              <w:t>ctor legislation including occupational health and safety and environment in the context of compensation</w:t>
            </w:r>
          </w:p>
        </w:tc>
      </w:tr>
    </w:tbl>
    <w:p w:rsidR="00000000" w:rsidRPr="00FE33C4" w:rsidP="00FE33C4">
      <w:pPr>
        <w:pStyle w:val="BodyText"/>
      </w:pPr>
    </w:p>
    <w:p w:rsidR="00000000" w:rsidRPr="00FE33C4" w:rsidP="00FE33C4">
      <w:pPr>
        <w:pStyle w:val="AllowPageBreak"/>
      </w:pPr>
    </w:p>
    <w:p w:rsidR="00000000" w:rsidRPr="00FE33C4" w:rsidP="00FE33C4">
      <w:pPr>
        <w:pStyle w:val="Heading1"/>
      </w:pPr>
      <w:bookmarkStart w:id="10" w:name="O_496974"/>
      <w:bookmarkEnd w:id="10"/>
      <w:r w:rsidRPr="00FE33C4">
        <w:t>Evidence Guide</w:t>
      </w:r>
    </w:p>
    <w:tbl>
      <w:tblPr>
        <w:tblW w:w="9322" w:type="dxa"/>
        <w:tblLayout w:type="fixed"/>
        <w:tblCellMar>
          <w:left w:w="62" w:type="dxa"/>
          <w:right w:w="62" w:type="dxa"/>
        </w:tblCellMar>
        <w:tblLook w:val="0000"/>
      </w:tblPr>
      <w:tblGrid>
        <w:gridCol w:w="2660"/>
        <w:gridCol w:w="6662"/>
      </w:tblGrid>
      <w:tr w:rsidTr="00E36756">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FE33C4">
            <w:pPr>
              <w:pStyle w:val="BodyText"/>
              <w:rPr>
                <w:lang w:val="en-NZ"/>
              </w:rPr>
            </w:pPr>
            <w:r w:rsidRPr="00FE33C4">
              <w:t>The Evidence Guide specifies the evidence required to demonstrate achievement in the unit of competency as a whole. It must be read in conjunction with the Unit descriptor, Performance Criteria, the Range Statement and the Assessment Guidelines for the Pub</w:t>
            </w:r>
            <w:r w:rsidRPr="00FE33C4">
              <w:t>lic Sector Training Package.</w:t>
            </w:r>
          </w:p>
        </w:tc>
      </w:tr>
      <w:tr w:rsidTr="00E36756">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FE33C4" w:rsidP="00FE33C4">
            <w:pPr>
              <w:pStyle w:val="BodyText"/>
            </w:pPr>
            <w:r w:rsidRPr="00FE33C4">
              <w:rPr>
                <w:rStyle w:val="SpecialBold"/>
              </w:rPr>
              <w:t>Units to be assessed together</w:t>
            </w:r>
            <w:r w:rsidRPr="00FE33C4">
              <w:t xml:space="preserve"> </w:t>
            </w:r>
          </w:p>
        </w:tc>
        <w:tc>
          <w:tcPr>
            <w:tcW w:w="6662" w:type="dxa"/>
            <w:tcBorders>
              <w:top w:val="nil"/>
              <w:left w:val="nil"/>
              <w:bottom w:val="nil"/>
              <w:right w:val="nil"/>
            </w:tcBorders>
            <w:tcMar>
              <w:top w:w="0" w:type="dxa"/>
              <w:left w:w="62" w:type="dxa"/>
              <w:bottom w:w="0" w:type="dxa"/>
              <w:right w:w="62" w:type="dxa"/>
            </w:tcMar>
          </w:tcPr>
          <w:p w:rsidR="00000000" w:rsidRPr="00FE33C4" w:rsidP="00FE33C4">
            <w:pPr>
              <w:pStyle w:val="ListBullet2"/>
            </w:pPr>
            <w:r w:rsidRPr="00FE33C4">
              <w:rPr>
                <w:rStyle w:val="Emphasis"/>
              </w:rPr>
              <w:t>Pre</w:t>
            </w:r>
            <w:r w:rsidRPr="00FE33C4">
              <w:t>-</w:t>
            </w:r>
            <w:r w:rsidRPr="00FE33C4">
              <w:rPr>
                <w:rStyle w:val="Emphasis"/>
              </w:rPr>
              <w:t>requisite</w:t>
            </w:r>
            <w:r w:rsidRPr="00FE33C4">
              <w:t xml:space="preserve"> unitsthat must be achieved prior to this unit:</w:t>
            </w:r>
            <w:r w:rsidRPr="00FE33C4">
              <w:rPr>
                <w:rStyle w:val="Emphasis"/>
              </w:rPr>
              <w:t>Nil</w:t>
            </w:r>
          </w:p>
          <w:p w:rsidR="00000000" w:rsidRPr="00FE33C4" w:rsidP="00FE33C4">
            <w:pPr>
              <w:pStyle w:val="ListBullet2"/>
            </w:pPr>
            <w:r w:rsidRPr="00FE33C4">
              <w:rPr>
                <w:rStyle w:val="Emphasis"/>
              </w:rPr>
              <w:t>Co</w:t>
            </w:r>
            <w:r w:rsidRPr="00FE33C4">
              <w:t>-</w:t>
            </w:r>
            <w:r w:rsidRPr="00FE33C4">
              <w:rPr>
                <w:rStyle w:val="Emphasis"/>
              </w:rPr>
              <w:t>requisite</w:t>
            </w:r>
            <w:r w:rsidRPr="00FE33C4">
              <w:t xml:space="preserve"> unitsthat must be assessed with this unit:</w:t>
            </w:r>
            <w:r w:rsidRPr="00FE33C4">
              <w:rPr>
                <w:rStyle w:val="Emphasis"/>
              </w:rPr>
              <w:t>Nil</w:t>
            </w:r>
          </w:p>
          <w:p w:rsidR="00000000" w:rsidRPr="00FE33C4" w:rsidP="00FE33C4">
            <w:pPr>
              <w:pStyle w:val="ListBullet2"/>
            </w:pPr>
            <w:r w:rsidRPr="00FE33C4">
              <w:rPr>
                <w:rStyle w:val="Emphasis"/>
              </w:rPr>
              <w:t>Co</w:t>
            </w:r>
            <w:r w:rsidRPr="00FE33C4">
              <w:t>-</w:t>
            </w:r>
            <w:r w:rsidRPr="00FE33C4">
              <w:rPr>
                <w:rStyle w:val="Emphasis"/>
              </w:rPr>
              <w:t>assessed units</w:t>
            </w:r>
            <w:r w:rsidRPr="00FE33C4">
              <w:t xml:space="preserve"> that may be assessed with th</w:t>
            </w:r>
            <w:r w:rsidRPr="00FE33C4">
              <w:t>is unit to increase the efficiency and realism of the assessment process include, but are not limited to:</w:t>
            </w:r>
          </w:p>
          <w:p w:rsidR="00000000" w:rsidRPr="00FE33C4" w:rsidP="00FE33C4">
            <w:pPr>
              <w:pStyle w:val="ListBullet3"/>
            </w:pPr>
            <w:r w:rsidRPr="00FE33C4">
              <w:t>PSPETHC401A Uphold and support the values and principles of public service</w:t>
            </w:r>
          </w:p>
          <w:p w:rsidR="00000000" w:rsidRPr="00FE33C4" w:rsidP="00FE33C4">
            <w:pPr>
              <w:pStyle w:val="ListBullet3"/>
            </w:pPr>
            <w:r w:rsidRPr="00FE33C4">
              <w:t xml:space="preserve">PSPGOV403B Use resources to achieve work unit goals </w:t>
            </w:r>
          </w:p>
          <w:p w:rsidR="00000000" w:rsidRPr="00FE33C4" w:rsidP="00FE33C4">
            <w:pPr>
              <w:pStyle w:val="ListBullet3"/>
            </w:pPr>
            <w:r w:rsidRPr="00FE33C4">
              <w:t>PSPGOV406B Gather and analyse information</w:t>
            </w:r>
          </w:p>
          <w:p w:rsidR="00000000" w:rsidRPr="00FE33C4" w:rsidP="00FE33C4">
            <w:pPr>
              <w:pStyle w:val="ListBullet3"/>
            </w:pPr>
            <w:r w:rsidRPr="00FE33C4">
              <w:t xml:space="preserve">PSPGOV408A Value diversity </w:t>
            </w:r>
          </w:p>
          <w:p w:rsidR="00000000" w:rsidRPr="00FE33C4" w:rsidP="00FE33C4">
            <w:pPr>
              <w:pStyle w:val="ListBullet3"/>
            </w:pPr>
            <w:r w:rsidRPr="00FE33C4">
              <w:t>PSPGOV422A Apply government processes</w:t>
            </w:r>
          </w:p>
          <w:p w:rsidR="00000000" w:rsidP="00FE33C4">
            <w:pPr>
              <w:pStyle w:val="ListBullet3"/>
              <w:rPr>
                <w:lang w:val="en-NZ"/>
              </w:rPr>
            </w:pPr>
            <w:r w:rsidRPr="00FE33C4">
              <w:t>PSPLEGN401A Encourage compliance with legislation in the public sector</w:t>
            </w:r>
          </w:p>
        </w:tc>
      </w:tr>
      <w:tr w:rsidTr="00E36756">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E33C4">
            <w:pPr>
              <w:pStyle w:val="BodyText"/>
              <w:rPr>
                <w:lang w:val="en-NZ"/>
              </w:rPr>
            </w:pPr>
            <w:r w:rsidRPr="00FE33C4">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FE33C4" w:rsidP="00FE33C4">
            <w:pPr>
              <w:pStyle w:val="BodyText"/>
            </w:pPr>
            <w:r w:rsidRPr="00FE33C4">
              <w:t>In addition to integrated demonstration of</w:t>
            </w:r>
            <w:r w:rsidRPr="00FE33C4">
              <w:t xml:space="preserve"> the elements and their related performance criteria, look for evidence that confirms:</w:t>
            </w:r>
          </w:p>
          <w:p w:rsidR="00000000" w:rsidRPr="00FE33C4" w:rsidP="00FE33C4">
            <w:pPr>
              <w:pStyle w:val="ListBullet2"/>
            </w:pPr>
            <w:r w:rsidRPr="00FE33C4">
              <w:t xml:space="preserve">the knowledge requirements of this unit </w:t>
            </w:r>
          </w:p>
          <w:p w:rsidR="00000000" w:rsidRPr="00FE33C4" w:rsidP="00FE33C4">
            <w:pPr>
              <w:pStyle w:val="ListBullet2"/>
            </w:pPr>
            <w:r w:rsidRPr="00FE33C4">
              <w:t>the skill requirements of this unit</w:t>
            </w:r>
          </w:p>
          <w:p w:rsidR="00000000" w:rsidRPr="00FE33C4" w:rsidP="00FE33C4">
            <w:pPr>
              <w:pStyle w:val="ListBullet2"/>
            </w:pPr>
            <w:r w:rsidRPr="00FE33C4">
              <w:t>application of the Employability Skills as they relate to this unit (see Employability Summaries in Qualifications Framework)</w:t>
            </w:r>
          </w:p>
          <w:p w:rsidR="00000000" w:rsidP="00FE33C4">
            <w:pPr>
              <w:pStyle w:val="ListBullet2"/>
              <w:rPr>
                <w:lang w:val="en-NZ"/>
              </w:rPr>
            </w:pPr>
            <w:r w:rsidRPr="00FE33C4">
              <w:t>handling compensation claims in a range of (3 or more) contexts (or occasions, over time)</w:t>
            </w:r>
          </w:p>
        </w:tc>
      </w:tr>
      <w:tr w:rsidTr="00E36756">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E33C4">
            <w:pPr>
              <w:pStyle w:val="BodyText"/>
              <w:rPr>
                <w:lang w:val="en-NZ"/>
              </w:rPr>
            </w:pPr>
            <w:r w:rsidRPr="00FE33C4">
              <w:rPr>
                <w:rStyle w:val="SpecialBold"/>
              </w:rPr>
              <w:t>Resources required to carry out assessm</w:t>
            </w:r>
            <w:r w:rsidRPr="00FE33C4">
              <w:rPr>
                <w:rStyle w:val="SpecialBold"/>
              </w:rPr>
              <w:t>ent</w:t>
            </w:r>
          </w:p>
        </w:tc>
        <w:tc>
          <w:tcPr>
            <w:tcW w:w="6662" w:type="dxa"/>
            <w:tcBorders>
              <w:top w:val="nil"/>
              <w:left w:val="nil"/>
              <w:bottom w:val="nil"/>
              <w:right w:val="nil"/>
            </w:tcBorders>
            <w:tcMar>
              <w:top w:w="0" w:type="dxa"/>
              <w:left w:w="62" w:type="dxa"/>
              <w:bottom w:w="0" w:type="dxa"/>
              <w:right w:w="62" w:type="dxa"/>
            </w:tcMar>
          </w:tcPr>
          <w:p w:rsidR="00000000" w:rsidRPr="00FE33C4" w:rsidP="00FE33C4">
            <w:pPr>
              <w:pStyle w:val="BodyText"/>
            </w:pPr>
            <w:r w:rsidRPr="00FE33C4">
              <w:t>These resources include:</w:t>
            </w:r>
          </w:p>
          <w:p w:rsidR="00000000" w:rsidRPr="00FE33C4" w:rsidP="00FE33C4">
            <w:pPr>
              <w:pStyle w:val="ListBullet2"/>
            </w:pPr>
            <w:r w:rsidRPr="00FE33C4">
              <w:t xml:space="preserve">legislation, policy, procedures and protocols relating to compensation </w:t>
            </w:r>
          </w:p>
          <w:p w:rsidR="00000000" w:rsidP="00FE33C4">
            <w:pPr>
              <w:pStyle w:val="ListBullet2"/>
              <w:rPr>
                <w:lang w:val="en-NZ"/>
              </w:rPr>
            </w:pPr>
            <w:r w:rsidRPr="00FE33C4">
              <w:t>case studies and workplace scenarios to capture the range of situations likely to be encountered when handling compensation claims</w:t>
            </w:r>
          </w:p>
        </w:tc>
      </w:tr>
      <w:tr w:rsidTr="00E36756">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E33C4">
            <w:pPr>
              <w:pStyle w:val="BodyText"/>
              <w:rPr>
                <w:lang w:val="en-NZ"/>
              </w:rPr>
            </w:pPr>
            <w:r w:rsidRPr="00FE33C4">
              <w:rPr>
                <w:rStyle w:val="SpecialBold"/>
              </w:rPr>
              <w:t>Where and how to asses</w:t>
            </w:r>
            <w:r w:rsidRPr="00FE33C4">
              <w:rPr>
                <w:rStyle w:val="SpecialBold"/>
              </w:rPr>
              <w:t>s evidence</w:t>
            </w:r>
          </w:p>
        </w:tc>
        <w:tc>
          <w:tcPr>
            <w:tcW w:w="6662" w:type="dxa"/>
            <w:tcBorders>
              <w:top w:val="nil"/>
              <w:left w:val="nil"/>
              <w:bottom w:val="nil"/>
              <w:right w:val="nil"/>
            </w:tcBorders>
            <w:tcMar>
              <w:top w:w="0" w:type="dxa"/>
              <w:left w:w="62" w:type="dxa"/>
              <w:bottom w:w="0" w:type="dxa"/>
              <w:right w:w="62" w:type="dxa"/>
            </w:tcMar>
          </w:tcPr>
          <w:p w:rsidR="00000000" w:rsidRPr="00FE33C4" w:rsidP="00FE33C4">
            <w:pPr>
              <w:pStyle w:val="BodyText"/>
            </w:pPr>
            <w:r w:rsidRPr="00FE33C4">
              <w:t xml:space="preserve">Valid assessment of this unit requires: </w:t>
            </w:r>
          </w:p>
          <w:p w:rsidR="00000000" w:rsidRPr="00FE33C4" w:rsidP="00FE33C4">
            <w:pPr>
              <w:pStyle w:val="ListBullet2"/>
            </w:pPr>
            <w:r w:rsidRPr="00FE33C4">
              <w:t>a workplace environment or one that closely resembles normal work practice and replicates the range of conditions likely to be encountered when handling compensation claims, including coping with difficu</w:t>
            </w:r>
            <w:r w:rsidRPr="00FE33C4">
              <w:t>lties, irregularities and breakdowns in routine</w:t>
            </w:r>
          </w:p>
          <w:p w:rsidR="00000000" w:rsidRPr="00FE33C4" w:rsidP="00FE33C4">
            <w:pPr>
              <w:pStyle w:val="ListBullet2"/>
            </w:pPr>
            <w:r w:rsidRPr="00FE33C4">
              <w:t>handling compensation claims in a range of (3 or more) contexts (or occasions, over time)</w:t>
            </w:r>
          </w:p>
          <w:p w:rsidR="00000000" w:rsidRPr="00FE33C4" w:rsidP="00FE33C4">
            <w:pPr>
              <w:pStyle w:val="BodyText"/>
            </w:pPr>
            <w:r w:rsidRPr="00FE33C4">
              <w:t>Assessment methods should reflect workplace demands, such as literacy, and the needs of particular groups, such as:</w:t>
            </w:r>
          </w:p>
          <w:p w:rsidR="00000000" w:rsidRPr="00FE33C4" w:rsidP="00FE33C4">
            <w:pPr>
              <w:pStyle w:val="ListBullet2"/>
            </w:pPr>
            <w:r w:rsidRPr="00FE33C4">
              <w:t>people with disabilities</w:t>
            </w:r>
          </w:p>
          <w:p w:rsidR="00000000" w:rsidRPr="00FE33C4" w:rsidP="00FE33C4">
            <w:pPr>
              <w:pStyle w:val="ListBullet2"/>
            </w:pPr>
            <w:r w:rsidRPr="00FE33C4">
              <w:t>people from culturally and linguistically diverse backgrounds</w:t>
            </w:r>
          </w:p>
          <w:p w:rsidR="00000000" w:rsidRPr="00FE33C4" w:rsidP="00FE33C4">
            <w:pPr>
              <w:pStyle w:val="ListBullet2"/>
            </w:pPr>
            <w:r w:rsidRPr="00FE33C4">
              <w:t>Aboriginal and Torres Strait Islander people</w:t>
            </w:r>
          </w:p>
          <w:p w:rsidR="00000000" w:rsidRPr="00FE33C4" w:rsidP="00FE33C4">
            <w:pPr>
              <w:pStyle w:val="ListBullet2"/>
            </w:pPr>
            <w:r w:rsidRPr="00FE33C4">
              <w:t>women</w:t>
            </w:r>
          </w:p>
          <w:p w:rsidR="00000000" w:rsidRPr="00FE33C4" w:rsidP="00FE33C4">
            <w:pPr>
              <w:pStyle w:val="ListBullet2"/>
            </w:pPr>
            <w:r w:rsidRPr="00FE33C4">
              <w:t>young people</w:t>
            </w:r>
          </w:p>
          <w:p w:rsidR="00000000" w:rsidRPr="00FE33C4" w:rsidP="00FE33C4">
            <w:pPr>
              <w:pStyle w:val="ListBullet2"/>
            </w:pPr>
            <w:r w:rsidRPr="00FE33C4">
              <w:t>older people</w:t>
            </w:r>
          </w:p>
          <w:p w:rsidR="00000000" w:rsidRPr="00FE33C4" w:rsidP="00FE33C4">
            <w:pPr>
              <w:pStyle w:val="ListBullet2"/>
            </w:pPr>
            <w:r w:rsidRPr="00FE33C4">
              <w:t>people in rural and remote locations</w:t>
            </w:r>
          </w:p>
          <w:p w:rsidR="00000000" w:rsidRPr="00FE33C4" w:rsidP="00FE33C4">
            <w:pPr>
              <w:pStyle w:val="BodyText"/>
            </w:pPr>
            <w:r w:rsidRPr="00FE33C4">
              <w:t>Assessment methods suitable for valid and reliable asse</w:t>
            </w:r>
            <w:r w:rsidRPr="00FE33C4">
              <w:t xml:space="preserve">ssment of this competency may include, but are not limited to, a combination of 2 or more of: </w:t>
            </w:r>
          </w:p>
          <w:p w:rsidR="00000000" w:rsidRPr="00FE33C4" w:rsidP="00FE33C4">
            <w:pPr>
              <w:pStyle w:val="ListBullet2"/>
            </w:pPr>
            <w:r w:rsidRPr="00FE33C4">
              <w:t>case studies</w:t>
            </w:r>
          </w:p>
          <w:p w:rsidR="00000000" w:rsidRPr="00FE33C4" w:rsidP="00FE33C4">
            <w:pPr>
              <w:pStyle w:val="ListBullet2"/>
            </w:pPr>
            <w:r w:rsidRPr="00FE33C4">
              <w:t xml:space="preserve">portfolios </w:t>
            </w:r>
          </w:p>
          <w:p w:rsidR="00000000" w:rsidRPr="00FE33C4" w:rsidP="00FE33C4">
            <w:pPr>
              <w:pStyle w:val="ListBullet2"/>
            </w:pPr>
            <w:r w:rsidRPr="00FE33C4">
              <w:t>questioning</w:t>
            </w:r>
          </w:p>
          <w:p w:rsidR="00000000" w:rsidRPr="00FE33C4" w:rsidP="00FE33C4">
            <w:pPr>
              <w:pStyle w:val="ListBullet2"/>
            </w:pPr>
            <w:r w:rsidRPr="00FE33C4">
              <w:t>scenarios</w:t>
            </w:r>
          </w:p>
          <w:p w:rsidR="00000000" w:rsidRPr="00FE33C4" w:rsidP="00FE33C4">
            <w:pPr>
              <w:pStyle w:val="ListBullet2"/>
            </w:pPr>
            <w:r w:rsidRPr="00FE33C4">
              <w:t>simulation or role plays</w:t>
            </w:r>
          </w:p>
          <w:p w:rsidR="00000000" w:rsidP="00FE33C4">
            <w:pPr>
              <w:pStyle w:val="ListBullet2"/>
              <w:rPr>
                <w:lang w:val="en-NZ"/>
              </w:rPr>
            </w:pPr>
            <w:r w:rsidRPr="00FE33C4">
              <w:t xml:space="preserve">authenticated evidence from the workplace and/or training courses   </w:t>
            </w:r>
          </w:p>
        </w:tc>
      </w:tr>
      <w:tr w:rsidTr="00E36756">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E33C4">
            <w:pPr>
              <w:pStyle w:val="BodyText"/>
              <w:rPr>
                <w:lang w:val="en-NZ"/>
              </w:rPr>
            </w:pPr>
            <w:r w:rsidRPr="00FE33C4">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FE33C4" w:rsidP="00FE33C4">
            <w:pPr>
              <w:pStyle w:val="BodyText"/>
            </w:pPr>
            <w:r w:rsidRPr="00FE33C4">
              <w:t>Evidence must be gathered over time in a range of contexts to ensure the person can achieve the unit outcome and apply the competency in different situations or environments</w:t>
            </w:r>
          </w:p>
        </w:tc>
      </w:tr>
    </w:tbl>
    <w:p w:rsidR="00000000" w:rsidRPr="00FE33C4" w:rsidP="00FE33C4">
      <w:pPr>
        <w:pStyle w:val="BodyText"/>
      </w:pPr>
    </w:p>
    <w:p w:rsidR="00000000" w:rsidRPr="00FE33C4" w:rsidP="00FE33C4">
      <w:pPr>
        <w:pStyle w:val="AllowPageBreak"/>
      </w:pPr>
    </w:p>
    <w:p w:rsidR="00000000" w:rsidRPr="00FE33C4" w:rsidP="00FE33C4">
      <w:pPr>
        <w:pStyle w:val="Heading1"/>
      </w:pPr>
      <w:bookmarkStart w:id="11" w:name="O_496975"/>
      <w:bookmarkEnd w:id="11"/>
      <w:r w:rsidRPr="00FE33C4">
        <w:t>Range Statement</w:t>
      </w:r>
    </w:p>
    <w:tbl>
      <w:tblPr>
        <w:tblW w:w="9322" w:type="dxa"/>
        <w:tblLayout w:type="fixed"/>
        <w:tblCellMar>
          <w:left w:w="62" w:type="dxa"/>
          <w:right w:w="62" w:type="dxa"/>
        </w:tblCellMar>
        <w:tblLook w:val="0000"/>
      </w:tblPr>
      <w:tblGrid>
        <w:gridCol w:w="2660"/>
        <w:gridCol w:w="6662"/>
      </w:tblGrid>
      <w:tr w:rsidTr="00E36756">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FE33C4">
            <w:pPr>
              <w:pStyle w:val="BodyText"/>
              <w:rPr>
                <w:lang w:val="en-NZ"/>
              </w:rPr>
            </w:pPr>
            <w:r w:rsidRPr="00FE33C4">
              <w:t>The Range Stateme</w:t>
            </w:r>
            <w:r w:rsidRPr="00FE33C4">
              <w:t>nt provides information about the context in which the unit of competency is carried out. The variables cater for differences between States and Territories and the Commonwealth, and between organisations and workplaces. They allow for different work requi</w:t>
            </w:r>
            <w:r w:rsidRPr="00FE33C4">
              <w:t>rements, work practices and knowledge. The Range Statement also provides a focus for assessment. It relates to the unit as a whole. Text in</w:t>
            </w:r>
            <w:r w:rsidRPr="00FE33C4">
              <w:rPr>
                <w:rStyle w:val="BoldandItalics"/>
              </w:rPr>
              <w:t xml:space="preserve"> bold italics </w:t>
            </w:r>
            <w:r w:rsidRPr="00FE33C4">
              <w:t>in the Performance Criteria is explained here.</w:t>
            </w:r>
          </w:p>
        </w:tc>
      </w:tr>
      <w:tr w:rsidTr="00E36756">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E33C4">
            <w:pPr>
              <w:pStyle w:val="BodyText"/>
              <w:rPr>
                <w:lang w:val="en-NZ"/>
              </w:rPr>
            </w:pPr>
            <w:r w:rsidRPr="00FE33C4">
              <w:rPr>
                <w:rStyle w:val="BoldandItalics"/>
              </w:rPr>
              <w:t xml:space="preserve">Claimants </w:t>
            </w:r>
            <w:r w:rsidRPr="00FE33C4">
              <w:t>may include:</w:t>
            </w:r>
          </w:p>
        </w:tc>
        <w:tc>
          <w:tcPr>
            <w:tcW w:w="6662" w:type="dxa"/>
            <w:tcBorders>
              <w:top w:val="nil"/>
              <w:left w:val="nil"/>
              <w:bottom w:val="nil"/>
              <w:right w:val="nil"/>
            </w:tcBorders>
            <w:tcMar>
              <w:top w:w="0" w:type="dxa"/>
              <w:left w:w="62" w:type="dxa"/>
              <w:bottom w:w="0" w:type="dxa"/>
              <w:right w:w="62" w:type="dxa"/>
            </w:tcMar>
          </w:tcPr>
          <w:p w:rsidR="00000000" w:rsidRPr="00FE33C4" w:rsidP="00FE33C4">
            <w:pPr>
              <w:pStyle w:val="ListBullet2"/>
            </w:pPr>
            <w:r w:rsidRPr="00FE33C4">
              <w:t>Aboriginal groups</w:t>
            </w:r>
          </w:p>
          <w:p w:rsidR="00000000" w:rsidRPr="00FE33C4" w:rsidP="00FE33C4">
            <w:pPr>
              <w:pStyle w:val="ListBullet2"/>
            </w:pPr>
            <w:r w:rsidRPr="00FE33C4">
              <w:t>Local Government</w:t>
            </w:r>
          </w:p>
          <w:p w:rsidR="00000000" w:rsidRPr="00FE33C4" w:rsidP="00FE33C4">
            <w:pPr>
              <w:pStyle w:val="ListBullet2"/>
            </w:pPr>
            <w:r w:rsidRPr="00FE33C4">
              <w:t>government agencies</w:t>
            </w:r>
          </w:p>
          <w:p w:rsidR="00000000" w:rsidRPr="00FE33C4" w:rsidP="00FE33C4">
            <w:pPr>
              <w:pStyle w:val="ListBullet2"/>
            </w:pPr>
            <w:r w:rsidRPr="00FE33C4">
              <w:t>Aboriginal land councils</w:t>
            </w:r>
          </w:p>
          <w:p w:rsidR="00000000" w:rsidRPr="00FE33C4" w:rsidP="00FE33C4">
            <w:pPr>
              <w:pStyle w:val="ListBullet2"/>
            </w:pPr>
            <w:r w:rsidRPr="00FE33C4">
              <w:t>Aboriginal land trusts</w:t>
            </w:r>
          </w:p>
          <w:p w:rsidR="00000000" w:rsidP="00FE33C4">
            <w:pPr>
              <w:pStyle w:val="ListBullet2"/>
              <w:rPr>
                <w:lang w:val="en-NZ"/>
              </w:rPr>
            </w:pPr>
            <w:r w:rsidRPr="00FE33C4">
              <w:t>public</w:t>
            </w:r>
          </w:p>
        </w:tc>
      </w:tr>
      <w:tr w:rsidTr="00E36756">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E33C4">
            <w:pPr>
              <w:pStyle w:val="BodyText"/>
              <w:rPr>
                <w:lang w:val="en-NZ"/>
              </w:rPr>
            </w:pPr>
            <w:r w:rsidRPr="00FE33C4">
              <w:rPr>
                <w:rStyle w:val="BoldandItalics"/>
              </w:rPr>
              <w:t>Settlement terms</w:t>
            </w:r>
            <w:r w:rsidRPr="00FE33C4">
              <w:t xml:space="preserve"> may include:</w:t>
            </w:r>
          </w:p>
        </w:tc>
        <w:tc>
          <w:tcPr>
            <w:tcW w:w="6662" w:type="dxa"/>
            <w:tcBorders>
              <w:top w:val="nil"/>
              <w:left w:val="nil"/>
              <w:bottom w:val="nil"/>
              <w:right w:val="nil"/>
            </w:tcBorders>
            <w:tcMar>
              <w:top w:w="0" w:type="dxa"/>
              <w:left w:w="62" w:type="dxa"/>
              <w:bottom w:w="0" w:type="dxa"/>
              <w:right w:w="62" w:type="dxa"/>
            </w:tcMar>
          </w:tcPr>
          <w:p w:rsidR="00000000" w:rsidP="00FE33C4">
            <w:pPr>
              <w:pStyle w:val="ListBullet2"/>
              <w:rPr>
                <w:lang w:val="en-NZ"/>
              </w:rPr>
            </w:pPr>
            <w:r w:rsidRPr="00FE33C4">
              <w:t>cash settlement</w:t>
            </w:r>
          </w:p>
        </w:tc>
      </w:tr>
      <w:tr w:rsidTr="00E36756">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E33C4">
            <w:pPr>
              <w:pStyle w:val="BodyText"/>
              <w:rPr>
                <w:lang w:val="en-NZ"/>
              </w:rPr>
            </w:pPr>
            <w:r w:rsidRPr="00FE33C4">
              <w:rPr>
                <w:rStyle w:val="BoldandItalics"/>
              </w:rPr>
              <w:t>Legislation, organisational policy and procedures</w:t>
            </w:r>
            <w:r w:rsidRPr="00FE33C4">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FE33C4" w:rsidP="00FE33C4">
            <w:pPr>
              <w:pStyle w:val="ListBullet2"/>
            </w:pPr>
            <w:r w:rsidRPr="00FE33C4">
              <w:t>legislation related to public land administration</w:t>
            </w:r>
          </w:p>
          <w:p w:rsidR="00000000" w:rsidRPr="00FE33C4" w:rsidP="00FE33C4">
            <w:pPr>
              <w:pStyle w:val="ListBullet2"/>
            </w:pPr>
            <w:r w:rsidRPr="00FE33C4">
              <w:t>p</w:t>
            </w:r>
            <w:r w:rsidRPr="00FE33C4">
              <w:t>ublic sector legislation such as equal employment opportunity, anti-discrimination, diversity, occupational health and safety</w:t>
            </w:r>
          </w:p>
          <w:p w:rsidR="00000000" w:rsidRPr="00FE33C4" w:rsidP="00FE33C4">
            <w:pPr>
              <w:pStyle w:val="ListBullet2"/>
            </w:pPr>
            <w:r w:rsidRPr="00FE33C4">
              <w:t>privacy legislation and freedom of information</w:t>
            </w:r>
          </w:p>
          <w:p w:rsidR="00000000" w:rsidRPr="00FE33C4" w:rsidP="00FE33C4">
            <w:pPr>
              <w:pStyle w:val="ListBullet2"/>
            </w:pPr>
            <w:r w:rsidRPr="00FE33C4">
              <w:t>public sector standards</w:t>
            </w:r>
          </w:p>
          <w:p w:rsidR="00000000" w:rsidRPr="00FE33C4" w:rsidP="00FE33C4">
            <w:pPr>
              <w:pStyle w:val="ListBullet2"/>
            </w:pPr>
            <w:r w:rsidRPr="00FE33C4">
              <w:t>jurisdict</w:t>
            </w:r>
            <w:r w:rsidRPr="00FE33C4">
              <w:t>ional and organisational code/s of practice and code/s of ethics</w:t>
            </w:r>
          </w:p>
          <w:p w:rsidR="00000000" w:rsidRPr="00FE33C4" w:rsidP="00FE33C4">
            <w:pPr>
              <w:pStyle w:val="ListBullet2"/>
            </w:pPr>
            <w:r w:rsidRPr="00FE33C4">
              <w:t>organisational standards</w:t>
            </w:r>
          </w:p>
          <w:p w:rsidR="00000000" w:rsidP="00FE33C4">
            <w:pPr>
              <w:pStyle w:val="ListBullet2"/>
              <w:rPr>
                <w:lang w:val="en-NZ"/>
              </w:rPr>
            </w:pPr>
            <w:r w:rsidRPr="00FE33C4">
              <w:t>industry standards</w:t>
            </w:r>
          </w:p>
        </w:tc>
      </w:tr>
      <w:tr w:rsidTr="00E36756">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E33C4">
            <w:pPr>
              <w:pStyle w:val="BodyText"/>
              <w:rPr>
                <w:lang w:val="en-NZ"/>
              </w:rPr>
            </w:pPr>
            <w:r w:rsidRPr="00FE33C4">
              <w:rPr>
                <w:rStyle w:val="BoldandItalics"/>
              </w:rPr>
              <w:t>Non routine aspects</w:t>
            </w:r>
            <w:r w:rsidRPr="00FE33C4">
              <w:t xml:space="preserve"> may include:</w:t>
            </w:r>
          </w:p>
        </w:tc>
        <w:tc>
          <w:tcPr>
            <w:tcW w:w="6662" w:type="dxa"/>
            <w:tcBorders>
              <w:top w:val="nil"/>
              <w:left w:val="nil"/>
              <w:bottom w:val="nil"/>
              <w:right w:val="nil"/>
            </w:tcBorders>
            <w:tcMar>
              <w:top w:w="0" w:type="dxa"/>
              <w:left w:w="62" w:type="dxa"/>
              <w:bottom w:w="0" w:type="dxa"/>
              <w:right w:w="62" w:type="dxa"/>
            </w:tcMar>
          </w:tcPr>
          <w:p w:rsidR="00000000" w:rsidP="00FE33C4">
            <w:pPr>
              <w:pStyle w:val="ListBullet2"/>
              <w:rPr>
                <w:lang w:val="en-NZ"/>
              </w:rPr>
            </w:pPr>
            <w:r w:rsidRPr="00FE33C4">
              <w:t>special inclusions/exclusions</w:t>
            </w:r>
          </w:p>
        </w:tc>
      </w:tr>
      <w:tr w:rsidTr="00E36756">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E33C4">
            <w:pPr>
              <w:pStyle w:val="BodyText"/>
              <w:rPr>
                <w:lang w:val="en-NZ"/>
              </w:rPr>
            </w:pPr>
            <w:r w:rsidRPr="00FE33C4">
              <w:rPr>
                <w:rStyle w:val="BoldandItalics"/>
              </w:rPr>
              <w:t>Organisational procedures</w:t>
            </w:r>
            <w:r w:rsidRPr="00FE33C4">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FE33C4" w:rsidP="00FE33C4">
            <w:pPr>
              <w:pStyle w:val="ListBullet2"/>
            </w:pPr>
            <w:r w:rsidRPr="00FE33C4">
              <w:t>regulatory requirements</w:t>
            </w:r>
          </w:p>
          <w:p w:rsidR="00000000" w:rsidRPr="00FE33C4" w:rsidP="00FE33C4">
            <w:pPr>
              <w:pStyle w:val="ListBullet2"/>
            </w:pPr>
            <w:r w:rsidRPr="00FE33C4">
              <w:t>industry practice</w:t>
            </w:r>
            <w:r w:rsidRPr="00FE33C4">
              <w:t>s</w:t>
            </w:r>
          </w:p>
          <w:p w:rsidR="00000000" w:rsidP="00FE33C4">
            <w:pPr>
              <w:pStyle w:val="ListBullet2"/>
              <w:rPr>
                <w:lang w:val="en-NZ"/>
              </w:rPr>
            </w:pPr>
            <w:r w:rsidRPr="00FE33C4">
              <w:t>manual or electronic applications</w:t>
            </w:r>
          </w:p>
        </w:tc>
      </w:tr>
      <w:tr w:rsidTr="00E36756">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E33C4">
            <w:pPr>
              <w:pStyle w:val="BodyText"/>
              <w:rPr>
                <w:lang w:val="en-NZ"/>
              </w:rPr>
            </w:pPr>
            <w:r w:rsidRPr="00FE33C4">
              <w:rPr>
                <w:rStyle w:val="BoldandItalics"/>
              </w:rPr>
              <w:t>Organisational procedures</w:t>
            </w:r>
            <w:r w:rsidRPr="00FE33C4">
              <w:t xml:space="preserve"> may be specified in:</w:t>
            </w:r>
          </w:p>
        </w:tc>
        <w:tc>
          <w:tcPr>
            <w:tcW w:w="6662" w:type="dxa"/>
            <w:tcBorders>
              <w:top w:val="nil"/>
              <w:left w:val="nil"/>
              <w:bottom w:val="nil"/>
              <w:right w:val="nil"/>
            </w:tcBorders>
            <w:tcMar>
              <w:top w:w="0" w:type="dxa"/>
              <w:left w:w="62" w:type="dxa"/>
              <w:bottom w:w="0" w:type="dxa"/>
              <w:right w:w="62" w:type="dxa"/>
            </w:tcMar>
          </w:tcPr>
          <w:p w:rsidR="00000000" w:rsidRPr="00FE33C4" w:rsidP="00FE33C4">
            <w:pPr>
              <w:pStyle w:val="ListBullet2"/>
            </w:pPr>
            <w:r w:rsidRPr="00FE33C4">
              <w:t>procedures manual</w:t>
            </w:r>
          </w:p>
          <w:p w:rsidR="00000000" w:rsidRPr="00FE33C4" w:rsidP="00FE33C4">
            <w:pPr>
              <w:pStyle w:val="ListBullet2"/>
            </w:pPr>
            <w:r w:rsidRPr="00FE33C4">
              <w:t>office practice guidelines</w:t>
            </w:r>
          </w:p>
          <w:p w:rsidR="00000000" w:rsidRPr="00FE33C4" w:rsidP="00FE33C4">
            <w:pPr>
              <w:pStyle w:val="ListBullet2"/>
            </w:pPr>
            <w:r w:rsidRPr="00FE33C4">
              <w:t>workplace notices</w:t>
            </w:r>
          </w:p>
          <w:p w:rsidR="00000000" w:rsidRPr="00FE33C4" w:rsidP="00FE33C4">
            <w:pPr>
              <w:pStyle w:val="ListBullet2"/>
            </w:pPr>
            <w:r w:rsidRPr="00FE33C4">
              <w:t>computer training manuals</w:t>
            </w:r>
          </w:p>
        </w:tc>
      </w:tr>
    </w:tbl>
    <w:p w:rsidR="00E36756" w:rsidP="00FE33C4">
      <w:pPr>
        <w:pStyle w:val="BodyText"/>
      </w:pPr>
    </w:p>
    <w:p w:rsidR="00E36756" w:rsidP="00FE33C4">
      <w:pPr>
        <w:pStyle w:val="BodyText"/>
      </w:pPr>
    </w:p>
    <w:p w:rsidR="00000000" w:rsidRPr="00FE33C4" w:rsidP="00FE33C4">
      <w:pPr>
        <w:pStyle w:val="Heading1"/>
      </w:pPr>
      <w:bookmarkStart w:id="12" w:name="O_496968"/>
      <w:bookmarkEnd w:id="12"/>
      <w:r w:rsidRPr="00FE33C4">
        <w:t>Unit Sector(s)</w:t>
      </w:r>
    </w:p>
    <w:p w:rsidR="00000000" w:rsidRPr="00FE33C4" w:rsidP="00FE33C4">
      <w:pPr>
        <w:pStyle w:val="BodyText"/>
      </w:pPr>
      <w:r w:rsidRPr="00FE33C4">
        <w:t>Not applicable.</w:t>
      </w:r>
    </w:p>
    <w:p w:rsidR="00000000" w:rsidRPr="00FE33C4" w:rsidP="00FE33C4">
      <w:pPr>
        <w:pStyle w:val="AllowPageBreak"/>
      </w:pPr>
    </w:p>
    <w:p w:rsidR="00000000" w:rsidRPr="00FE33C4" w:rsidP="00FE33C4">
      <w:pPr>
        <w:pStyle w:val="Heading1"/>
      </w:pPr>
      <w:bookmarkStart w:id="13" w:name="O_496979"/>
      <w:bookmarkEnd w:id="13"/>
      <w:r w:rsidRPr="00FE33C4">
        <w:t>Competency field</w:t>
      </w:r>
    </w:p>
    <w:p w:rsidR="00000000" w:rsidRPr="00FE33C4" w:rsidP="00FE33C4">
      <w:pPr>
        <w:pStyle w:val="BodyText"/>
      </w:pPr>
      <w:r w:rsidRPr="00FE33C4">
        <w:t>Public Land Administration.</w:t>
      </w:r>
    </w:p>
    <w:p w:rsidR="00000000" w:rsidRPr="00FE33C4" w:rsidP="00FE33C4"/>
    <w:sectPr w:rsidSect="00FE33C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3C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36756" w:rsidP="00E3675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3C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756" w:rsidP="00FE33C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E36756" w:rsidP="00FE33C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E36756" w:rsidP="00FE33C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3C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3C4" w:rsidRPr="00E36756" w:rsidP="00E3675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3C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756" w:rsidRPr="002D2AF8" w:rsidP="00FE33C4">
    <w:pPr>
      <w:pStyle w:val="Header"/>
      <w:framePr w:wrap="around"/>
    </w:pPr>
    <w:r>
      <w:fldChar w:fldCharType="begin"/>
    </w:r>
    <w:r>
      <w:instrText xml:space="preserve"> TITLE   \* MERGEFORMAT </w:instrText>
    </w:r>
    <w:r>
      <w:fldChar w:fldCharType="separate"/>
    </w:r>
    <w:r>
      <w:t>PSPLAND409A Handle compensation claims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E36756" w:rsidP="00FE33C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3024C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42C4C16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33C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E33C4"/>
    <w:pPr>
      <w:spacing w:before="360" w:after="60"/>
      <w:outlineLvl w:val="0"/>
    </w:pPr>
    <w:rPr>
      <w:sz w:val="32"/>
    </w:rPr>
  </w:style>
  <w:style w:type="paragraph" w:styleId="Heading2">
    <w:name w:val="heading 2"/>
    <w:basedOn w:val="HeadingBase"/>
    <w:next w:val="BodyText"/>
    <w:link w:val="Heading2Char"/>
    <w:qFormat/>
    <w:rsid w:val="00FE33C4"/>
    <w:pPr>
      <w:keepLines/>
      <w:spacing w:before="240" w:after="120"/>
      <w:outlineLvl w:val="1"/>
    </w:pPr>
    <w:rPr>
      <w:sz w:val="28"/>
      <w:szCs w:val="40"/>
    </w:rPr>
  </w:style>
  <w:style w:type="paragraph" w:styleId="Heading3">
    <w:name w:val="heading 3"/>
    <w:basedOn w:val="HeadingBase"/>
    <w:next w:val="BodyText"/>
    <w:link w:val="Heading3Char"/>
    <w:qFormat/>
    <w:rsid w:val="00FE33C4"/>
    <w:pPr>
      <w:spacing w:before="180" w:after="120"/>
      <w:outlineLvl w:val="2"/>
    </w:pPr>
    <w:rPr>
      <w:spacing w:val="-10"/>
      <w:kern w:val="32"/>
    </w:rPr>
  </w:style>
  <w:style w:type="paragraph" w:styleId="Heading4">
    <w:name w:val="heading 4"/>
    <w:basedOn w:val="HeadingBase"/>
    <w:next w:val="BodyText"/>
    <w:link w:val="Heading4Char"/>
    <w:qFormat/>
    <w:rsid w:val="00FE33C4"/>
    <w:pPr>
      <w:spacing w:before="160" w:after="120"/>
      <w:outlineLvl w:val="3"/>
    </w:pPr>
    <w:rPr>
      <w:sz w:val="22"/>
    </w:rPr>
  </w:style>
  <w:style w:type="paragraph" w:styleId="Heading5">
    <w:name w:val="heading 5"/>
    <w:basedOn w:val="HeadingBase"/>
    <w:next w:val="Normal"/>
    <w:link w:val="Heading5Char"/>
    <w:qFormat/>
    <w:rsid w:val="00FE33C4"/>
    <w:pPr>
      <w:spacing w:before="80"/>
      <w:outlineLvl w:val="4"/>
    </w:pPr>
    <w:rPr>
      <w:color w:val="918585"/>
      <w:sz w:val="20"/>
    </w:rPr>
  </w:style>
  <w:style w:type="paragraph" w:styleId="Heading6">
    <w:name w:val="heading 6"/>
    <w:basedOn w:val="HeadingBase"/>
    <w:next w:val="Normal"/>
    <w:link w:val="Heading6Char"/>
    <w:qFormat/>
    <w:rsid w:val="00FE33C4"/>
    <w:pPr>
      <w:spacing w:before="60"/>
      <w:outlineLvl w:val="5"/>
    </w:pPr>
    <w:rPr>
      <w:color w:val="918585"/>
      <w:sz w:val="20"/>
    </w:rPr>
  </w:style>
  <w:style w:type="paragraph" w:styleId="Heading7">
    <w:name w:val="heading 7"/>
    <w:basedOn w:val="Normal"/>
    <w:next w:val="Normal"/>
    <w:link w:val="Heading7Char"/>
    <w:qFormat/>
    <w:rsid w:val="00FE33C4"/>
    <w:pPr>
      <w:ind w:left="720"/>
      <w:outlineLvl w:val="6"/>
    </w:pPr>
    <w:rPr>
      <w:i/>
    </w:rPr>
  </w:style>
  <w:style w:type="paragraph" w:styleId="Heading8">
    <w:name w:val="heading 8"/>
    <w:basedOn w:val="Normal"/>
    <w:next w:val="Normal"/>
    <w:link w:val="Heading8Char"/>
    <w:qFormat/>
    <w:rsid w:val="00FE33C4"/>
    <w:pPr>
      <w:ind w:left="720"/>
      <w:outlineLvl w:val="7"/>
    </w:pPr>
    <w:rPr>
      <w:i/>
    </w:rPr>
  </w:style>
  <w:style w:type="paragraph" w:styleId="Heading9">
    <w:name w:val="heading 9"/>
    <w:basedOn w:val="Normal"/>
    <w:next w:val="Normal"/>
    <w:link w:val="Heading9Char"/>
    <w:qFormat/>
    <w:rsid w:val="00FE33C4"/>
    <w:pPr>
      <w:ind w:left="720"/>
      <w:outlineLvl w:val="8"/>
    </w:pPr>
    <w:rPr>
      <w:i/>
    </w:rPr>
  </w:style>
  <w:style w:type="character" w:default="1" w:styleId="DefaultParagraphFont">
    <w:name w:val="Default Paragraph Font"/>
    <w:uiPriority w:val="1"/>
    <w:unhideWhenUsed/>
    <w:rsid w:val="00FE33C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33C4"/>
  </w:style>
  <w:style w:type="character" w:customStyle="1" w:styleId="Heading1Char">
    <w:name w:val="Heading 1 Char"/>
    <w:basedOn w:val="DefaultParagraphFont"/>
    <w:link w:val="Heading1"/>
    <w:rsid w:val="00FE33C4"/>
    <w:rPr>
      <w:rFonts w:ascii="Times New Roman" w:eastAsia="Times New Roman" w:hAnsi="Times New Roman" w:cs="Times New Roman"/>
      <w:b/>
      <w:sz w:val="32"/>
      <w:szCs w:val="20"/>
      <w:lang w:eastAsia="en-US"/>
    </w:rPr>
  </w:style>
  <w:style w:type="paragraph" w:styleId="BodyText">
    <w:name w:val="Body Text"/>
    <w:basedOn w:val="Normal"/>
    <w:link w:val="BodyTextChar"/>
    <w:rsid w:val="00FE33C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E33C4"/>
    <w:rPr>
      <w:rFonts w:ascii="Times New Roman" w:eastAsia="Times New Roman" w:hAnsi="Times New Roman" w:cs="Times New Roman"/>
      <w:sz w:val="24"/>
      <w:lang w:eastAsia="en-US"/>
    </w:rPr>
  </w:style>
  <w:style w:type="paragraph" w:styleId="Footer">
    <w:name w:val="footer"/>
    <w:basedOn w:val="Normal"/>
    <w:link w:val="FooterChar"/>
    <w:rsid w:val="00FE33C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33C4"/>
    <w:rPr>
      <w:rFonts w:ascii="Times New Roman" w:eastAsia="Times New Roman" w:hAnsi="Times New Roman" w:cs="Times New Roman"/>
      <w:sz w:val="16"/>
      <w:lang w:eastAsia="en-US"/>
    </w:rPr>
  </w:style>
  <w:style w:type="paragraph" w:styleId="List">
    <w:name w:val="List"/>
    <w:basedOn w:val="BodyText"/>
    <w:next w:val="BodyText"/>
    <w:rsid w:val="00FE33C4"/>
    <w:pPr>
      <w:tabs>
        <w:tab w:val="left" w:pos="340"/>
      </w:tabs>
      <w:spacing w:before="60" w:after="60"/>
      <w:ind w:left="340" w:hanging="340"/>
    </w:pPr>
  </w:style>
  <w:style w:type="character" w:customStyle="1" w:styleId="SpecialBold">
    <w:name w:val="Special Bold"/>
    <w:basedOn w:val="DefaultParagraphFont"/>
    <w:rsid w:val="00FE33C4"/>
    <w:rPr>
      <w:b/>
      <w:spacing w:val="0"/>
    </w:rPr>
  </w:style>
  <w:style w:type="paragraph" w:styleId="ListBullet2">
    <w:name w:val="List Bullet 2"/>
    <w:basedOn w:val="List2"/>
    <w:rsid w:val="00FE33C4"/>
    <w:pPr>
      <w:numPr>
        <w:numId w:val="14"/>
      </w:numPr>
      <w:tabs>
        <w:tab w:val="clear" w:pos="680"/>
      </w:tabs>
    </w:pPr>
  </w:style>
  <w:style w:type="character" w:styleId="Emphasis">
    <w:name w:val="Emphasis"/>
    <w:basedOn w:val="DefaultParagraphFont"/>
    <w:qFormat/>
    <w:rsid w:val="00FE33C4"/>
    <w:rPr>
      <w:i/>
    </w:rPr>
  </w:style>
  <w:style w:type="paragraph" w:customStyle="1" w:styleId="SuperHeading">
    <w:name w:val="SuperHeading"/>
    <w:basedOn w:val="Normal"/>
    <w:rsid w:val="00FE33C4"/>
    <w:pPr>
      <w:spacing w:before="240" w:after="120"/>
      <w:outlineLvl w:val="0"/>
    </w:pPr>
    <w:rPr>
      <w:rFonts w:ascii="Times New Roman" w:hAnsi="Times New Roman"/>
      <w:b/>
      <w:sz w:val="28"/>
    </w:rPr>
  </w:style>
  <w:style w:type="paragraph" w:customStyle="1" w:styleId="AllowPageBreak">
    <w:name w:val="AllowPageBreak"/>
    <w:rsid w:val="00FE33C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E33C4"/>
    <w:pPr>
      <w:numPr>
        <w:numId w:val="2"/>
      </w:numPr>
      <w:tabs>
        <w:tab w:val="clear" w:pos="1021"/>
      </w:tabs>
      <w:ind w:left="1037" w:hanging="357"/>
    </w:pPr>
  </w:style>
  <w:style w:type="character" w:customStyle="1" w:styleId="BoldandItalics">
    <w:name w:val="Bold and Italics"/>
    <w:qFormat/>
    <w:rsid w:val="00FE33C4"/>
    <w:rPr>
      <w:b/>
      <w:i/>
      <w:u w:val="none"/>
    </w:rPr>
  </w:style>
  <w:style w:type="character" w:customStyle="1" w:styleId="Heading2Char">
    <w:name w:val="Heading 2 Char"/>
    <w:basedOn w:val="DefaultParagraphFont"/>
    <w:link w:val="Heading2"/>
    <w:rsid w:val="00FE33C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33C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33C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33C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33C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33C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E33C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E33C4"/>
    <w:rPr>
      <w:rFonts w:ascii="Courier New" w:eastAsia="Times New Roman" w:hAnsi="Courier New" w:cs="Times New Roman"/>
      <w:i/>
      <w:szCs w:val="20"/>
      <w:lang w:eastAsia="en-US"/>
    </w:rPr>
  </w:style>
  <w:style w:type="paragraph" w:customStyle="1" w:styleId="HeadingBase">
    <w:name w:val="Heading Base"/>
    <w:rsid w:val="00FE33C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33C4"/>
    <w:pPr>
      <w:tabs>
        <w:tab w:val="right" w:leader="dot" w:pos="9072"/>
      </w:tabs>
      <w:ind w:left="567"/>
    </w:pPr>
    <w:rPr>
      <w:szCs w:val="22"/>
    </w:rPr>
  </w:style>
  <w:style w:type="paragraph" w:customStyle="1" w:styleId="TOCBase">
    <w:name w:val="TOC Base"/>
    <w:rsid w:val="00FE33C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33C4"/>
    <w:pPr>
      <w:tabs>
        <w:tab w:val="right" w:leader="dot" w:pos="9072"/>
      </w:tabs>
      <w:spacing w:before="40" w:after="40"/>
      <w:ind w:left="284"/>
    </w:pPr>
    <w:rPr>
      <w:rFonts w:ascii="Times New Roman" w:hAnsi="Times New Roman"/>
    </w:rPr>
  </w:style>
  <w:style w:type="paragraph" w:styleId="TOC1">
    <w:name w:val="toc 1"/>
    <w:basedOn w:val="TOCBase"/>
    <w:next w:val="Normal"/>
    <w:rsid w:val="00FE33C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E33C4"/>
    <w:pPr>
      <w:spacing w:before="5040"/>
      <w:jc w:val="center"/>
    </w:pPr>
    <w:rPr>
      <w:sz w:val="48"/>
      <w:szCs w:val="72"/>
      <w:lang w:val="en-US"/>
    </w:rPr>
  </w:style>
  <w:style w:type="character" w:customStyle="1" w:styleId="TitleChar">
    <w:name w:val="Title Char"/>
    <w:basedOn w:val="DefaultParagraphFont"/>
    <w:link w:val="Title"/>
    <w:rsid w:val="00FE33C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33C4"/>
    <w:pPr>
      <w:tabs>
        <w:tab w:val="left" w:pos="3600"/>
        <w:tab w:val="left" w:pos="3958"/>
      </w:tabs>
    </w:pPr>
  </w:style>
  <w:style w:type="paragraph" w:styleId="ListBullet">
    <w:name w:val="List Bullet"/>
    <w:basedOn w:val="List"/>
    <w:rsid w:val="00FE33C4"/>
    <w:pPr>
      <w:numPr>
        <w:numId w:val="13"/>
      </w:numPr>
      <w:tabs>
        <w:tab w:val="clear" w:pos="340"/>
      </w:tabs>
      <w:spacing w:before="40" w:after="40"/>
    </w:pPr>
  </w:style>
  <w:style w:type="paragraph" w:customStyle="1" w:styleId="Note">
    <w:name w:val="Note"/>
    <w:basedOn w:val="BodyText"/>
    <w:rsid w:val="00FE33C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E33C4"/>
    <w:pPr>
      <w:framePr w:wrap="auto" w:hAnchor="text" w:y="6049"/>
    </w:pPr>
    <w:rPr>
      <w:color w:val="000000"/>
      <w:sz w:val="40"/>
    </w:rPr>
  </w:style>
  <w:style w:type="paragraph" w:customStyle="1" w:styleId="TOCTitle">
    <w:name w:val="TOCTitle"/>
    <w:basedOn w:val="Heading1"/>
    <w:rsid w:val="00FE33C4"/>
    <w:pPr>
      <w:spacing w:after="240"/>
      <w:jc w:val="center"/>
      <w:outlineLvl w:val="9"/>
    </w:pPr>
    <w:rPr>
      <w:caps/>
    </w:rPr>
  </w:style>
  <w:style w:type="paragraph" w:customStyle="1" w:styleId="Version">
    <w:name w:val="Version"/>
    <w:rsid w:val="00FE33C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E33C4"/>
    <w:pPr>
      <w:keepNext w:val="0"/>
      <w:tabs>
        <w:tab w:val="right" w:pos="4176"/>
      </w:tabs>
      <w:ind w:left="198" w:hanging="198"/>
    </w:pPr>
    <w:rPr>
      <w:rFonts w:ascii="Garamond" w:hAnsi="Garamond"/>
    </w:rPr>
  </w:style>
  <w:style w:type="paragraph" w:styleId="IndexHeading">
    <w:name w:val="index heading"/>
    <w:basedOn w:val="Normal"/>
    <w:next w:val="Index1"/>
    <w:semiHidden/>
    <w:rsid w:val="00FE33C4"/>
    <w:pPr>
      <w:spacing w:before="120" w:after="120"/>
    </w:pPr>
    <w:rPr>
      <w:rFonts w:ascii="Arial" w:hAnsi="Arial"/>
      <w:b/>
      <w:color w:val="918585"/>
      <w:sz w:val="24"/>
    </w:rPr>
  </w:style>
  <w:style w:type="paragraph" w:styleId="Header">
    <w:name w:val="header"/>
    <w:basedOn w:val="Normal"/>
    <w:link w:val="HeaderChar"/>
    <w:rsid w:val="00FE33C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33C4"/>
    <w:rPr>
      <w:rFonts w:ascii="Times New Roman" w:eastAsia="Times New Roman" w:hAnsi="Times New Roman" w:cs="Times New Roman"/>
      <w:sz w:val="16"/>
      <w:szCs w:val="20"/>
      <w:lang w:val="en-GB" w:eastAsia="en-US"/>
    </w:rPr>
  </w:style>
  <w:style w:type="paragraph" w:customStyle="1" w:styleId="Chapter">
    <w:name w:val="Chapter"/>
    <w:basedOn w:val="Normal"/>
    <w:rsid w:val="00FE33C4"/>
    <w:pPr>
      <w:spacing w:before="240"/>
    </w:pPr>
    <w:rPr>
      <w:rFonts w:ascii="Times New Roman" w:hAnsi="Times New Roman"/>
      <w:smallCaps/>
      <w:spacing w:val="80"/>
      <w:sz w:val="28"/>
    </w:rPr>
  </w:style>
  <w:style w:type="paragraph" w:customStyle="1" w:styleId="InChapter">
    <w:name w:val="InChapter"/>
    <w:basedOn w:val="Heading3"/>
    <w:rsid w:val="00FE33C4"/>
    <w:pPr>
      <w:spacing w:after="240"/>
      <w:outlineLvl w:val="9"/>
    </w:pPr>
    <w:rPr>
      <w:noProof/>
    </w:rPr>
  </w:style>
  <w:style w:type="paragraph" w:styleId="Index2">
    <w:name w:val="index 2"/>
    <w:basedOn w:val="Normal"/>
    <w:next w:val="Normal"/>
    <w:semiHidden/>
    <w:rsid w:val="00FE33C4"/>
    <w:pPr>
      <w:tabs>
        <w:tab w:val="right" w:pos="4176"/>
      </w:tabs>
      <w:ind w:left="568" w:hanging="284"/>
    </w:pPr>
    <w:rPr>
      <w:rFonts w:ascii="Garamond" w:hAnsi="Garamond"/>
    </w:rPr>
  </w:style>
  <w:style w:type="paragraph" w:customStyle="1" w:styleId="Byline">
    <w:name w:val="Byline"/>
    <w:rsid w:val="00FE33C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33C4"/>
    <w:pPr>
      <w:tabs>
        <w:tab w:val="clear" w:pos="3600"/>
        <w:tab w:val="clear" w:pos="3958"/>
      </w:tabs>
      <w:jc w:val="right"/>
    </w:pPr>
  </w:style>
  <w:style w:type="paragraph" w:styleId="Caption">
    <w:name w:val="caption"/>
    <w:basedOn w:val="BodyText"/>
    <w:next w:val="Normal"/>
    <w:qFormat/>
    <w:rsid w:val="00FE33C4"/>
    <w:pPr>
      <w:framePr w:w="2268" w:hSpace="181" w:vSpace="181" w:wrap="around" w:vAnchor="text" w:hAnchor="page" w:x="1135" w:y="285" w:anchorLock="1"/>
    </w:pPr>
    <w:rPr>
      <w:i/>
    </w:rPr>
  </w:style>
  <w:style w:type="paragraph" w:customStyle="1" w:styleId="MiniTOCTitle">
    <w:name w:val="MiniTOCTitle"/>
    <w:basedOn w:val="Heading4"/>
    <w:rsid w:val="00FE33C4"/>
    <w:pPr>
      <w:spacing w:before="240"/>
      <w:outlineLvl w:val="9"/>
    </w:pPr>
    <w:rPr>
      <w:noProof/>
      <w:sz w:val="24"/>
    </w:rPr>
  </w:style>
  <w:style w:type="paragraph" w:customStyle="1" w:styleId="MiniTOCItem">
    <w:name w:val="MiniTOCItem"/>
    <w:basedOn w:val="ListBullet"/>
    <w:rsid w:val="00FE33C4"/>
    <w:pPr>
      <w:numPr>
        <w:numId w:val="0"/>
      </w:numPr>
      <w:tabs>
        <w:tab w:val="right" w:leader="dot" w:pos="6521"/>
      </w:tabs>
      <w:spacing w:before="0" w:after="0"/>
    </w:pPr>
  </w:style>
  <w:style w:type="paragraph" w:customStyle="1" w:styleId="TOFTitle">
    <w:name w:val="TOFTitle"/>
    <w:basedOn w:val="TOCTitle"/>
    <w:rsid w:val="00FE33C4"/>
  </w:style>
  <w:style w:type="paragraph" w:styleId="TableofFigures">
    <w:name w:val="table of figures"/>
    <w:basedOn w:val="Normal"/>
    <w:next w:val="Normal"/>
    <w:semiHidden/>
    <w:rsid w:val="00FE33C4"/>
    <w:pPr>
      <w:tabs>
        <w:tab w:val="right" w:leader="dot" w:pos="9072"/>
      </w:tabs>
      <w:ind w:left="970" w:hanging="403"/>
    </w:pPr>
    <w:rPr>
      <w:rFonts w:ascii="Times New Roman" w:hAnsi="Times New Roman"/>
      <w:b/>
    </w:rPr>
  </w:style>
  <w:style w:type="paragraph" w:styleId="ListNumber">
    <w:name w:val="List Number"/>
    <w:basedOn w:val="List"/>
    <w:rsid w:val="00FE33C4"/>
    <w:pPr>
      <w:numPr>
        <w:numId w:val="11"/>
      </w:numPr>
    </w:pPr>
  </w:style>
  <w:style w:type="character" w:customStyle="1" w:styleId="WingdingSymbols">
    <w:name w:val="Wingding Symbols"/>
    <w:rsid w:val="00FE33C4"/>
    <w:rPr>
      <w:rFonts w:ascii="Wingdings" w:hAnsi="Wingdings"/>
    </w:rPr>
  </w:style>
  <w:style w:type="paragraph" w:customStyle="1" w:styleId="TableHeading">
    <w:name w:val="Table Heading"/>
    <w:basedOn w:val="HeadingBase"/>
    <w:rsid w:val="00FE33C4"/>
    <w:pPr>
      <w:keepLines/>
      <w:pBdr>
        <w:bottom w:val="single" w:sz="6" w:space="1" w:color="918585"/>
      </w:pBdr>
      <w:spacing w:before="240"/>
    </w:pPr>
  </w:style>
  <w:style w:type="character" w:customStyle="1" w:styleId="HotSpot">
    <w:name w:val="HotSpot"/>
    <w:rsid w:val="00FE33C4"/>
    <w:rPr>
      <w:color w:val="0033CC"/>
      <w:u w:val="none"/>
    </w:rPr>
  </w:style>
  <w:style w:type="paragraph" w:customStyle="1" w:styleId="BodyTextRight">
    <w:name w:val="Body Text Right"/>
    <w:basedOn w:val="BodyText"/>
    <w:rsid w:val="00FE33C4"/>
    <w:pPr>
      <w:spacing w:before="0" w:after="0"/>
      <w:jc w:val="right"/>
    </w:pPr>
  </w:style>
  <w:style w:type="paragraph" w:styleId="Index3">
    <w:name w:val="index 3"/>
    <w:basedOn w:val="ListNumber2"/>
    <w:next w:val="Normal"/>
    <w:semiHidden/>
    <w:rsid w:val="00FE33C4"/>
    <w:pPr>
      <w:numPr>
        <w:numId w:val="0"/>
      </w:numPr>
      <w:tabs>
        <w:tab w:val="right" w:leader="dot" w:pos="4176"/>
      </w:tabs>
    </w:pPr>
  </w:style>
  <w:style w:type="paragraph" w:styleId="ListNumber2">
    <w:name w:val="List Number 2"/>
    <w:basedOn w:val="List2"/>
    <w:rsid w:val="00FE33C4"/>
    <w:pPr>
      <w:numPr>
        <w:numId w:val="10"/>
      </w:numPr>
      <w:tabs>
        <w:tab w:val="clear" w:pos="1060"/>
      </w:tabs>
    </w:pPr>
  </w:style>
  <w:style w:type="paragraph" w:customStyle="1" w:styleId="MarginNote">
    <w:name w:val="Margin Note"/>
    <w:basedOn w:val="BodyText"/>
    <w:rsid w:val="00FE33C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33C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33C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E33C4"/>
    <w:rPr>
      <w:sz w:val="32"/>
    </w:rPr>
  </w:style>
  <w:style w:type="paragraph" w:customStyle="1" w:styleId="HeadingProcedure">
    <w:name w:val="Heading Procedure"/>
    <w:basedOn w:val="HeadingBase"/>
    <w:next w:val="Normal"/>
    <w:rsid w:val="00FE33C4"/>
    <w:pPr>
      <w:tabs>
        <w:tab w:val="left" w:pos="0"/>
      </w:tabs>
      <w:spacing w:before="120" w:after="60"/>
    </w:pPr>
    <w:rPr>
      <w:i/>
      <w:color w:val="918585"/>
      <w:sz w:val="22"/>
    </w:rPr>
  </w:style>
  <w:style w:type="paragraph" w:customStyle="1" w:styleId="TableBodyText">
    <w:name w:val="Table Body Text"/>
    <w:basedOn w:val="BodyText"/>
    <w:rsid w:val="00FE33C4"/>
    <w:pPr>
      <w:spacing w:before="60" w:after="60"/>
    </w:pPr>
  </w:style>
  <w:style w:type="paragraph" w:styleId="ListContinue">
    <w:name w:val="List Continue"/>
    <w:basedOn w:val="List"/>
    <w:rsid w:val="00FE33C4"/>
    <w:pPr>
      <w:ind w:firstLine="0"/>
    </w:pPr>
  </w:style>
  <w:style w:type="paragraph" w:customStyle="1" w:styleId="ListNote">
    <w:name w:val="List Note"/>
    <w:basedOn w:val="List"/>
    <w:rsid w:val="00FE33C4"/>
    <w:pPr>
      <w:pBdr>
        <w:top w:val="single" w:sz="6" w:space="2" w:color="918585"/>
        <w:bottom w:val="single" w:sz="6" w:space="2" w:color="918585"/>
      </w:pBdr>
      <w:tabs>
        <w:tab w:val="left" w:pos="1021"/>
      </w:tabs>
      <w:ind w:firstLine="0"/>
    </w:pPr>
  </w:style>
  <w:style w:type="paragraph" w:customStyle="1" w:styleId="Warning">
    <w:name w:val="Warning"/>
    <w:basedOn w:val="BodyText"/>
    <w:rsid w:val="00FE33C4"/>
    <w:pPr>
      <w:shd w:val="clear" w:color="auto" w:fill="D9D9D9"/>
      <w:tabs>
        <w:tab w:val="left" w:pos="992"/>
      </w:tabs>
      <w:ind w:left="119" w:right="119"/>
    </w:pPr>
    <w:rPr>
      <w:sz w:val="20"/>
    </w:rPr>
  </w:style>
  <w:style w:type="paragraph" w:customStyle="1" w:styleId="MarginIcons">
    <w:name w:val="Margin Icons"/>
    <w:basedOn w:val="BodyText"/>
    <w:rsid w:val="00FE33C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33C4"/>
    <w:rPr>
      <w:rFonts w:ascii="Courier New" w:hAnsi="Courier New"/>
    </w:rPr>
  </w:style>
  <w:style w:type="paragraph" w:customStyle="1" w:styleId="NoteBullet">
    <w:name w:val="Note Bullet"/>
    <w:basedOn w:val="Note"/>
    <w:rsid w:val="00FE33C4"/>
    <w:pPr>
      <w:tabs>
        <w:tab w:val="clear" w:pos="680"/>
      </w:tabs>
      <w:spacing w:before="60" w:after="60"/>
    </w:pPr>
  </w:style>
  <w:style w:type="paragraph" w:customStyle="1" w:styleId="SubHeading2">
    <w:name w:val="SubHeading2"/>
    <w:basedOn w:val="HeadingBase"/>
    <w:rsid w:val="00FE33C4"/>
    <w:pPr>
      <w:spacing w:before="240" w:after="60"/>
    </w:pPr>
    <w:rPr>
      <w:sz w:val="20"/>
    </w:rPr>
  </w:style>
  <w:style w:type="paragraph" w:customStyle="1" w:styleId="SubHeading1">
    <w:name w:val="SubHeading1"/>
    <w:basedOn w:val="HeadingBase"/>
    <w:rsid w:val="00FE33C4"/>
    <w:pPr>
      <w:spacing w:before="240" w:after="60"/>
    </w:pPr>
    <w:rPr>
      <w:color w:val="918585"/>
      <w:sz w:val="22"/>
    </w:rPr>
  </w:style>
  <w:style w:type="paragraph" w:customStyle="1" w:styleId="SideHeading">
    <w:name w:val="Side Heading"/>
    <w:basedOn w:val="HeadingBase"/>
    <w:rsid w:val="00FE33C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33C4"/>
    <w:pPr>
      <w:numPr>
        <w:numId w:val="12"/>
      </w:numPr>
    </w:pPr>
  </w:style>
  <w:style w:type="paragraph" w:styleId="PlainText">
    <w:name w:val="Plain Text"/>
    <w:basedOn w:val="Normal"/>
    <w:link w:val="PlainTextChar"/>
    <w:rsid w:val="00FE33C4"/>
    <w:rPr>
      <w:sz w:val="20"/>
    </w:rPr>
  </w:style>
  <w:style w:type="character" w:customStyle="1" w:styleId="PlainTextChar">
    <w:name w:val="Plain Text Char"/>
    <w:basedOn w:val="DefaultParagraphFont"/>
    <w:link w:val="PlainText"/>
    <w:rsid w:val="00FE33C4"/>
    <w:rPr>
      <w:rFonts w:ascii="Courier New" w:eastAsia="Times New Roman" w:hAnsi="Courier New" w:cs="Times New Roman"/>
      <w:sz w:val="20"/>
      <w:szCs w:val="20"/>
      <w:lang w:eastAsia="en-US"/>
    </w:rPr>
  </w:style>
  <w:style w:type="character" w:customStyle="1" w:styleId="MenuOption">
    <w:name w:val="Menu Option"/>
    <w:basedOn w:val="DefaultParagraphFont"/>
    <w:rsid w:val="00FE33C4"/>
    <w:rPr>
      <w:b/>
      <w:smallCaps/>
    </w:rPr>
  </w:style>
  <w:style w:type="paragraph" w:customStyle="1" w:styleId="TableListNumber">
    <w:name w:val="Table List Number"/>
    <w:basedOn w:val="ListNumber"/>
    <w:rsid w:val="00FE33C4"/>
    <w:pPr>
      <w:numPr>
        <w:numId w:val="0"/>
      </w:numPr>
    </w:pPr>
  </w:style>
  <w:style w:type="paragraph" w:styleId="TOC4">
    <w:name w:val="toc 4"/>
    <w:basedOn w:val="TOCBase"/>
    <w:next w:val="Normal"/>
    <w:semiHidden/>
    <w:rsid w:val="00FE33C4"/>
    <w:pPr>
      <w:tabs>
        <w:tab w:val="right" w:leader="dot" w:pos="9071"/>
      </w:tabs>
      <w:ind w:left="1701"/>
    </w:pPr>
  </w:style>
  <w:style w:type="paragraph" w:customStyle="1" w:styleId="ListAlpha">
    <w:name w:val="List Alpha"/>
    <w:basedOn w:val="List"/>
    <w:rsid w:val="00FE33C4"/>
    <w:pPr>
      <w:numPr>
        <w:numId w:val="9"/>
      </w:numPr>
    </w:pPr>
  </w:style>
  <w:style w:type="paragraph" w:customStyle="1" w:styleId="ListAlpha2">
    <w:name w:val="List Alpha 2"/>
    <w:basedOn w:val="List2"/>
    <w:rsid w:val="00FE33C4"/>
    <w:pPr>
      <w:numPr>
        <w:numId w:val="8"/>
      </w:numPr>
    </w:pPr>
  </w:style>
  <w:style w:type="paragraph" w:styleId="List2">
    <w:name w:val="List 2"/>
    <w:basedOn w:val="BodyText"/>
    <w:rsid w:val="00FE33C4"/>
    <w:pPr>
      <w:tabs>
        <w:tab w:val="left" w:pos="680"/>
      </w:tabs>
      <w:spacing w:before="60" w:after="60"/>
      <w:ind w:left="680" w:hanging="340"/>
    </w:pPr>
  </w:style>
  <w:style w:type="paragraph" w:styleId="List3">
    <w:name w:val="List 3"/>
    <w:basedOn w:val="BodyText"/>
    <w:rsid w:val="00FE33C4"/>
    <w:pPr>
      <w:tabs>
        <w:tab w:val="left" w:pos="1021"/>
      </w:tabs>
      <w:spacing w:before="60" w:after="60"/>
      <w:ind w:left="1020" w:hanging="340"/>
    </w:pPr>
  </w:style>
  <w:style w:type="paragraph" w:styleId="List4">
    <w:name w:val="List 4"/>
    <w:basedOn w:val="BodyText"/>
    <w:rsid w:val="00FE33C4"/>
    <w:pPr>
      <w:tabs>
        <w:tab w:val="left" w:pos="1361"/>
      </w:tabs>
      <w:spacing w:before="60" w:after="60"/>
      <w:ind w:left="1361" w:hanging="340"/>
    </w:pPr>
  </w:style>
  <w:style w:type="paragraph" w:styleId="List5">
    <w:name w:val="List 5"/>
    <w:basedOn w:val="BodyText"/>
    <w:rsid w:val="00FE33C4"/>
    <w:pPr>
      <w:tabs>
        <w:tab w:val="left" w:pos="1701"/>
      </w:tabs>
      <w:spacing w:before="60" w:after="60"/>
      <w:ind w:left="1701" w:hanging="340"/>
    </w:pPr>
  </w:style>
  <w:style w:type="paragraph" w:styleId="ListBullet4">
    <w:name w:val="List Bullet 4"/>
    <w:basedOn w:val="List4"/>
    <w:rsid w:val="00FE33C4"/>
    <w:pPr>
      <w:numPr>
        <w:numId w:val="3"/>
      </w:numPr>
    </w:pPr>
  </w:style>
  <w:style w:type="paragraph" w:styleId="ListBullet5">
    <w:name w:val="List Bullet 5"/>
    <w:basedOn w:val="List5"/>
    <w:rsid w:val="00FE33C4"/>
    <w:pPr>
      <w:numPr>
        <w:numId w:val="4"/>
      </w:numPr>
    </w:pPr>
  </w:style>
  <w:style w:type="paragraph" w:styleId="ListContinue2">
    <w:name w:val="List Continue 2"/>
    <w:basedOn w:val="List2"/>
    <w:rsid w:val="00FE33C4"/>
    <w:pPr>
      <w:ind w:firstLine="0"/>
    </w:pPr>
  </w:style>
  <w:style w:type="paragraph" w:styleId="ListContinue3">
    <w:name w:val="List Continue 3"/>
    <w:basedOn w:val="List3"/>
    <w:rsid w:val="00FE33C4"/>
    <w:pPr>
      <w:ind w:left="1021" w:firstLine="0"/>
    </w:pPr>
  </w:style>
  <w:style w:type="paragraph" w:styleId="ListContinue4">
    <w:name w:val="List Continue 4"/>
    <w:basedOn w:val="List4"/>
    <w:rsid w:val="00FE33C4"/>
    <w:pPr>
      <w:ind w:firstLine="0"/>
    </w:pPr>
  </w:style>
  <w:style w:type="paragraph" w:styleId="ListContinue5">
    <w:name w:val="List Continue 5"/>
    <w:basedOn w:val="List5"/>
    <w:rsid w:val="00FE33C4"/>
    <w:pPr>
      <w:ind w:firstLine="0"/>
    </w:pPr>
  </w:style>
  <w:style w:type="paragraph" w:styleId="ListNumber3">
    <w:name w:val="List Number 3"/>
    <w:basedOn w:val="List3"/>
    <w:rsid w:val="00FE33C4"/>
    <w:pPr>
      <w:numPr>
        <w:numId w:val="5"/>
      </w:numPr>
    </w:pPr>
  </w:style>
  <w:style w:type="paragraph" w:styleId="ListNumber4">
    <w:name w:val="List Number 4"/>
    <w:basedOn w:val="List4"/>
    <w:rsid w:val="00FE33C4"/>
    <w:pPr>
      <w:numPr>
        <w:numId w:val="6"/>
      </w:numPr>
    </w:pPr>
  </w:style>
  <w:style w:type="paragraph" w:styleId="ListNumber5">
    <w:name w:val="List Number 5"/>
    <w:basedOn w:val="List5"/>
    <w:rsid w:val="00FE33C4"/>
    <w:pPr>
      <w:numPr>
        <w:numId w:val="7"/>
      </w:numPr>
    </w:pPr>
  </w:style>
  <w:style w:type="paragraph" w:styleId="BlockText">
    <w:name w:val="Block Text"/>
    <w:basedOn w:val="Normal"/>
    <w:rsid w:val="00FE33C4"/>
    <w:pPr>
      <w:spacing w:after="120"/>
      <w:ind w:left="1440" w:right="1440"/>
    </w:pPr>
  </w:style>
  <w:style w:type="character" w:customStyle="1" w:styleId="Subscript">
    <w:name w:val="Subscript"/>
    <w:basedOn w:val="DefaultParagraphFont"/>
    <w:rsid w:val="00FE33C4"/>
    <w:rPr>
      <w:sz w:val="16"/>
      <w:vertAlign w:val="subscript"/>
    </w:rPr>
  </w:style>
  <w:style w:type="character" w:customStyle="1" w:styleId="Superscript">
    <w:name w:val="Superscript"/>
    <w:basedOn w:val="DefaultParagraphFont"/>
    <w:rsid w:val="00FE33C4"/>
    <w:rPr>
      <w:sz w:val="16"/>
      <w:vertAlign w:val="superscript"/>
    </w:rPr>
  </w:style>
  <w:style w:type="character" w:customStyle="1" w:styleId="Symbols">
    <w:name w:val="Symbols"/>
    <w:basedOn w:val="DefaultParagraphFont"/>
    <w:rsid w:val="00FE33C4"/>
    <w:rPr>
      <w:rFonts w:ascii="Symbol" w:hAnsi="Symbol"/>
    </w:rPr>
  </w:style>
  <w:style w:type="character" w:customStyle="1" w:styleId="MenuOptions">
    <w:name w:val="Menu Options"/>
    <w:basedOn w:val="DefaultParagraphFont"/>
    <w:rsid w:val="00FE33C4"/>
    <w:rPr>
      <w:rFonts w:ascii="Arial Narrow" w:hAnsi="Arial Narrow"/>
      <w:smallCaps/>
    </w:rPr>
  </w:style>
  <w:style w:type="character" w:customStyle="1" w:styleId="Buttons">
    <w:name w:val="Buttons"/>
    <w:basedOn w:val="DefaultParagraphFont"/>
    <w:rsid w:val="00FE33C4"/>
    <w:rPr>
      <w:b/>
    </w:rPr>
  </w:style>
  <w:style w:type="character" w:customStyle="1" w:styleId="Underlined">
    <w:name w:val="Underlined"/>
    <w:basedOn w:val="DefaultParagraphFont"/>
    <w:rsid w:val="00FE33C4"/>
    <w:rPr>
      <w:u w:val="single"/>
    </w:rPr>
  </w:style>
  <w:style w:type="paragraph" w:customStyle="1" w:styleId="TableBodyTextRight">
    <w:name w:val="Table Body Text Right"/>
    <w:basedOn w:val="TableBodyText"/>
    <w:rsid w:val="00FE33C4"/>
    <w:pPr>
      <w:widowControl w:val="0"/>
      <w:autoSpaceDE w:val="0"/>
      <w:autoSpaceDN w:val="0"/>
      <w:adjustRightInd w:val="0"/>
      <w:jc w:val="right"/>
    </w:pPr>
    <w:rPr>
      <w:rFonts w:cs="Arial"/>
      <w:szCs w:val="18"/>
    </w:rPr>
  </w:style>
  <w:style w:type="paragraph" w:customStyle="1" w:styleId="CopyrightText">
    <w:name w:val="Copyright Text"/>
    <w:basedOn w:val="BodyText"/>
    <w:rsid w:val="00FE33C4"/>
    <w:rPr>
      <w:sz w:val="18"/>
    </w:rPr>
  </w:style>
  <w:style w:type="paragraph" w:customStyle="1" w:styleId="BodySmallRight">
    <w:name w:val="Body Small Right"/>
    <w:basedOn w:val="BodyTextRight"/>
    <w:rsid w:val="00FE33C4"/>
    <w:rPr>
      <w:sz w:val="18"/>
      <w:szCs w:val="18"/>
    </w:rPr>
  </w:style>
  <w:style w:type="paragraph" w:customStyle="1" w:styleId="MarginEdition">
    <w:name w:val="Margin Edition"/>
    <w:basedOn w:val="MarginNote"/>
    <w:rsid w:val="00FE33C4"/>
    <w:pPr>
      <w:spacing w:before="0" w:after="0"/>
    </w:pPr>
    <w:rPr>
      <w:rFonts w:ascii="Times New Roman" w:hAnsi="Times New Roman"/>
      <w:color w:val="999999"/>
    </w:rPr>
  </w:style>
  <w:style w:type="paragraph" w:customStyle="1" w:styleId="Spacer">
    <w:name w:val="Spacer"/>
    <w:basedOn w:val="Normal"/>
    <w:rsid w:val="00FE33C4"/>
    <w:rPr>
      <w:sz w:val="2"/>
      <w:szCs w:val="2"/>
    </w:rPr>
  </w:style>
  <w:style w:type="character" w:customStyle="1" w:styleId="Small">
    <w:name w:val="Small"/>
    <w:basedOn w:val="DefaultParagraphFont"/>
    <w:rsid w:val="00FE33C4"/>
    <w:rPr>
      <w:sz w:val="16"/>
    </w:rPr>
  </w:style>
  <w:style w:type="paragraph" w:customStyle="1" w:styleId="WideTable">
    <w:name w:val="Wide Table"/>
    <w:basedOn w:val="Normal"/>
    <w:rsid w:val="00FE33C4"/>
    <w:pPr>
      <w:ind w:left="-1418"/>
    </w:pPr>
    <w:rPr>
      <w:sz w:val="2"/>
      <w:szCs w:val="2"/>
    </w:rPr>
  </w:style>
  <w:style w:type="character" w:styleId="PageNumber">
    <w:name w:val="page number"/>
    <w:basedOn w:val="DefaultParagraphFont"/>
    <w:rsid w:val="00FE33C4"/>
  </w:style>
  <w:style w:type="paragraph" w:styleId="Quote">
    <w:name w:val="Quote"/>
    <w:basedOn w:val="Heading1"/>
    <w:link w:val="QuoteChar"/>
    <w:qFormat/>
    <w:rsid w:val="00FE33C4"/>
    <w:rPr>
      <w:b w:val="0"/>
      <w:sz w:val="72"/>
      <w:szCs w:val="72"/>
      <w:lang w:val="en-NZ"/>
    </w:rPr>
  </w:style>
  <w:style w:type="character" w:customStyle="1" w:styleId="QuoteChar">
    <w:name w:val="Quote Char"/>
    <w:basedOn w:val="DefaultParagraphFont"/>
    <w:link w:val="Quote"/>
    <w:rsid w:val="00FE33C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33C4"/>
    <w:pPr>
      <w:pageBreakBefore/>
    </w:pPr>
  </w:style>
  <w:style w:type="paragraph" w:customStyle="1" w:styleId="Border">
    <w:name w:val="Border"/>
    <w:basedOn w:val="Normal"/>
    <w:qFormat/>
    <w:rsid w:val="00FE33C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33C4"/>
    <w:rPr>
      <w:b/>
      <w:bCs/>
      <w:i/>
      <w:iCs/>
      <w:color w:val="auto"/>
    </w:rPr>
  </w:style>
  <w:style w:type="paragraph" w:styleId="IntenseQuote">
    <w:name w:val="Intense Quote"/>
    <w:basedOn w:val="Normal"/>
    <w:next w:val="Normal"/>
    <w:link w:val="IntenseQuoteChar"/>
    <w:uiPriority w:val="30"/>
    <w:qFormat/>
    <w:rsid w:val="00FE33C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33C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E33C4"/>
    <w:rPr>
      <w:smallCaps/>
      <w:color w:val="auto"/>
      <w:u w:val="single"/>
    </w:rPr>
  </w:style>
  <w:style w:type="character" w:styleId="IntenseReference">
    <w:name w:val="Intense Reference"/>
    <w:basedOn w:val="DefaultParagraphFont"/>
    <w:uiPriority w:val="32"/>
    <w:qFormat/>
    <w:rsid w:val="00FE33C4"/>
    <w:rPr>
      <w:b/>
      <w:bCs/>
      <w:smallCaps/>
      <w:color w:val="auto"/>
      <w:spacing w:val="5"/>
      <w:u w:val="single"/>
    </w:rPr>
  </w:style>
  <w:style w:type="paragraph" w:customStyle="1" w:styleId="2ColumnHeading">
    <w:name w:val="2Column Heading"/>
    <w:basedOn w:val="BodyText"/>
    <w:qFormat/>
    <w:rsid w:val="00FE33C4"/>
    <w:pPr>
      <w:spacing w:after="60"/>
      <w:ind w:left="-2268"/>
    </w:pPr>
    <w:rPr>
      <w:b/>
    </w:rPr>
  </w:style>
  <w:style w:type="paragraph" w:customStyle="1" w:styleId="Heading1TOC">
    <w:name w:val="Heading1 TOC"/>
    <w:basedOn w:val="Normal"/>
    <w:qFormat/>
    <w:rsid w:val="00FE33C4"/>
    <w:pPr>
      <w:spacing w:before="240" w:after="120"/>
    </w:pPr>
    <w:rPr>
      <w:rFonts w:ascii="Times New Roman" w:hAnsi="Times New Roman"/>
      <w:b/>
      <w:sz w:val="32"/>
    </w:rPr>
  </w:style>
  <w:style w:type="paragraph" w:customStyle="1" w:styleId="Heading2TOC">
    <w:name w:val="Heading2 TOC"/>
    <w:basedOn w:val="Normal"/>
    <w:qFormat/>
    <w:rsid w:val="00FE33C4"/>
    <w:pPr>
      <w:spacing w:before="240" w:after="60"/>
    </w:pPr>
    <w:rPr>
      <w:rFonts w:ascii="Times New Roman" w:hAnsi="Times New Roman"/>
      <w:b/>
      <w:sz w:val="28"/>
    </w:rPr>
  </w:style>
  <w:style w:type="character" w:customStyle="1" w:styleId="Underline">
    <w:name w:val="Underline"/>
    <w:basedOn w:val="DefaultParagraphFont"/>
    <w:qFormat/>
    <w:rsid w:val="00FE33C4"/>
    <w:rPr>
      <w:u w:val="single"/>
    </w:rPr>
  </w:style>
  <w:style w:type="paragraph" w:styleId="BalloonText">
    <w:name w:val="Balloon Text"/>
    <w:basedOn w:val="Normal"/>
    <w:link w:val="BalloonTextChar"/>
    <w:rsid w:val="00FE33C4"/>
    <w:rPr>
      <w:rFonts w:ascii="Tahoma" w:hAnsi="Tahoma" w:cs="Tahoma"/>
      <w:sz w:val="16"/>
      <w:szCs w:val="16"/>
    </w:rPr>
  </w:style>
  <w:style w:type="character" w:customStyle="1" w:styleId="BalloonTextChar">
    <w:name w:val="Balloon Text Char"/>
    <w:basedOn w:val="DefaultParagraphFont"/>
    <w:link w:val="BalloonText"/>
    <w:rsid w:val="00FE33C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E33C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E33C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E33C4"/>
    <w:rPr>
      <w:b/>
      <w:color w:val="660033"/>
      <w:spacing w:val="0"/>
    </w:rPr>
  </w:style>
  <w:style w:type="paragraph" w:customStyle="1" w:styleId="Nameditemlist">
    <w:name w:val="Named item list"/>
    <w:basedOn w:val="BodyText"/>
    <w:qFormat/>
    <w:rsid w:val="00FE33C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1098</Words>
  <Characters>7091</Characters>
  <Application>Microsoft Office Word</Application>
  <DocSecurity>0</DocSecurity>
  <Lines>245</Lines>
  <Paragraphs>141</Paragraphs>
  <ScaleCrop>false</ScaleCrop>
  <Company>Author-it Software Corporation Ltd.</Company>
  <LinksUpToDate>false</LinksUpToDate>
  <CharactersWithSpaces>8131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PSPLAND409A Handle compensation claims</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2012-11-01T17:04:00Z</dcterms:created>
  <dcterms:modified xsi:type="dcterms:W3CDTF">2012-11-01T17:04:00Z</dcterms:modified>
</cp:coreProperties>
</file>