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729" w:rsidP="00157729">
      <w:pPr>
        <w:pStyle w:val="Title"/>
      </w:pPr>
      <w:bookmarkStart w:id="0" w:name="_GoBack"/>
      <w:bookmarkEnd w:id="0"/>
      <w:r>
        <w:fldChar w:fldCharType="begin"/>
      </w:r>
      <w:r>
        <w:instrText xml:space="preserve"> TITLE   \* MERGEFORMAT </w:instrText>
      </w:r>
      <w:r>
        <w:fldChar w:fldCharType="separate"/>
      </w:r>
      <w:r>
        <w:t>PSPLAND404A Investigate tenure applications</w:t>
      </w:r>
      <w:r>
        <w:fldChar w:fldCharType="end"/>
      </w:r>
    </w:p>
    <w:p w:rsidR="00157729" w:rsidP="00157729">
      <w:pPr>
        <w:pStyle w:val="Version"/>
        <w:sectPr w:rsidSect="00150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502A7" w:rsidP="001502A7">
      <w:pPr>
        <w:pStyle w:val="SuperHeading"/>
      </w:pPr>
      <w:r w:rsidRPr="001502A7">
        <w:t>PSPLAND404A Investigate tenure applications</w:t>
      </w:r>
    </w:p>
    <w:p w:rsidR="00000000" w:rsidRPr="001502A7" w:rsidP="001502A7">
      <w:pPr>
        <w:pStyle w:val="SuperHeading"/>
      </w:pPr>
    </w:p>
    <w:p w:rsidR="00000000" w:rsidRPr="001502A7" w:rsidP="001502A7">
      <w:pPr>
        <w:pStyle w:val="Heading1"/>
      </w:pPr>
      <w:bookmarkStart w:id="1" w:name="O_496888"/>
      <w:bookmarkEnd w:id="1"/>
      <w:r w:rsidRPr="001502A7">
        <w:t>Modification History</w:t>
      </w:r>
    </w:p>
    <w:tbl>
      <w:tblPr>
        <w:tblW w:w="0" w:type="auto"/>
        <w:tblLayout w:type="fixed"/>
        <w:tblCellMar>
          <w:left w:w="62" w:type="dxa"/>
          <w:right w:w="62" w:type="dxa"/>
        </w:tblCellMar>
        <w:tblLook w:val="0000"/>
      </w:tblPr>
      <w:tblGrid>
        <w:gridCol w:w="3052"/>
        <w:gridCol w:w="3052"/>
        <w:gridCol w:w="3052"/>
      </w:tblGrid>
      <w:tr w:rsidTr="001577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A7" w:rsidP="001502A7">
            <w:pPr>
              <w:pStyle w:val="BodyText"/>
            </w:pPr>
            <w:r w:rsidRPr="001502A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A7" w:rsidP="001502A7">
            <w:pPr>
              <w:pStyle w:val="BodyText"/>
            </w:pPr>
            <w:r w:rsidRPr="001502A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rPr>
                <w:rStyle w:val="SpecialBold"/>
              </w:rPr>
              <w:t>Comments</w:t>
            </w:r>
          </w:p>
        </w:tc>
      </w:tr>
      <w:tr w:rsidTr="001577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 xml:space="preserve">Unit descriptor edited. </w:t>
            </w:r>
          </w:p>
        </w:tc>
      </w:tr>
      <w:tr w:rsidTr="001577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Layout adjusted. No changes to content.</w:t>
            </w:r>
          </w:p>
        </w:tc>
      </w:tr>
      <w:tr w:rsidTr="0015772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2A7">
            <w:pPr>
              <w:pStyle w:val="BodyText"/>
              <w:rPr>
                <w:lang w:val="en-NZ"/>
              </w:rPr>
            </w:pPr>
            <w:r w:rsidRPr="001502A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2A7" w:rsidP="001502A7">
            <w:pPr>
              <w:pStyle w:val="BodyText"/>
            </w:pPr>
            <w:r w:rsidRPr="001502A7">
              <w:t>Primary release.</w:t>
            </w:r>
          </w:p>
        </w:tc>
      </w:tr>
    </w:tbl>
    <w:p w:rsidR="00000000" w:rsidRPr="001502A7" w:rsidP="001502A7">
      <w:pPr>
        <w:pStyle w:val="BodyText"/>
      </w:pPr>
    </w:p>
    <w:p w:rsidR="00000000" w:rsidRPr="001502A7" w:rsidP="001502A7">
      <w:pPr>
        <w:pStyle w:val="AllowPageBreak"/>
      </w:pPr>
    </w:p>
    <w:p w:rsidR="00000000" w:rsidRPr="001502A7" w:rsidP="001502A7">
      <w:pPr>
        <w:pStyle w:val="Heading1"/>
      </w:pPr>
      <w:bookmarkStart w:id="2" w:name="O_496883"/>
      <w:bookmarkEnd w:id="2"/>
      <w:r w:rsidRPr="001502A7">
        <w:t>Unit Descriptor</w:t>
      </w:r>
    </w:p>
    <w:p w:rsidR="00000000" w:rsidRPr="001502A7" w:rsidP="001502A7">
      <w:pPr>
        <w:pStyle w:val="BodyText"/>
      </w:pPr>
      <w:r w:rsidRPr="001502A7">
        <w:t>This unit covers the competency to investigate tenure applications. It includes preparing a complex land tenure and ownership report, setting tenure co</w:t>
      </w:r>
      <w:r w:rsidRPr="001502A7">
        <w:t>nditions/covenants, determining rental, and providing advice on tenure administration.</w:t>
      </w:r>
    </w:p>
    <w:p w:rsidR="00000000" w:rsidRPr="001502A7" w:rsidP="001502A7">
      <w:pPr>
        <w:pStyle w:val="BodyText"/>
      </w:pPr>
      <w:r w:rsidRPr="001502A7">
        <w:t>In practice, investigating tenure applications may overlap with other generalist or specialist public sector work activities such as working ethically, complying with le</w:t>
      </w:r>
      <w:r w:rsidRPr="001502A7">
        <w:t>gislation, applying government processes, using resources, gathering and analysing information, working with diversity.</w:t>
      </w:r>
    </w:p>
    <w:p w:rsidR="00157729" w:rsidP="001502A7">
      <w:pPr>
        <w:pStyle w:val="BodyText"/>
      </w:pPr>
      <w:r w:rsidRPr="001502A7">
        <w:t>No licensing, legislative, regulatory or certification requirements apply to this unit at the time of publication</w:t>
      </w:r>
    </w:p>
    <w:p w:rsidR="00157729" w:rsidP="001502A7">
      <w:pPr>
        <w:pStyle w:val="BodyText"/>
      </w:pPr>
    </w:p>
    <w:p w:rsidR="00000000" w:rsidRPr="001502A7" w:rsidP="001502A7">
      <w:pPr>
        <w:pStyle w:val="Heading1"/>
      </w:pPr>
      <w:bookmarkStart w:id="3" w:name="O_496895"/>
      <w:bookmarkEnd w:id="3"/>
      <w:r w:rsidRPr="001502A7">
        <w:t>Appl</w:t>
      </w:r>
      <w:r w:rsidRPr="001502A7">
        <w:t>ication of the Unit</w:t>
      </w:r>
    </w:p>
    <w:p w:rsidR="00000000" w:rsidRPr="001502A7" w:rsidP="001502A7">
      <w:pPr>
        <w:pStyle w:val="BodyText"/>
      </w:pPr>
      <w:r w:rsidRPr="001502A7">
        <w:t>Not applicable.</w:t>
      </w:r>
    </w:p>
    <w:p w:rsidR="00000000" w:rsidRPr="001502A7" w:rsidP="001502A7">
      <w:pPr>
        <w:pStyle w:val="AllowPageBreak"/>
      </w:pPr>
    </w:p>
    <w:p w:rsidR="00000000" w:rsidRPr="001502A7" w:rsidP="001502A7">
      <w:pPr>
        <w:pStyle w:val="Heading1"/>
      </w:pPr>
      <w:bookmarkStart w:id="4" w:name="O_496884"/>
      <w:bookmarkEnd w:id="4"/>
      <w:r w:rsidRPr="001502A7">
        <w:t>Licensing/Regulatory Information</w:t>
      </w:r>
    </w:p>
    <w:p w:rsidR="00000000" w:rsidRPr="001502A7" w:rsidP="001502A7">
      <w:pPr>
        <w:pStyle w:val="BodyText"/>
      </w:pPr>
      <w:r w:rsidRPr="001502A7">
        <w:t>Not applicable.</w:t>
      </w:r>
    </w:p>
    <w:p w:rsidR="00000000" w:rsidRPr="001502A7" w:rsidP="001502A7">
      <w:pPr>
        <w:pStyle w:val="AllowPageBreak"/>
      </w:pPr>
    </w:p>
    <w:p w:rsidR="00000000" w:rsidRPr="001502A7" w:rsidP="001502A7">
      <w:pPr>
        <w:pStyle w:val="Heading1"/>
      </w:pPr>
      <w:bookmarkStart w:id="5" w:name="O_496887"/>
      <w:bookmarkEnd w:id="5"/>
      <w:r w:rsidRPr="001502A7">
        <w:t>Pre-Requisites</w:t>
      </w:r>
    </w:p>
    <w:p w:rsidR="00000000" w:rsidRPr="001502A7" w:rsidP="001502A7">
      <w:pPr>
        <w:pStyle w:val="BodyText"/>
      </w:pPr>
      <w:r w:rsidRPr="001502A7">
        <w:t>Not applicable.</w:t>
      </w:r>
    </w:p>
    <w:p w:rsidR="00000000" w:rsidRPr="001502A7" w:rsidP="001502A7">
      <w:pPr>
        <w:pStyle w:val="AllowPageBreak"/>
      </w:pPr>
    </w:p>
    <w:p w:rsidR="00000000" w:rsidRPr="001502A7" w:rsidP="001502A7">
      <w:pPr>
        <w:pStyle w:val="Heading1"/>
      </w:pPr>
      <w:bookmarkStart w:id="6" w:name="O_496892"/>
      <w:bookmarkEnd w:id="6"/>
      <w:r w:rsidRPr="001502A7">
        <w:t>Employability Skills Information</w:t>
      </w:r>
    </w:p>
    <w:p w:rsidR="00000000" w:rsidRPr="001502A7" w:rsidP="001502A7">
      <w:pPr>
        <w:pStyle w:val="BodyText"/>
      </w:pPr>
      <w:r w:rsidRPr="001502A7">
        <w:t>This unit contains employability skills.</w:t>
      </w:r>
    </w:p>
    <w:p w:rsidR="00000000" w:rsidRPr="001502A7" w:rsidP="001502A7">
      <w:pPr>
        <w:pStyle w:val="AllowPageBreak"/>
      </w:pPr>
    </w:p>
    <w:p w:rsidR="00000000" w:rsidRPr="001502A7" w:rsidP="001502A7">
      <w:pPr>
        <w:pStyle w:val="Heading1"/>
      </w:pPr>
      <w:bookmarkStart w:id="7" w:name="O_496891"/>
      <w:bookmarkEnd w:id="7"/>
      <w:r w:rsidRPr="001502A7">
        <w:t>Elements and Performance Criteria Pre-Content</w:t>
      </w:r>
    </w:p>
    <w:tbl>
      <w:tblPr>
        <w:tblW w:w="9322" w:type="dxa"/>
        <w:tblLayout w:type="fixed"/>
        <w:tblCellMar>
          <w:left w:w="62" w:type="dxa"/>
          <w:right w:w="62" w:type="dxa"/>
        </w:tblCellMar>
        <w:tblLook w:val="0000"/>
      </w:tblPr>
      <w:tblGrid>
        <w:gridCol w:w="2660"/>
        <w:gridCol w:w="6662"/>
      </w:tblGrid>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t>Together, performance criteria specify the requirements for competent performance. Text in</w:t>
            </w:r>
            <w:r w:rsidRPr="001502A7">
              <w:rPr>
                <w:rStyle w:val="BoldandItalics"/>
              </w:rPr>
              <w:t xml:space="preserve"> bold italics </w:t>
            </w:r>
            <w:r w:rsidRPr="001502A7">
              <w:t>is explained in the Range</w:t>
            </w:r>
            <w:r w:rsidRPr="001502A7">
              <w:t xml:space="preserve"> Statement following.</w:t>
            </w:r>
          </w:p>
        </w:tc>
      </w:tr>
    </w:tbl>
    <w:p w:rsidR="00000000" w:rsidRPr="001502A7" w:rsidP="001502A7">
      <w:pPr>
        <w:pStyle w:val="BodyText"/>
      </w:pPr>
    </w:p>
    <w:p w:rsidR="00000000" w:rsidRPr="001502A7" w:rsidP="001502A7">
      <w:pPr>
        <w:pStyle w:val="AllowPageBreak"/>
      </w:pPr>
    </w:p>
    <w:p w:rsidR="00000000" w:rsidRPr="001502A7" w:rsidP="001502A7">
      <w:pPr>
        <w:pStyle w:val="Heading1"/>
      </w:pPr>
      <w:bookmarkStart w:id="8" w:name="O_496893"/>
      <w:bookmarkEnd w:id="8"/>
      <w:r w:rsidRPr="001502A7">
        <w:t>Elements and Performance Criteria</w:t>
      </w:r>
    </w:p>
    <w:tbl>
      <w:tblPr>
        <w:tblW w:w="9322" w:type="dxa"/>
        <w:tblLayout w:type="fixed"/>
        <w:tblCellMar>
          <w:left w:w="62" w:type="dxa"/>
          <w:right w:w="62" w:type="dxa"/>
        </w:tblCellMar>
        <w:tblLook w:val="0000"/>
      </w:tblPr>
      <w:tblGrid>
        <w:gridCol w:w="2660"/>
        <w:gridCol w:w="6662"/>
      </w:tblGrid>
      <w:tr w:rsidTr="0015772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SpecialBold"/>
              </w:rPr>
              <w:t>PERFORMANCE CRITERIA</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List"/>
              <w:rPr>
                <w:lang w:val="en-NZ"/>
              </w:rPr>
            </w:pPr>
            <w:r w:rsidRPr="001502A7">
              <w:rPr>
                <w:rStyle w:val="SpecialBold"/>
              </w:rPr>
              <w:t>1</w:t>
            </w:r>
            <w:r w:rsidRPr="001502A7">
              <w:t xml:space="preserve">.  </w:t>
            </w:r>
            <w:r w:rsidRPr="001502A7">
              <w:tab/>
            </w:r>
            <w:r w:rsidRPr="001502A7">
              <w:rPr>
                <w:rStyle w:val="SpecialBold"/>
              </w:rPr>
              <w:t>Prepare a complex land tenure</w:t>
            </w:r>
            <w:r w:rsidRPr="001502A7">
              <w:t xml:space="preserve">/ </w:t>
            </w:r>
            <w:r w:rsidRPr="001502A7">
              <w:rPr>
                <w:rStyle w:val="SpecialBold"/>
              </w:rPr>
              <w:t>ownership report</w:t>
            </w:r>
            <w:r w:rsidRPr="001502A7">
              <w:t xml:space="preserve"> </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
            </w:pPr>
            <w:r w:rsidRPr="001502A7">
              <w:t>1.1</w:t>
            </w:r>
            <w:r w:rsidRPr="001502A7">
              <w:tab/>
              <w:t xml:space="preserve">The purpose of the </w:t>
            </w:r>
            <w:r w:rsidRPr="001502A7">
              <w:rPr>
                <w:rStyle w:val="BoldandItalics"/>
              </w:rPr>
              <w:t>land tenure/ownership report</w:t>
            </w:r>
            <w:r w:rsidRPr="001502A7">
              <w:t xml:space="preserve"> is established.</w:t>
            </w:r>
          </w:p>
          <w:p w:rsidR="00000000" w:rsidRPr="001502A7" w:rsidP="001502A7">
            <w:pPr>
              <w:pStyle w:val="List"/>
            </w:pPr>
            <w:r w:rsidRPr="001502A7">
              <w:t>1.2</w:t>
            </w:r>
            <w:r w:rsidRPr="001502A7">
              <w:tab/>
            </w:r>
            <w:r w:rsidRPr="001502A7">
              <w:t>The extent of the area of the report is established.</w:t>
            </w:r>
          </w:p>
          <w:p w:rsidR="00000000" w:rsidRPr="001502A7" w:rsidP="001502A7">
            <w:pPr>
              <w:pStyle w:val="List"/>
            </w:pPr>
            <w:r w:rsidRPr="001502A7">
              <w:t>1.3</w:t>
            </w:r>
            <w:r w:rsidRPr="001502A7">
              <w:tab/>
              <w:t>The information required for the report is gathered.</w:t>
            </w:r>
          </w:p>
          <w:p w:rsidR="00000000" w:rsidRPr="001502A7" w:rsidP="001502A7">
            <w:pPr>
              <w:pStyle w:val="List"/>
            </w:pPr>
            <w:r w:rsidRPr="001502A7">
              <w:t>1.4</w:t>
            </w:r>
            <w:r w:rsidRPr="001502A7">
              <w:tab/>
              <w:t>Information gathered during the investigation is analysed and interpreted to determine the current land tenure/ ownership of the area.</w:t>
            </w:r>
          </w:p>
          <w:p w:rsidR="00000000" w:rsidP="001502A7">
            <w:pPr>
              <w:pStyle w:val="List"/>
              <w:rPr>
                <w:lang w:val="en-NZ"/>
              </w:rPr>
            </w:pPr>
            <w:r w:rsidRPr="001502A7">
              <w:t>1.5</w:t>
            </w:r>
            <w:r w:rsidRPr="001502A7">
              <w:tab/>
              <w:t>The</w:t>
            </w:r>
            <w:r w:rsidRPr="001502A7">
              <w:t xml:space="preserve"> report and accompanying documentation is prepared in accordance to the</w:t>
            </w:r>
            <w:r w:rsidRPr="001502A7">
              <w:rPr>
                <w:rStyle w:val="BoldandItalics"/>
              </w:rPr>
              <w:t xml:space="preserve"> organisational procedures</w:t>
            </w:r>
            <w:r w:rsidRPr="001502A7">
              <w:t>.</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List"/>
              <w:rPr>
                <w:lang w:val="en-NZ"/>
              </w:rPr>
            </w:pPr>
            <w:r w:rsidRPr="001502A7">
              <w:rPr>
                <w:rStyle w:val="SpecialBold"/>
              </w:rPr>
              <w:t>2</w:t>
            </w:r>
            <w:r w:rsidRPr="001502A7">
              <w:t xml:space="preserve">.  </w:t>
            </w:r>
            <w:r w:rsidRPr="001502A7">
              <w:tab/>
            </w:r>
            <w:r w:rsidRPr="001502A7">
              <w:rPr>
                <w:rStyle w:val="SpecialBold"/>
              </w:rPr>
              <w:t>Set tenure conditions</w:t>
            </w:r>
            <w:r w:rsidRPr="001502A7">
              <w:t>/</w:t>
            </w:r>
            <w:r w:rsidRPr="001502A7">
              <w:rPr>
                <w:rStyle w:val="SpecialBold"/>
              </w:rPr>
              <w:t>covenants</w:t>
            </w:r>
            <w:r w:rsidRPr="001502A7">
              <w:t xml:space="preserve"> </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
            </w:pPr>
            <w:r w:rsidRPr="001502A7">
              <w:t>2.1</w:t>
            </w:r>
            <w:r w:rsidRPr="001502A7">
              <w:tab/>
              <w:t>The need to impose</w:t>
            </w:r>
            <w:r w:rsidRPr="001502A7">
              <w:rPr>
                <w:rStyle w:val="BoldandItalics"/>
              </w:rPr>
              <w:t xml:space="preserve"> tenure conditions/covenants </w:t>
            </w:r>
            <w:r w:rsidRPr="001502A7">
              <w:t>is established.</w:t>
            </w:r>
          </w:p>
          <w:p w:rsidR="00000000" w:rsidRPr="001502A7" w:rsidP="001502A7">
            <w:pPr>
              <w:pStyle w:val="List"/>
            </w:pPr>
            <w:r w:rsidRPr="001502A7">
              <w:t>2.2</w:t>
            </w:r>
            <w:r w:rsidRPr="001502A7">
              <w:tab/>
            </w:r>
            <w:r w:rsidRPr="001502A7">
              <w:rPr>
                <w:rStyle w:val="BoldandItalics"/>
              </w:rPr>
              <w:t xml:space="preserve">Conditions/covenants are prepared </w:t>
            </w:r>
            <w:r w:rsidRPr="001502A7">
              <w:t>in accordance</w:t>
            </w:r>
            <w:r w:rsidRPr="001502A7">
              <w:t xml:space="preserve"> with organisational policies and procedures.</w:t>
            </w:r>
          </w:p>
          <w:p w:rsidR="00000000" w:rsidRPr="001502A7" w:rsidP="001502A7">
            <w:pPr>
              <w:pStyle w:val="List"/>
            </w:pPr>
            <w:r w:rsidRPr="001502A7">
              <w:t>2.3</w:t>
            </w:r>
            <w:r w:rsidRPr="001502A7">
              <w:tab/>
              <w:t>Acceptance of conditions/covenants is successfully negotiated with affected parties.</w:t>
            </w:r>
          </w:p>
          <w:p w:rsidR="00000000" w:rsidP="001502A7">
            <w:pPr>
              <w:pStyle w:val="List"/>
              <w:rPr>
                <w:lang w:val="en-NZ"/>
              </w:rPr>
            </w:pPr>
            <w:r w:rsidRPr="001502A7">
              <w:t>2.4</w:t>
            </w:r>
            <w:r w:rsidRPr="001502A7">
              <w:tab/>
              <w:t>Final documentation is directed to the appropriate personnel for action.</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List"/>
              <w:rPr>
                <w:lang w:val="en-NZ"/>
              </w:rPr>
            </w:pPr>
            <w:r w:rsidRPr="001502A7">
              <w:rPr>
                <w:rStyle w:val="SpecialBold"/>
              </w:rPr>
              <w:t>3</w:t>
            </w:r>
            <w:r w:rsidRPr="001502A7">
              <w:t xml:space="preserve">.  </w:t>
            </w:r>
            <w:r w:rsidRPr="001502A7">
              <w:tab/>
            </w:r>
            <w:r w:rsidRPr="001502A7">
              <w:rPr>
                <w:rStyle w:val="SpecialBold"/>
              </w:rPr>
              <w:t>Determine rental</w:t>
            </w:r>
            <w:r w:rsidRPr="001502A7">
              <w:t xml:space="preserve"> </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
            </w:pPr>
            <w:r w:rsidRPr="001502A7">
              <w:t>3.1</w:t>
            </w:r>
            <w:r w:rsidRPr="001502A7">
              <w:tab/>
              <w:t>Information requ</w:t>
            </w:r>
            <w:r w:rsidRPr="001502A7">
              <w:t>ired to determine</w:t>
            </w:r>
            <w:r w:rsidRPr="001502A7">
              <w:rPr>
                <w:rStyle w:val="BoldandItalics"/>
              </w:rPr>
              <w:t xml:space="preserve"> rental</w:t>
            </w:r>
            <w:r w:rsidRPr="001502A7">
              <w:t>/rebate is gathered.</w:t>
            </w:r>
          </w:p>
          <w:p w:rsidR="00000000" w:rsidRPr="001502A7" w:rsidP="001502A7">
            <w:pPr>
              <w:pStyle w:val="List"/>
            </w:pPr>
            <w:r w:rsidRPr="001502A7">
              <w:t>3.2</w:t>
            </w:r>
            <w:r w:rsidRPr="001502A7">
              <w:tab/>
              <w:t>Rental determination is made, following organisational procedures.</w:t>
            </w:r>
          </w:p>
          <w:p w:rsidR="00000000" w:rsidRPr="001502A7" w:rsidP="001502A7">
            <w:pPr>
              <w:pStyle w:val="List"/>
            </w:pPr>
            <w:r w:rsidRPr="001502A7">
              <w:t>3.3</w:t>
            </w:r>
            <w:r w:rsidRPr="001502A7">
              <w:tab/>
              <w:t>Rental is negotiated with applicant in accordance with organisational policy and procedures.</w:t>
            </w:r>
          </w:p>
          <w:p w:rsidR="00000000" w:rsidP="001502A7">
            <w:pPr>
              <w:pStyle w:val="List"/>
              <w:rPr>
                <w:lang w:val="en-NZ"/>
              </w:rPr>
            </w:pPr>
            <w:r w:rsidRPr="001502A7">
              <w:t>3.4</w:t>
            </w:r>
            <w:r w:rsidRPr="001502A7">
              <w:tab/>
            </w:r>
            <w:r w:rsidRPr="001502A7">
              <w:t>The information is recorded in accordance with</w:t>
            </w:r>
            <w:r w:rsidRPr="001502A7">
              <w:rPr>
                <w:rStyle w:val="BoldandItalics"/>
              </w:rPr>
              <w:t xml:space="preserve"> legislation, policy and procedures</w:t>
            </w:r>
            <w:r w:rsidRPr="001502A7">
              <w:t>.</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List"/>
              <w:rPr>
                <w:lang w:val="en-NZ"/>
              </w:rPr>
            </w:pPr>
            <w:r w:rsidRPr="001502A7">
              <w:rPr>
                <w:rStyle w:val="SpecialBold"/>
              </w:rPr>
              <w:t>4</w:t>
            </w:r>
            <w:r w:rsidRPr="001502A7">
              <w:t xml:space="preserve">.  </w:t>
            </w:r>
            <w:r w:rsidRPr="001502A7">
              <w:tab/>
            </w:r>
            <w:r w:rsidRPr="001502A7">
              <w:rPr>
                <w:rStyle w:val="SpecialBold"/>
              </w:rPr>
              <w:t>Advise on tenure administration</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
            </w:pPr>
            <w:r w:rsidRPr="001502A7">
              <w:t>4.1</w:t>
            </w:r>
            <w:r w:rsidRPr="001502A7">
              <w:tab/>
              <w:t>The scope and type of advice that needs to be provided is established.</w:t>
            </w:r>
          </w:p>
          <w:p w:rsidR="00000000" w:rsidRPr="001502A7" w:rsidP="001502A7">
            <w:pPr>
              <w:pStyle w:val="List"/>
            </w:pPr>
            <w:r w:rsidRPr="001502A7">
              <w:t>4.2</w:t>
            </w:r>
            <w:r w:rsidRPr="001502A7">
              <w:tab/>
            </w:r>
            <w:r w:rsidRPr="001502A7">
              <w:rPr>
                <w:rStyle w:val="BoldandItalics"/>
              </w:rPr>
              <w:t xml:space="preserve">Organisational procedures or standards </w:t>
            </w:r>
            <w:r w:rsidRPr="001502A7">
              <w:t>associated with t</w:t>
            </w:r>
            <w:r w:rsidRPr="001502A7">
              <w:t>he advice are identified and explained.</w:t>
            </w:r>
          </w:p>
          <w:p w:rsidR="00000000" w:rsidRPr="001502A7" w:rsidP="001502A7">
            <w:pPr>
              <w:pStyle w:val="List"/>
            </w:pPr>
            <w:r w:rsidRPr="001502A7">
              <w:t>4.3</w:t>
            </w:r>
            <w:r w:rsidRPr="001502A7">
              <w:tab/>
            </w:r>
            <w:r w:rsidRPr="001502A7">
              <w:rPr>
                <w:rStyle w:val="BoldandItalics"/>
              </w:rPr>
              <w:t xml:space="preserve">Advice </w:t>
            </w:r>
            <w:r w:rsidRPr="001502A7">
              <w:t>is supplied that is accurate, current and explained in a manner suited to the person requiring it.</w:t>
            </w:r>
          </w:p>
        </w:tc>
      </w:tr>
    </w:tbl>
    <w:p w:rsidR="00000000" w:rsidRPr="001502A7" w:rsidP="001502A7">
      <w:pPr>
        <w:pStyle w:val="BodyText"/>
      </w:pPr>
    </w:p>
    <w:p w:rsidR="00000000" w:rsidRPr="001502A7" w:rsidP="001502A7">
      <w:pPr>
        <w:pStyle w:val="AllowPageBreak"/>
      </w:pPr>
    </w:p>
    <w:p w:rsidR="00000000" w:rsidRPr="001502A7" w:rsidP="001502A7">
      <w:pPr>
        <w:pStyle w:val="Heading1"/>
      </w:pPr>
      <w:bookmarkStart w:id="9" w:name="O_496889"/>
      <w:bookmarkEnd w:id="9"/>
      <w:r w:rsidRPr="001502A7">
        <w:t>Required Skills and Knowledge</w:t>
      </w:r>
    </w:p>
    <w:tbl>
      <w:tblPr>
        <w:tblW w:w="0" w:type="auto"/>
        <w:tblLayout w:type="fixed"/>
        <w:tblCellMar>
          <w:left w:w="62" w:type="dxa"/>
          <w:right w:w="62" w:type="dxa"/>
        </w:tblCellMar>
        <w:tblLook w:val="0000"/>
      </w:tblPr>
      <w:tblGrid>
        <w:gridCol w:w="8510"/>
        <w:gridCol w:w="43"/>
      </w:tblGrid>
      <w:tr w:rsidTr="00157729">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t>This section describes the essential skills and knowledge</w:t>
            </w:r>
            <w:r w:rsidRPr="001502A7">
              <w:t xml:space="preserve"> and their level, required for this unit.</w:t>
            </w:r>
          </w:p>
        </w:tc>
      </w:tr>
      <w:tr w:rsidTr="0015772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rPr>
                <w:rStyle w:val="SpecialBold"/>
              </w:rPr>
              <w:t>Skill requirements</w:t>
            </w:r>
          </w:p>
          <w:p w:rsidR="00000000" w:rsidRPr="001502A7" w:rsidP="001502A7">
            <w:pPr>
              <w:pStyle w:val="BodyText"/>
            </w:pPr>
            <w:r w:rsidRPr="001502A7">
              <w:t>Look for evidence that confirms skills in:</w:t>
            </w:r>
          </w:p>
          <w:p w:rsidR="00000000" w:rsidRPr="001502A7" w:rsidP="001502A7">
            <w:pPr>
              <w:pStyle w:val="ListBullet2"/>
            </w:pPr>
            <w:r w:rsidRPr="001502A7">
              <w:t>interpreting legislation relating to Crown/State land administration and land management</w:t>
            </w:r>
          </w:p>
          <w:p w:rsidR="00000000" w:rsidRPr="001502A7" w:rsidP="001502A7">
            <w:pPr>
              <w:pStyle w:val="ListBullet2"/>
            </w:pPr>
            <w:r w:rsidRPr="001502A7">
              <w:t xml:space="preserve">interpreting maps/plans/aerial photos </w:t>
            </w:r>
          </w:p>
          <w:p w:rsidR="00000000" w:rsidRPr="001502A7" w:rsidP="001502A7">
            <w:pPr>
              <w:pStyle w:val="ListBullet2"/>
            </w:pPr>
            <w:r w:rsidRPr="001502A7">
              <w:t>preparing complex land tenure and ownership reports</w:t>
            </w:r>
          </w:p>
          <w:p w:rsidR="00000000" w:rsidRPr="001502A7" w:rsidP="001502A7">
            <w:pPr>
              <w:pStyle w:val="ListBullet2"/>
            </w:pPr>
            <w:r w:rsidRPr="001502A7">
              <w:t>determining lease conditions/covenants</w:t>
            </w:r>
          </w:p>
          <w:p w:rsidR="00000000" w:rsidRPr="001502A7" w:rsidP="001502A7">
            <w:pPr>
              <w:pStyle w:val="ListBullet2"/>
            </w:pPr>
            <w:r w:rsidRPr="001502A7">
              <w:t>determining rent</w:t>
            </w:r>
          </w:p>
          <w:p w:rsidR="00000000" w:rsidRPr="001502A7" w:rsidP="001502A7">
            <w:pPr>
              <w:pStyle w:val="ListBullet2"/>
            </w:pPr>
            <w:r w:rsidRPr="001502A7">
              <w:t>advising staff and clients on tenure administration</w:t>
            </w:r>
          </w:p>
          <w:p w:rsidR="00000000" w:rsidRPr="001502A7" w:rsidP="001502A7">
            <w:pPr>
              <w:pStyle w:val="ListBullet2"/>
            </w:pPr>
            <w:r w:rsidRPr="001502A7">
              <w:t>mediating/negotiating rent and/or conditions, covenants, disputes</w:t>
            </w:r>
          </w:p>
          <w:p w:rsidR="00000000" w:rsidRPr="001502A7" w:rsidP="001502A7">
            <w:pPr>
              <w:pStyle w:val="ListBullet2"/>
            </w:pPr>
            <w:r w:rsidRPr="001502A7">
              <w:t>responding to diversity, inclu</w:t>
            </w:r>
            <w:r w:rsidRPr="001502A7">
              <w:t xml:space="preserve">ding gender and disability </w:t>
            </w:r>
          </w:p>
          <w:p w:rsidR="00000000" w:rsidP="001502A7">
            <w:pPr>
              <w:pStyle w:val="ListBullet2"/>
              <w:rPr>
                <w:lang w:val="en-NZ"/>
              </w:rPr>
            </w:pPr>
            <w:r w:rsidRPr="001502A7">
              <w:t>applying public sector legislation such as occupational health and safety, environment, anti-discrimination and diversity in the context of tenure application investigations</w:t>
            </w:r>
          </w:p>
        </w:tc>
      </w:tr>
      <w:tr w:rsidTr="0015772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rPr>
                <w:rStyle w:val="SpecialBold"/>
              </w:rPr>
              <w:t>Knowledge requirements</w:t>
            </w:r>
          </w:p>
          <w:p w:rsidR="00000000" w:rsidRPr="001502A7" w:rsidP="001502A7">
            <w:pPr>
              <w:pStyle w:val="BodyText"/>
            </w:pPr>
            <w:r w:rsidRPr="001502A7">
              <w:t xml:space="preserve"> Look for evidence that confir</w:t>
            </w:r>
            <w:r w:rsidRPr="001502A7">
              <w:t>ms knowledge and understanding of:</w:t>
            </w:r>
          </w:p>
          <w:p w:rsidR="00000000" w:rsidRPr="001502A7" w:rsidP="001502A7">
            <w:pPr>
              <w:pStyle w:val="ListBullet2"/>
            </w:pPr>
            <w:r w:rsidRPr="001502A7">
              <w:t>legislation, policies and procedures relating to Crown/State land administration and land management, including historical background</w:t>
            </w:r>
          </w:p>
          <w:p w:rsidR="00000000" w:rsidRPr="001502A7" w:rsidP="001502A7">
            <w:pPr>
              <w:pStyle w:val="ListBullet2"/>
            </w:pPr>
            <w:r w:rsidRPr="001502A7">
              <w:t xml:space="preserve">the different types of organisational records that need to be noted or updated and in what circumstances </w:t>
            </w:r>
          </w:p>
          <w:p w:rsidR="00000000" w:rsidRPr="001502A7" w:rsidP="001502A7">
            <w:pPr>
              <w:pStyle w:val="ListBullet2"/>
            </w:pPr>
            <w:r w:rsidRPr="001502A7">
              <w:t xml:space="preserve">regulations and policies relating to tenure administration </w:t>
            </w:r>
          </w:p>
          <w:p w:rsidR="00000000" w:rsidRPr="001502A7" w:rsidP="001502A7">
            <w:pPr>
              <w:pStyle w:val="ListBullet2"/>
            </w:pPr>
            <w:r w:rsidRPr="001502A7">
              <w:t>land tenure and ownership</w:t>
            </w:r>
          </w:p>
          <w:p w:rsidR="00000000" w:rsidRPr="001502A7" w:rsidP="001502A7">
            <w:pPr>
              <w:pStyle w:val="ListBullet2"/>
            </w:pPr>
            <w:r w:rsidRPr="001502A7">
              <w:t>departmental delegations</w:t>
            </w:r>
          </w:p>
          <w:p w:rsidR="00000000" w:rsidRPr="001502A7" w:rsidP="001502A7">
            <w:pPr>
              <w:pStyle w:val="ListBullet2"/>
            </w:pPr>
            <w:r w:rsidRPr="001502A7">
              <w:t>public sector legislation including occ</w:t>
            </w:r>
            <w:r w:rsidRPr="001502A7">
              <w:t>upational health and safety and environment in the context of tenure application investigations</w:t>
            </w:r>
          </w:p>
        </w:tc>
      </w:tr>
    </w:tbl>
    <w:p w:rsidR="00000000" w:rsidRPr="001502A7" w:rsidP="001502A7">
      <w:pPr>
        <w:pStyle w:val="BodyText"/>
      </w:pPr>
    </w:p>
    <w:p w:rsidR="00000000" w:rsidRPr="001502A7" w:rsidP="001502A7">
      <w:pPr>
        <w:pStyle w:val="AllowPageBreak"/>
      </w:pPr>
    </w:p>
    <w:p w:rsidR="00000000" w:rsidRPr="001502A7" w:rsidP="001502A7">
      <w:pPr>
        <w:pStyle w:val="Heading1"/>
      </w:pPr>
      <w:bookmarkStart w:id="10" w:name="O_496886"/>
      <w:bookmarkEnd w:id="10"/>
      <w:r w:rsidRPr="001502A7">
        <w:t>Evidence Guide</w:t>
      </w:r>
    </w:p>
    <w:tbl>
      <w:tblPr>
        <w:tblW w:w="9322" w:type="dxa"/>
        <w:tblLayout w:type="fixed"/>
        <w:tblCellMar>
          <w:left w:w="62" w:type="dxa"/>
          <w:right w:w="62" w:type="dxa"/>
        </w:tblCellMar>
        <w:tblLook w:val="0000"/>
      </w:tblPr>
      <w:tblGrid>
        <w:gridCol w:w="2660"/>
        <w:gridCol w:w="6662"/>
      </w:tblGrid>
      <w:tr w:rsidTr="0015772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t>The Evidence Guide specifies the evidence required to demonstrate achievement in the unit of competency as a whole. It must be</w:t>
            </w:r>
            <w:r w:rsidRPr="001502A7">
              <w:t xml:space="preserve"> read in conjunction with the Unit descriptor, Performance Criteria, the Range Statement and the Assessment Guidelines for the Public Sector Training Package.</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rPr>
                <w:rStyle w:val="SpecialBold"/>
              </w:rPr>
              <w:t>Units to be assessed together</w:t>
            </w:r>
            <w:r w:rsidRPr="001502A7">
              <w:t xml:space="preserve"> </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rPr>
                <w:rStyle w:val="Emphasis"/>
              </w:rPr>
              <w:t>Pre</w:t>
            </w:r>
            <w:r w:rsidRPr="001502A7">
              <w:t>-</w:t>
            </w:r>
            <w:r w:rsidRPr="001502A7">
              <w:rPr>
                <w:rStyle w:val="Emphasis"/>
              </w:rPr>
              <w:t>requisite</w:t>
            </w:r>
            <w:r w:rsidRPr="001502A7">
              <w:t xml:space="preserve"> units that must be achieved prior to this unit:</w:t>
            </w:r>
            <w:r w:rsidRPr="001502A7">
              <w:rPr>
                <w:rStyle w:val="Emphasis"/>
              </w:rPr>
              <w:t>Nil</w:t>
            </w:r>
          </w:p>
          <w:p w:rsidR="00000000" w:rsidRPr="001502A7" w:rsidP="001502A7">
            <w:pPr>
              <w:pStyle w:val="ListBullet2"/>
            </w:pPr>
            <w:r w:rsidRPr="001502A7">
              <w:rPr>
                <w:rStyle w:val="Emphasis"/>
              </w:rPr>
              <w:t>Co</w:t>
            </w:r>
            <w:r w:rsidRPr="001502A7">
              <w:t>-</w:t>
            </w:r>
            <w:r w:rsidRPr="001502A7">
              <w:rPr>
                <w:rStyle w:val="Emphasis"/>
              </w:rPr>
              <w:t>requisite</w:t>
            </w:r>
            <w:r w:rsidRPr="001502A7">
              <w:t xml:space="preserve"> units that must be assessed with this unit:</w:t>
            </w:r>
            <w:r w:rsidRPr="001502A7">
              <w:rPr>
                <w:rStyle w:val="Emphasis"/>
              </w:rPr>
              <w:t>Nil</w:t>
            </w:r>
          </w:p>
          <w:p w:rsidR="00000000" w:rsidRPr="001502A7" w:rsidP="001502A7">
            <w:pPr>
              <w:pStyle w:val="ListBullet2"/>
            </w:pPr>
            <w:r w:rsidRPr="001502A7">
              <w:rPr>
                <w:rStyle w:val="Emphasis"/>
              </w:rPr>
              <w:t>Co</w:t>
            </w:r>
            <w:r w:rsidRPr="001502A7">
              <w:t>-</w:t>
            </w:r>
            <w:r w:rsidRPr="001502A7">
              <w:rPr>
                <w:rStyle w:val="Emphasis"/>
              </w:rPr>
              <w:t>assessed units</w:t>
            </w:r>
            <w:r w:rsidRPr="001502A7">
              <w:t xml:space="preserve"> that may be assessed with this unit to increase the efficiency and realism of the assessment process include, but are not limited to:</w:t>
            </w:r>
          </w:p>
          <w:p w:rsidR="00000000" w:rsidRPr="001502A7" w:rsidP="001502A7">
            <w:pPr>
              <w:pStyle w:val="ListBullet3"/>
            </w:pPr>
            <w:r w:rsidRPr="001502A7">
              <w:t>PSPETHC401A Uphold and support the valu</w:t>
            </w:r>
            <w:r w:rsidRPr="001502A7">
              <w:t>es and principles of public service</w:t>
            </w:r>
          </w:p>
          <w:p w:rsidR="00000000" w:rsidRPr="001502A7" w:rsidP="001502A7">
            <w:pPr>
              <w:pStyle w:val="ListBullet3"/>
            </w:pPr>
            <w:r w:rsidRPr="001502A7">
              <w:t xml:space="preserve">PSPGOV403B Use resources to achieve work unit goals </w:t>
            </w:r>
          </w:p>
          <w:p w:rsidR="00000000" w:rsidRPr="001502A7" w:rsidP="001502A7">
            <w:pPr>
              <w:pStyle w:val="ListBullet3"/>
            </w:pPr>
            <w:r w:rsidRPr="001502A7">
              <w:t>PSPGOV406B Gather and analyse information</w:t>
            </w:r>
          </w:p>
          <w:p w:rsidR="00000000" w:rsidRPr="001502A7" w:rsidP="001502A7">
            <w:pPr>
              <w:pStyle w:val="ListBullet3"/>
            </w:pPr>
            <w:r w:rsidRPr="001502A7">
              <w:t xml:space="preserve">PSPGOV408A Value diversity </w:t>
            </w:r>
          </w:p>
          <w:p w:rsidR="00000000" w:rsidRPr="001502A7" w:rsidP="001502A7">
            <w:pPr>
              <w:pStyle w:val="ListBullet3"/>
            </w:pPr>
            <w:r w:rsidRPr="001502A7">
              <w:t>PSPGOV422A Apply government processes</w:t>
            </w:r>
          </w:p>
          <w:p w:rsidR="00000000" w:rsidP="001502A7">
            <w:pPr>
              <w:pStyle w:val="ListBullet3"/>
              <w:rPr>
                <w:lang w:val="en-NZ"/>
              </w:rPr>
            </w:pPr>
            <w:r w:rsidRPr="001502A7">
              <w:t>PSPLEGN401A Encourage compliance with legislation in the public sector</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t>In addition to integrated demonstration of the elements and their related performance criteria, look for evidence that confirms:</w:t>
            </w:r>
          </w:p>
          <w:p w:rsidR="00000000" w:rsidRPr="001502A7" w:rsidP="001502A7">
            <w:pPr>
              <w:pStyle w:val="ListBullet2"/>
            </w:pPr>
            <w:r w:rsidRPr="001502A7">
              <w:t>the knowledge requir</w:t>
            </w:r>
            <w:r w:rsidRPr="001502A7">
              <w:t xml:space="preserve">ements of this unit </w:t>
            </w:r>
          </w:p>
          <w:p w:rsidR="00000000" w:rsidRPr="001502A7" w:rsidP="001502A7">
            <w:pPr>
              <w:pStyle w:val="ListBullet2"/>
            </w:pPr>
            <w:r w:rsidRPr="001502A7">
              <w:t>the skill requirements of this unit</w:t>
            </w:r>
          </w:p>
          <w:p w:rsidR="00000000" w:rsidRPr="001502A7" w:rsidP="001502A7">
            <w:pPr>
              <w:pStyle w:val="ListBullet2"/>
            </w:pPr>
            <w:r w:rsidRPr="001502A7">
              <w:t>application of the Employability Skills as they relate to this unit (see Employability Summaries in Qualifications Framework)</w:t>
            </w:r>
          </w:p>
          <w:p w:rsidR="00000000" w:rsidP="001502A7">
            <w:pPr>
              <w:pStyle w:val="ListBullet2"/>
              <w:rPr>
                <w:lang w:val="en-NZ"/>
              </w:rPr>
            </w:pPr>
            <w:r w:rsidRPr="001502A7">
              <w:t>tenure application investigations undertaken in a range of (3 or more) contexts (or occasions, over time)</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t>These resources include:</w:t>
            </w:r>
          </w:p>
          <w:p w:rsidR="00000000" w:rsidRPr="001502A7" w:rsidP="001502A7">
            <w:pPr>
              <w:pStyle w:val="ListBullet2"/>
            </w:pPr>
            <w:r w:rsidRPr="001502A7">
              <w:t>legislation, policy, procedures and protocols relating to tenure application inv</w:t>
            </w:r>
            <w:r w:rsidRPr="001502A7">
              <w:t xml:space="preserve">estigations </w:t>
            </w:r>
          </w:p>
          <w:p w:rsidR="00000000" w:rsidP="001502A7">
            <w:pPr>
              <w:pStyle w:val="ListBullet2"/>
              <w:rPr>
                <w:lang w:val="en-NZ"/>
              </w:rPr>
            </w:pPr>
            <w:r w:rsidRPr="001502A7">
              <w:t xml:space="preserve">case studies and workplace scenarios to capture the range of situations likely to be encountered when undertaking tenure application investigations </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t xml:space="preserve">Valid assessment of this unit requires: </w:t>
            </w:r>
          </w:p>
          <w:p w:rsidR="00000000" w:rsidRPr="001502A7" w:rsidP="001502A7">
            <w:pPr>
              <w:pStyle w:val="ListBullet2"/>
            </w:pPr>
            <w:r w:rsidRPr="001502A7">
              <w:t>a workplace enviro</w:t>
            </w:r>
            <w:r w:rsidRPr="001502A7">
              <w:t>nment or one that closely resembles normal work practice and replicates the range of conditions likely to be encountered when undertaking tenure application investigations, including coping with difficulties, irregularities and breakdowns in routine</w:t>
            </w:r>
          </w:p>
          <w:p w:rsidR="00000000" w:rsidRPr="001502A7" w:rsidP="001502A7">
            <w:pPr>
              <w:pStyle w:val="ListBullet2"/>
            </w:pPr>
            <w:r w:rsidRPr="001502A7">
              <w:t>tenure</w:t>
            </w:r>
            <w:r w:rsidRPr="001502A7">
              <w:t xml:space="preserve"> application investigations undertaken in a range of (3 or more) contexts (or occasions, over time)</w:t>
            </w:r>
          </w:p>
          <w:p w:rsidR="00000000" w:rsidRPr="001502A7" w:rsidP="001502A7">
            <w:pPr>
              <w:pStyle w:val="BodyText"/>
            </w:pPr>
            <w:r w:rsidRPr="001502A7">
              <w:t>Assessment methods should reflect workplace demands, such as literacy, and the needs of particular groups, such as:</w:t>
            </w:r>
          </w:p>
          <w:p w:rsidR="00000000" w:rsidRPr="001502A7" w:rsidP="001502A7">
            <w:pPr>
              <w:pStyle w:val="ListBullet2"/>
            </w:pPr>
            <w:r w:rsidRPr="001502A7">
              <w:t>people with disabilities</w:t>
            </w:r>
          </w:p>
          <w:p w:rsidR="00000000" w:rsidRPr="001502A7" w:rsidP="001502A7">
            <w:pPr>
              <w:pStyle w:val="ListBullet2"/>
            </w:pPr>
            <w:r w:rsidRPr="001502A7">
              <w:t>people from culturally and linguistically diverse backgrounds</w:t>
            </w:r>
          </w:p>
          <w:p w:rsidR="00000000" w:rsidRPr="001502A7" w:rsidP="001502A7">
            <w:pPr>
              <w:pStyle w:val="ListBullet2"/>
            </w:pPr>
            <w:r w:rsidRPr="001502A7">
              <w:t>Aboriginal and Torres Strait Islander people</w:t>
            </w:r>
          </w:p>
          <w:p w:rsidR="00000000" w:rsidRPr="001502A7" w:rsidP="001502A7">
            <w:pPr>
              <w:pStyle w:val="ListBullet2"/>
            </w:pPr>
            <w:r w:rsidRPr="001502A7">
              <w:t>women</w:t>
            </w:r>
          </w:p>
          <w:p w:rsidR="00000000" w:rsidRPr="001502A7" w:rsidP="001502A7">
            <w:pPr>
              <w:pStyle w:val="ListBullet2"/>
            </w:pPr>
            <w:r w:rsidRPr="001502A7">
              <w:t>young people</w:t>
            </w:r>
          </w:p>
          <w:p w:rsidR="00000000" w:rsidRPr="001502A7" w:rsidP="001502A7">
            <w:pPr>
              <w:pStyle w:val="ListBullet2"/>
            </w:pPr>
            <w:r w:rsidRPr="001502A7">
              <w:t>older people</w:t>
            </w:r>
          </w:p>
          <w:p w:rsidR="00000000" w:rsidRPr="001502A7" w:rsidP="001502A7">
            <w:pPr>
              <w:pStyle w:val="ListBullet2"/>
            </w:pPr>
            <w:r w:rsidRPr="001502A7">
              <w:t>people in rural and remote locations</w:t>
            </w:r>
          </w:p>
          <w:p w:rsidR="00000000" w:rsidRPr="001502A7" w:rsidP="001502A7">
            <w:pPr>
              <w:pStyle w:val="BodyText"/>
            </w:pPr>
            <w:r w:rsidRPr="001502A7">
              <w:t>Assessment methods suitable for valid and reliable assessment of this competency</w:t>
            </w:r>
            <w:r w:rsidRPr="001502A7">
              <w:t xml:space="preserve"> may include, but are not limited to, a combination of 2 or more of: </w:t>
            </w:r>
          </w:p>
          <w:p w:rsidR="00000000" w:rsidRPr="001502A7" w:rsidP="001502A7">
            <w:pPr>
              <w:pStyle w:val="ListBullet2"/>
            </w:pPr>
            <w:r w:rsidRPr="001502A7">
              <w:t>case studies</w:t>
            </w:r>
          </w:p>
          <w:p w:rsidR="00000000" w:rsidRPr="001502A7" w:rsidP="001502A7">
            <w:pPr>
              <w:pStyle w:val="ListBullet2"/>
            </w:pPr>
            <w:r w:rsidRPr="001502A7">
              <w:t xml:space="preserve">portfolios </w:t>
            </w:r>
          </w:p>
          <w:p w:rsidR="00000000" w:rsidRPr="001502A7" w:rsidP="001502A7">
            <w:pPr>
              <w:pStyle w:val="ListBullet2"/>
            </w:pPr>
            <w:r w:rsidRPr="001502A7">
              <w:t>questioning</w:t>
            </w:r>
          </w:p>
          <w:p w:rsidR="00000000" w:rsidRPr="001502A7" w:rsidP="001502A7">
            <w:pPr>
              <w:pStyle w:val="ListBullet2"/>
            </w:pPr>
            <w:r w:rsidRPr="001502A7">
              <w:t>scenarios</w:t>
            </w:r>
          </w:p>
          <w:p w:rsidR="00000000" w:rsidRPr="001502A7" w:rsidP="001502A7">
            <w:pPr>
              <w:pStyle w:val="ListBullet2"/>
            </w:pPr>
            <w:r w:rsidRPr="001502A7">
              <w:t>simulation or role plays</w:t>
            </w:r>
          </w:p>
          <w:p w:rsidR="00000000" w:rsidP="001502A7">
            <w:pPr>
              <w:pStyle w:val="ListBullet2"/>
              <w:rPr>
                <w:lang w:val="en-NZ"/>
              </w:rPr>
            </w:pPr>
            <w:r w:rsidRPr="001502A7">
              <w:t xml:space="preserve">authenticated evidence from the workplace and/or training courses  </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BodyText"/>
            </w:pPr>
            <w:r w:rsidRPr="001502A7">
              <w:t>Evidence mu</w:t>
            </w:r>
            <w:r w:rsidRPr="001502A7">
              <w:t>st be gathered over time in a range of contexts to ensure the person can achieve the unit outcome and apply the competency in different situations or environments</w:t>
            </w:r>
          </w:p>
        </w:tc>
      </w:tr>
    </w:tbl>
    <w:p w:rsidR="00000000" w:rsidRPr="001502A7" w:rsidP="001502A7">
      <w:pPr>
        <w:pStyle w:val="BodyText"/>
      </w:pPr>
    </w:p>
    <w:p w:rsidR="00000000" w:rsidRPr="001502A7" w:rsidP="001502A7">
      <w:pPr>
        <w:pStyle w:val="AllowPageBreak"/>
      </w:pPr>
    </w:p>
    <w:p w:rsidR="00000000" w:rsidRPr="001502A7" w:rsidP="001502A7">
      <w:pPr>
        <w:pStyle w:val="Heading1"/>
      </w:pPr>
      <w:bookmarkStart w:id="11" w:name="O_496885"/>
      <w:bookmarkEnd w:id="11"/>
      <w:r w:rsidRPr="001502A7">
        <w:t>Range Statement</w:t>
      </w:r>
    </w:p>
    <w:tbl>
      <w:tblPr>
        <w:tblW w:w="9322" w:type="dxa"/>
        <w:tblLayout w:type="fixed"/>
        <w:tblCellMar>
          <w:left w:w="62" w:type="dxa"/>
          <w:right w:w="62" w:type="dxa"/>
        </w:tblCellMar>
        <w:tblLook w:val="0000"/>
      </w:tblPr>
      <w:tblGrid>
        <w:gridCol w:w="2660"/>
        <w:gridCol w:w="6662"/>
      </w:tblGrid>
      <w:tr w:rsidTr="0015772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t>The Range Statement provides information about the context</w:t>
            </w:r>
            <w:r w:rsidRPr="001502A7">
              <w:t xml:space="preserve"> in which the unit of competency is carried out. The variables cater for differences between States and Territories and the Commonwealth, and between organisations and workplaces. They allow for different work requirements, work practices and knowledge. Th</w:t>
            </w:r>
            <w:r w:rsidRPr="001502A7">
              <w:t xml:space="preserve">e Range Statement also provides a focus for assessment. It relates to the unit as a whole. Text in </w:t>
            </w:r>
            <w:r w:rsidRPr="001502A7">
              <w:rPr>
                <w:rStyle w:val="BoldandItalics"/>
              </w:rPr>
              <w:t>bold italics</w:t>
            </w:r>
            <w:r w:rsidRPr="001502A7">
              <w:t xml:space="preserve"> in the Performance Criteria is explained here.</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Land tenure/ownership report</w:t>
            </w:r>
            <w:r w:rsidRPr="001502A7">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land authorities/boards or equivalent structures</w:t>
            </w:r>
          </w:p>
          <w:p w:rsidR="00000000" w:rsidRPr="001502A7" w:rsidP="001502A7">
            <w:pPr>
              <w:pStyle w:val="ListBullet2"/>
            </w:pPr>
            <w:r w:rsidRPr="001502A7">
              <w:t>land managers</w:t>
            </w:r>
          </w:p>
          <w:p w:rsidR="00000000" w:rsidRPr="001502A7" w:rsidP="001502A7">
            <w:pPr>
              <w:pStyle w:val="ListBullet2"/>
            </w:pPr>
            <w:r w:rsidRPr="001502A7">
              <w:t>extinguishment of native title</w:t>
            </w:r>
          </w:p>
          <w:p w:rsidR="00000000" w:rsidRPr="001502A7" w:rsidP="001502A7">
            <w:pPr>
              <w:pStyle w:val="ListBullet2"/>
            </w:pPr>
            <w:r w:rsidRPr="001502A7">
              <w:t>breach of conditions</w:t>
            </w:r>
          </w:p>
          <w:p w:rsidR="00000000" w:rsidRPr="001502A7" w:rsidP="001502A7">
            <w:pPr>
              <w:pStyle w:val="ListBullet2"/>
            </w:pPr>
            <w:r w:rsidRPr="001502A7">
              <w:t>obtaining a legal opinion</w:t>
            </w:r>
          </w:p>
          <w:p w:rsidR="00000000" w:rsidRPr="001502A7" w:rsidP="001502A7">
            <w:pPr>
              <w:pStyle w:val="ListBullet2"/>
            </w:pPr>
            <w:r w:rsidRPr="001502A7">
              <w:t>refusal/recommendation of an application</w:t>
            </w:r>
          </w:p>
          <w:p w:rsidR="00000000" w:rsidP="001502A7">
            <w:pPr>
              <w:pStyle w:val="ListBullet2"/>
              <w:rPr>
                <w:lang w:val="en-NZ"/>
              </w:rPr>
            </w:pPr>
            <w:r w:rsidRPr="001502A7">
              <w:t>determining the type of tenure</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Organisational procedures</w:t>
            </w:r>
            <w:r w:rsidRPr="001502A7">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procedures manual</w:t>
            </w:r>
          </w:p>
          <w:p w:rsidR="00000000" w:rsidRPr="001502A7" w:rsidP="001502A7">
            <w:pPr>
              <w:pStyle w:val="ListBullet2"/>
            </w:pPr>
            <w:r w:rsidRPr="001502A7">
              <w:t>office practice guideline</w:t>
            </w:r>
            <w:r w:rsidRPr="001502A7">
              <w:t>s</w:t>
            </w:r>
          </w:p>
          <w:p w:rsidR="00000000" w:rsidRPr="001502A7" w:rsidP="001502A7">
            <w:pPr>
              <w:pStyle w:val="ListBullet2"/>
            </w:pPr>
            <w:r w:rsidRPr="001502A7">
              <w:t>workplace notices</w:t>
            </w:r>
          </w:p>
          <w:p w:rsidR="00000000" w:rsidP="001502A7">
            <w:pPr>
              <w:pStyle w:val="ListBullet2"/>
              <w:rPr>
                <w:lang w:val="en-NZ"/>
              </w:rPr>
            </w:pPr>
            <w:r w:rsidRPr="001502A7">
              <w:t>computer training manuals</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Organisational procedures</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regulatory requirements</w:t>
            </w:r>
          </w:p>
          <w:p w:rsidR="00000000" w:rsidRPr="001502A7" w:rsidP="001502A7">
            <w:pPr>
              <w:pStyle w:val="ListBullet2"/>
            </w:pPr>
            <w:r w:rsidRPr="001502A7">
              <w:t>industry practices</w:t>
            </w:r>
          </w:p>
          <w:p w:rsidR="00000000" w:rsidP="001502A7">
            <w:pPr>
              <w:pStyle w:val="ListBullet2"/>
              <w:rPr>
                <w:lang w:val="en-NZ"/>
              </w:rPr>
            </w:pPr>
            <w:r w:rsidRPr="001502A7">
              <w:t>manual or electronic applications</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Tenure conditions/covenants</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access</w:t>
            </w:r>
          </w:p>
          <w:p w:rsidR="00000000" w:rsidRPr="001502A7" w:rsidP="001502A7">
            <w:pPr>
              <w:pStyle w:val="ListBullet2"/>
            </w:pPr>
            <w:r w:rsidRPr="001502A7">
              <w:t>clearing</w:t>
            </w:r>
          </w:p>
          <w:p w:rsidR="00000000" w:rsidRPr="001502A7" w:rsidP="001502A7">
            <w:pPr>
              <w:pStyle w:val="ListBullet2"/>
            </w:pPr>
            <w:r w:rsidRPr="001502A7">
              <w:t>community use</w:t>
            </w:r>
          </w:p>
          <w:p w:rsidR="00000000" w:rsidRPr="001502A7" w:rsidP="001502A7">
            <w:pPr>
              <w:pStyle w:val="ListBullet2"/>
            </w:pPr>
            <w:r w:rsidRPr="001502A7">
              <w:t>conservation</w:t>
            </w:r>
          </w:p>
          <w:p w:rsidR="00000000" w:rsidRPr="001502A7" w:rsidP="001502A7">
            <w:pPr>
              <w:pStyle w:val="ListBullet2"/>
            </w:pPr>
            <w:r w:rsidRPr="001502A7">
              <w:t>cultivation</w:t>
            </w:r>
          </w:p>
          <w:p w:rsidR="00000000" w:rsidRPr="001502A7" w:rsidP="001502A7">
            <w:pPr>
              <w:pStyle w:val="ListBullet2"/>
            </w:pPr>
            <w:r w:rsidRPr="001502A7">
              <w:t>extraction</w:t>
            </w:r>
          </w:p>
          <w:p w:rsidR="00000000" w:rsidRPr="001502A7" w:rsidP="001502A7">
            <w:pPr>
              <w:pStyle w:val="ListBullet2"/>
            </w:pPr>
            <w:r w:rsidRPr="001502A7">
              <w:t>grazing</w:t>
            </w:r>
          </w:p>
          <w:p w:rsidR="00000000" w:rsidRPr="001502A7" w:rsidP="001502A7">
            <w:pPr>
              <w:pStyle w:val="ListBullet2"/>
            </w:pPr>
            <w:r w:rsidRPr="001502A7">
              <w:t>insurance indemnity</w:t>
            </w:r>
          </w:p>
          <w:p w:rsidR="00000000" w:rsidRPr="001502A7" w:rsidP="001502A7">
            <w:pPr>
              <w:pStyle w:val="ListBullet2"/>
            </w:pPr>
            <w:r w:rsidRPr="001502A7">
              <w:t>lease and development conditions</w:t>
            </w:r>
          </w:p>
          <w:p w:rsidR="00000000" w:rsidRPr="001502A7" w:rsidP="001502A7">
            <w:pPr>
              <w:pStyle w:val="ListBullet2"/>
            </w:pPr>
            <w:r w:rsidRPr="001502A7">
              <w:t>limitations of use</w:t>
            </w:r>
          </w:p>
          <w:p w:rsidR="00000000" w:rsidRPr="001502A7" w:rsidP="001502A7">
            <w:pPr>
              <w:pStyle w:val="ListBullet2"/>
            </w:pPr>
            <w:r w:rsidRPr="001502A7">
              <w:t>multi use</w:t>
            </w:r>
          </w:p>
          <w:p w:rsidR="00000000" w:rsidRPr="001502A7" w:rsidP="001502A7">
            <w:pPr>
              <w:pStyle w:val="ListBullet2"/>
            </w:pPr>
            <w:r w:rsidRPr="001502A7">
              <w:t>preservation</w:t>
            </w:r>
          </w:p>
          <w:p w:rsidR="00000000" w:rsidRPr="001502A7" w:rsidP="001502A7">
            <w:pPr>
              <w:pStyle w:val="ListBullet2"/>
            </w:pPr>
            <w:r w:rsidRPr="001502A7">
              <w:t xml:space="preserve">rental </w:t>
            </w:r>
          </w:p>
          <w:p w:rsidR="00000000" w:rsidRPr="001502A7" w:rsidP="001502A7">
            <w:pPr>
              <w:pStyle w:val="ListBullet2"/>
            </w:pPr>
            <w:r w:rsidRPr="001502A7">
              <w:t>royalties</w:t>
            </w:r>
          </w:p>
          <w:p w:rsidR="00000000" w:rsidRPr="001502A7" w:rsidP="001502A7">
            <w:pPr>
              <w:pStyle w:val="ListBullet2"/>
            </w:pPr>
            <w:r w:rsidRPr="001502A7">
              <w:t>services</w:t>
            </w:r>
          </w:p>
          <w:p w:rsidR="00000000" w:rsidRPr="001502A7" w:rsidP="001502A7">
            <w:pPr>
              <w:pStyle w:val="ListBullet2"/>
            </w:pPr>
            <w:r w:rsidRPr="001502A7">
              <w:t>sub-leasing</w:t>
            </w:r>
          </w:p>
          <w:p w:rsidR="00000000" w:rsidRPr="001502A7" w:rsidP="001502A7">
            <w:pPr>
              <w:pStyle w:val="ListBullet2"/>
            </w:pPr>
            <w:r w:rsidRPr="001502A7">
              <w:t>subdivision</w:t>
            </w:r>
          </w:p>
          <w:p w:rsidR="00000000" w:rsidRPr="001502A7" w:rsidP="001502A7">
            <w:pPr>
              <w:pStyle w:val="ListBullet2"/>
            </w:pPr>
            <w:r w:rsidRPr="001502A7">
              <w:t>term of tenure</w:t>
            </w:r>
          </w:p>
          <w:p w:rsidR="00000000" w:rsidP="001502A7">
            <w:pPr>
              <w:pStyle w:val="ListBullet2"/>
              <w:rPr>
                <w:lang w:val="en-NZ"/>
              </w:rPr>
            </w:pPr>
            <w:r w:rsidRPr="001502A7">
              <w:t>water access</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Preparation of conditions/covenants</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drafting</w:t>
            </w:r>
          </w:p>
          <w:p w:rsidR="00000000" w:rsidRPr="001502A7" w:rsidP="001502A7">
            <w:pPr>
              <w:pStyle w:val="ListBullet2"/>
            </w:pPr>
            <w:r w:rsidRPr="001502A7">
              <w:t>setting by standard tenure documentation</w:t>
            </w:r>
          </w:p>
          <w:p w:rsidR="00000000" w:rsidRPr="001502A7" w:rsidP="001502A7">
            <w:pPr>
              <w:pStyle w:val="ListBullet2"/>
            </w:pPr>
            <w:r w:rsidRPr="001502A7">
              <w:t>selecting additional conditions from a standard list</w:t>
            </w:r>
          </w:p>
          <w:p w:rsidR="00000000" w:rsidRPr="001502A7" w:rsidP="001502A7">
            <w:pPr>
              <w:pStyle w:val="ListBullet2"/>
            </w:pPr>
            <w:r w:rsidRPr="001502A7">
              <w:t>having drafting completed by legal personnel</w:t>
            </w:r>
          </w:p>
          <w:p w:rsidR="00000000" w:rsidRPr="001502A7" w:rsidP="001502A7">
            <w:pPr>
              <w:pStyle w:val="ListBullet2"/>
            </w:pPr>
            <w:r w:rsidRPr="001502A7">
              <w:t>site specific conditions</w:t>
            </w:r>
          </w:p>
          <w:p w:rsidR="00000000" w:rsidP="001502A7">
            <w:pPr>
              <w:pStyle w:val="ListBullet2"/>
              <w:rPr>
                <w:lang w:val="en-NZ"/>
              </w:rPr>
            </w:pPr>
            <w:r w:rsidRPr="001502A7">
              <w:t>compliance with legislation</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 xml:space="preserve">Rental </w:t>
            </w:r>
            <w:r w:rsidRPr="001502A7">
              <w:t>may be: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calculated</w:t>
            </w:r>
          </w:p>
          <w:p w:rsidR="00000000" w:rsidRPr="001502A7" w:rsidP="001502A7">
            <w:pPr>
              <w:pStyle w:val="ListBullet2"/>
            </w:pPr>
            <w:r w:rsidRPr="001502A7">
              <w:t>determined after referral to licensed valuer, Valuer General etc</w:t>
            </w:r>
          </w:p>
          <w:p w:rsidR="00000000" w:rsidRPr="001502A7" w:rsidP="001502A7">
            <w:pPr>
              <w:pStyle w:val="ListBullet2"/>
            </w:pPr>
            <w:r w:rsidRPr="001502A7">
              <w:t>charitable organisations</w:t>
            </w:r>
          </w:p>
          <w:p w:rsidR="00000000" w:rsidRPr="001502A7" w:rsidP="001502A7">
            <w:pPr>
              <w:pStyle w:val="ListBullet2"/>
            </w:pPr>
            <w:r w:rsidRPr="001502A7">
              <w:t>commercial</w:t>
            </w:r>
          </w:p>
          <w:p w:rsidR="00000000" w:rsidRPr="001502A7" w:rsidP="001502A7">
            <w:pPr>
              <w:pStyle w:val="ListBullet2"/>
            </w:pPr>
            <w:r w:rsidRPr="001502A7">
              <w:t>community purposes</w:t>
            </w:r>
          </w:p>
          <w:p w:rsidR="00000000" w:rsidRPr="001502A7" w:rsidP="001502A7">
            <w:pPr>
              <w:pStyle w:val="ListBullet2"/>
            </w:pPr>
            <w:r w:rsidRPr="001502A7">
              <w:t>concessional</w:t>
            </w:r>
          </w:p>
          <w:p w:rsidR="00000000" w:rsidRPr="001502A7" w:rsidP="001502A7">
            <w:pPr>
              <w:pStyle w:val="ListBullet2"/>
            </w:pPr>
            <w:r w:rsidRPr="001502A7">
              <w:t>government-held tenures</w:t>
            </w:r>
          </w:p>
          <w:p w:rsidR="00000000" w:rsidRPr="001502A7" w:rsidP="001502A7">
            <w:pPr>
              <w:pStyle w:val="ListBullet2"/>
            </w:pPr>
            <w:r w:rsidRPr="001502A7">
              <w:t>industrial</w:t>
            </w:r>
          </w:p>
          <w:p w:rsidR="00000000" w:rsidRPr="001502A7" w:rsidP="001502A7">
            <w:pPr>
              <w:pStyle w:val="ListBullet2"/>
            </w:pPr>
            <w:r w:rsidRPr="001502A7">
              <w:t>non-commercial</w:t>
            </w:r>
          </w:p>
          <w:p w:rsidR="00000000" w:rsidRPr="001502A7" w:rsidP="001502A7">
            <w:pPr>
              <w:pStyle w:val="ListBullet2"/>
            </w:pPr>
            <w:r w:rsidRPr="001502A7">
              <w:t>public utilities</w:t>
            </w:r>
          </w:p>
          <w:p w:rsidR="00000000" w:rsidRPr="001502A7" w:rsidP="001502A7">
            <w:pPr>
              <w:pStyle w:val="ListBullet2"/>
            </w:pPr>
            <w:r w:rsidRPr="001502A7">
              <w:t>residential</w:t>
            </w:r>
          </w:p>
          <w:p w:rsidR="00000000" w:rsidP="001502A7">
            <w:pPr>
              <w:pStyle w:val="ListBullet2"/>
              <w:rPr>
                <w:lang w:val="en-NZ"/>
              </w:rPr>
            </w:pPr>
            <w:r w:rsidRPr="001502A7">
              <w:t>rural</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Legislation, policy and procedures</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legislation related to Crown land, State land or public land administration, in particular Commonwealth Native Title Act 1993, regulations, and Wik amendments</w:t>
            </w:r>
          </w:p>
          <w:p w:rsidR="00000000" w:rsidRPr="001502A7" w:rsidP="001502A7">
            <w:pPr>
              <w:pStyle w:val="ListBullet2"/>
            </w:pPr>
            <w:r w:rsidRPr="001502A7">
              <w:t>public sector legislation such as equal employment opportunity, anti-discriminatio</w:t>
            </w:r>
            <w:r w:rsidRPr="001502A7">
              <w:t>n, diversity, occupational health and safety</w:t>
            </w:r>
          </w:p>
          <w:p w:rsidR="00000000" w:rsidRPr="001502A7" w:rsidP="001502A7">
            <w:pPr>
              <w:pStyle w:val="ListBullet2"/>
            </w:pPr>
            <w:r w:rsidRPr="001502A7">
              <w:t>privacy legislation and freedom of information</w:t>
            </w:r>
          </w:p>
          <w:p w:rsidR="00000000" w:rsidRPr="001502A7" w:rsidP="001502A7">
            <w:pPr>
              <w:pStyle w:val="ListBullet2"/>
            </w:pPr>
            <w:r w:rsidRPr="001502A7">
              <w:t>public sector standards</w:t>
            </w:r>
          </w:p>
          <w:p w:rsidR="00000000" w:rsidRPr="001502A7" w:rsidP="001502A7">
            <w:pPr>
              <w:pStyle w:val="ListBullet2"/>
            </w:pPr>
            <w:r w:rsidRPr="001502A7">
              <w:t>organisational standards</w:t>
            </w:r>
          </w:p>
          <w:p w:rsidR="00000000" w:rsidRPr="001502A7" w:rsidP="001502A7">
            <w:pPr>
              <w:pStyle w:val="ListBullet2"/>
            </w:pPr>
            <w:r w:rsidRPr="001502A7">
              <w:t>quality standards</w:t>
            </w:r>
          </w:p>
          <w:p w:rsidR="00000000" w:rsidP="001502A7">
            <w:pPr>
              <w:pStyle w:val="ListBullet2"/>
              <w:rPr>
                <w:lang w:val="en-NZ"/>
              </w:rPr>
            </w:pPr>
            <w:r w:rsidRPr="001502A7">
              <w:t>jurisdictional and organisational code/s of practice and code/s of ethics</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Organisational standards</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industry standards</w:t>
            </w:r>
          </w:p>
          <w:p w:rsidR="00000000" w:rsidP="001502A7">
            <w:pPr>
              <w:pStyle w:val="ListBullet2"/>
              <w:rPr>
                <w:lang w:val="en-NZ"/>
              </w:rPr>
            </w:pPr>
            <w:r w:rsidRPr="001502A7">
              <w:t>land titles office standards</w:t>
            </w:r>
          </w:p>
        </w:tc>
      </w:tr>
      <w:tr w:rsidTr="0015772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02A7">
            <w:pPr>
              <w:pStyle w:val="BodyText"/>
              <w:rPr>
                <w:lang w:val="en-NZ"/>
              </w:rPr>
            </w:pPr>
            <w:r w:rsidRPr="001502A7">
              <w:rPr>
                <w:rStyle w:val="BoldandItalics"/>
              </w:rPr>
              <w:t>Advice on tenure administration</w:t>
            </w:r>
            <w:r w:rsidRPr="001502A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502A7" w:rsidP="001502A7">
            <w:pPr>
              <w:pStyle w:val="ListBullet2"/>
            </w:pPr>
            <w:r w:rsidRPr="001502A7">
              <w:t>interpretation of legislation</w:t>
            </w:r>
          </w:p>
          <w:p w:rsidR="00000000" w:rsidRPr="001502A7" w:rsidP="001502A7">
            <w:pPr>
              <w:pStyle w:val="ListBullet2"/>
            </w:pPr>
            <w:r w:rsidRPr="001502A7">
              <w:t>survey matters</w:t>
            </w:r>
          </w:p>
          <w:p w:rsidR="00000000" w:rsidRPr="001502A7" w:rsidP="001502A7">
            <w:pPr>
              <w:pStyle w:val="ListBullet2"/>
            </w:pPr>
            <w:r w:rsidRPr="001502A7">
              <w:t>tenure conditions and covenants</w:t>
            </w:r>
          </w:p>
          <w:p w:rsidR="00000000" w:rsidRPr="001502A7" w:rsidP="001502A7">
            <w:pPr>
              <w:pStyle w:val="ListBullet2"/>
            </w:pPr>
            <w:r w:rsidRPr="001502A7">
              <w:t>plan approval and registration</w:t>
            </w:r>
          </w:p>
          <w:p w:rsidR="00000000" w:rsidRPr="001502A7" w:rsidP="001502A7">
            <w:pPr>
              <w:pStyle w:val="ListBullet2"/>
            </w:pPr>
            <w:r w:rsidRPr="001502A7">
              <w:t>departmental p</w:t>
            </w:r>
            <w:r w:rsidRPr="001502A7">
              <w:t>olicy</w:t>
            </w:r>
          </w:p>
          <w:p w:rsidR="00000000" w:rsidRPr="001502A7" w:rsidP="001502A7">
            <w:pPr>
              <w:pStyle w:val="ListBullet2"/>
            </w:pPr>
            <w:r w:rsidRPr="001502A7">
              <w:t>waiver of land assessment</w:t>
            </w:r>
          </w:p>
          <w:p w:rsidR="00000000" w:rsidRPr="001502A7" w:rsidP="001502A7">
            <w:pPr>
              <w:pStyle w:val="ListBullet2"/>
            </w:pPr>
            <w:r w:rsidRPr="001502A7">
              <w:t>waiver of fees</w:t>
            </w:r>
          </w:p>
          <w:p w:rsidR="00000000" w:rsidRPr="001502A7" w:rsidP="001502A7">
            <w:pPr>
              <w:pStyle w:val="ListBullet2"/>
            </w:pPr>
            <w:r w:rsidRPr="001502A7">
              <w:t>explanation of processes and policies</w:t>
            </w:r>
          </w:p>
          <w:p w:rsidR="00000000" w:rsidRPr="001502A7" w:rsidP="001502A7">
            <w:pPr>
              <w:pStyle w:val="ListBullet2"/>
            </w:pPr>
            <w:r w:rsidRPr="001502A7">
              <w:t>royalty rates for extractive industries</w:t>
            </w:r>
          </w:p>
          <w:p w:rsidR="00000000" w:rsidRPr="001502A7" w:rsidP="001502A7">
            <w:pPr>
              <w:pStyle w:val="ListBullet2"/>
            </w:pPr>
            <w:r w:rsidRPr="001502A7">
              <w:t>enclosure permits</w:t>
            </w:r>
          </w:p>
          <w:p w:rsidR="00000000" w:rsidRPr="001502A7" w:rsidP="001502A7">
            <w:pPr>
              <w:pStyle w:val="ListBullet2"/>
            </w:pPr>
            <w:r w:rsidRPr="001502A7">
              <w:t>conversions</w:t>
            </w:r>
          </w:p>
          <w:p w:rsidR="00000000" w:rsidRPr="001502A7" w:rsidP="001502A7">
            <w:pPr>
              <w:pStyle w:val="ListBullet2"/>
            </w:pPr>
            <w:r w:rsidRPr="001502A7">
              <w:t>lease/licence termination</w:t>
            </w:r>
          </w:p>
        </w:tc>
      </w:tr>
    </w:tbl>
    <w:p w:rsidR="00157729" w:rsidP="001502A7">
      <w:pPr>
        <w:pStyle w:val="BodyText"/>
      </w:pPr>
    </w:p>
    <w:p w:rsidR="00157729" w:rsidP="001502A7">
      <w:pPr>
        <w:pStyle w:val="BodyText"/>
      </w:pPr>
    </w:p>
    <w:p w:rsidR="00000000" w:rsidRPr="001502A7" w:rsidP="001502A7">
      <w:pPr>
        <w:pStyle w:val="Heading1"/>
      </w:pPr>
      <w:bookmarkStart w:id="12" w:name="O_496882"/>
      <w:bookmarkEnd w:id="12"/>
      <w:r w:rsidRPr="001502A7">
        <w:t>Unit Sector(s)</w:t>
      </w:r>
    </w:p>
    <w:p w:rsidR="00000000" w:rsidRPr="001502A7" w:rsidP="001502A7">
      <w:pPr>
        <w:pStyle w:val="BodyText"/>
      </w:pPr>
      <w:r w:rsidRPr="001502A7">
        <w:t>Not applicable.</w:t>
      </w:r>
    </w:p>
    <w:p w:rsidR="00000000" w:rsidRPr="001502A7" w:rsidP="001502A7">
      <w:pPr>
        <w:pStyle w:val="AllowPageBreak"/>
      </w:pPr>
    </w:p>
    <w:p w:rsidR="00000000" w:rsidRPr="001502A7" w:rsidP="001502A7">
      <w:pPr>
        <w:pStyle w:val="Heading1"/>
      </w:pPr>
      <w:bookmarkStart w:id="13" w:name="O_496894"/>
      <w:bookmarkEnd w:id="13"/>
      <w:r w:rsidRPr="001502A7">
        <w:t>Competency field</w:t>
      </w:r>
    </w:p>
    <w:p w:rsidR="00000000" w:rsidRPr="001502A7" w:rsidP="001502A7">
      <w:pPr>
        <w:pStyle w:val="BodyText"/>
      </w:pPr>
      <w:r w:rsidRPr="001502A7">
        <w:t>Public Land Administration.</w:t>
      </w:r>
    </w:p>
    <w:p w:rsidR="00000000" w:rsidRPr="001502A7" w:rsidP="001502A7"/>
    <w:sectPr w:rsidSect="00150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729" w:rsidP="001577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29" w:rsidP="00150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7729" w:rsidP="00150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7729" w:rsidP="00150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A7" w:rsidRPr="00157729" w:rsidP="001577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29" w:rsidRPr="002D2AF8" w:rsidP="001502A7">
    <w:pPr>
      <w:pStyle w:val="Header"/>
      <w:framePr w:wrap="around"/>
    </w:pPr>
    <w:r>
      <w:fldChar w:fldCharType="begin"/>
    </w:r>
    <w:r>
      <w:instrText xml:space="preserve"> TITLE   \* MERGEFORMAT </w:instrText>
    </w:r>
    <w:r>
      <w:fldChar w:fldCharType="separate"/>
    </w:r>
    <w:r>
      <w:t>PSPLAND404A Investigate tenure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57729" w:rsidP="00150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0D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2D4BE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2A7"/>
    <w:pPr>
      <w:spacing w:before="360" w:after="60"/>
      <w:outlineLvl w:val="0"/>
    </w:pPr>
    <w:rPr>
      <w:sz w:val="32"/>
    </w:rPr>
  </w:style>
  <w:style w:type="paragraph" w:styleId="Heading2">
    <w:name w:val="heading 2"/>
    <w:basedOn w:val="HeadingBase"/>
    <w:next w:val="BodyText"/>
    <w:link w:val="Heading2Char"/>
    <w:qFormat/>
    <w:rsid w:val="001502A7"/>
    <w:pPr>
      <w:keepLines/>
      <w:spacing w:before="240" w:after="120"/>
      <w:outlineLvl w:val="1"/>
    </w:pPr>
    <w:rPr>
      <w:sz w:val="28"/>
      <w:szCs w:val="40"/>
    </w:rPr>
  </w:style>
  <w:style w:type="paragraph" w:styleId="Heading3">
    <w:name w:val="heading 3"/>
    <w:basedOn w:val="HeadingBase"/>
    <w:next w:val="BodyText"/>
    <w:link w:val="Heading3Char"/>
    <w:qFormat/>
    <w:rsid w:val="001502A7"/>
    <w:pPr>
      <w:spacing w:before="180" w:after="120"/>
      <w:outlineLvl w:val="2"/>
    </w:pPr>
    <w:rPr>
      <w:spacing w:val="-10"/>
      <w:kern w:val="32"/>
    </w:rPr>
  </w:style>
  <w:style w:type="paragraph" w:styleId="Heading4">
    <w:name w:val="heading 4"/>
    <w:basedOn w:val="HeadingBase"/>
    <w:next w:val="BodyText"/>
    <w:link w:val="Heading4Char"/>
    <w:qFormat/>
    <w:rsid w:val="001502A7"/>
    <w:pPr>
      <w:spacing w:before="160" w:after="120"/>
      <w:outlineLvl w:val="3"/>
    </w:pPr>
    <w:rPr>
      <w:sz w:val="22"/>
    </w:rPr>
  </w:style>
  <w:style w:type="paragraph" w:styleId="Heading5">
    <w:name w:val="heading 5"/>
    <w:basedOn w:val="HeadingBase"/>
    <w:next w:val="Normal"/>
    <w:link w:val="Heading5Char"/>
    <w:qFormat/>
    <w:rsid w:val="001502A7"/>
    <w:pPr>
      <w:spacing w:before="80"/>
      <w:outlineLvl w:val="4"/>
    </w:pPr>
    <w:rPr>
      <w:color w:val="918585"/>
      <w:sz w:val="20"/>
    </w:rPr>
  </w:style>
  <w:style w:type="paragraph" w:styleId="Heading6">
    <w:name w:val="heading 6"/>
    <w:basedOn w:val="HeadingBase"/>
    <w:next w:val="Normal"/>
    <w:link w:val="Heading6Char"/>
    <w:qFormat/>
    <w:rsid w:val="001502A7"/>
    <w:pPr>
      <w:spacing w:before="60"/>
      <w:outlineLvl w:val="5"/>
    </w:pPr>
    <w:rPr>
      <w:color w:val="918585"/>
      <w:sz w:val="20"/>
    </w:rPr>
  </w:style>
  <w:style w:type="paragraph" w:styleId="Heading7">
    <w:name w:val="heading 7"/>
    <w:basedOn w:val="Normal"/>
    <w:next w:val="Normal"/>
    <w:link w:val="Heading7Char"/>
    <w:qFormat/>
    <w:rsid w:val="001502A7"/>
    <w:pPr>
      <w:ind w:left="720"/>
      <w:outlineLvl w:val="6"/>
    </w:pPr>
    <w:rPr>
      <w:i/>
    </w:rPr>
  </w:style>
  <w:style w:type="paragraph" w:styleId="Heading8">
    <w:name w:val="heading 8"/>
    <w:basedOn w:val="Normal"/>
    <w:next w:val="Normal"/>
    <w:link w:val="Heading8Char"/>
    <w:qFormat/>
    <w:rsid w:val="001502A7"/>
    <w:pPr>
      <w:ind w:left="720"/>
      <w:outlineLvl w:val="7"/>
    </w:pPr>
    <w:rPr>
      <w:i/>
    </w:rPr>
  </w:style>
  <w:style w:type="paragraph" w:styleId="Heading9">
    <w:name w:val="heading 9"/>
    <w:basedOn w:val="Normal"/>
    <w:next w:val="Normal"/>
    <w:link w:val="Heading9Char"/>
    <w:qFormat/>
    <w:rsid w:val="001502A7"/>
    <w:pPr>
      <w:ind w:left="720"/>
      <w:outlineLvl w:val="8"/>
    </w:pPr>
    <w:rPr>
      <w:i/>
    </w:rPr>
  </w:style>
  <w:style w:type="character" w:default="1" w:styleId="DefaultParagraphFont">
    <w:name w:val="Default Paragraph Font"/>
    <w:uiPriority w:val="1"/>
    <w:unhideWhenUsed/>
    <w:rsid w:val="00150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A7"/>
  </w:style>
  <w:style w:type="character" w:customStyle="1" w:styleId="Heading1Char">
    <w:name w:val="Heading 1 Char"/>
    <w:basedOn w:val="DefaultParagraphFont"/>
    <w:link w:val="Heading1"/>
    <w:rsid w:val="001502A7"/>
    <w:rPr>
      <w:rFonts w:ascii="Times New Roman" w:eastAsia="Times New Roman" w:hAnsi="Times New Roman" w:cs="Times New Roman"/>
      <w:b/>
      <w:sz w:val="32"/>
      <w:szCs w:val="20"/>
      <w:lang w:eastAsia="en-US"/>
    </w:rPr>
  </w:style>
  <w:style w:type="paragraph" w:styleId="BodyText">
    <w:name w:val="Body Text"/>
    <w:basedOn w:val="Normal"/>
    <w:link w:val="BodyTextChar"/>
    <w:rsid w:val="00150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2A7"/>
    <w:rPr>
      <w:rFonts w:ascii="Times New Roman" w:eastAsia="Times New Roman" w:hAnsi="Times New Roman" w:cs="Times New Roman"/>
      <w:sz w:val="24"/>
      <w:lang w:eastAsia="en-US"/>
    </w:rPr>
  </w:style>
  <w:style w:type="paragraph" w:styleId="Footer">
    <w:name w:val="footer"/>
    <w:basedOn w:val="Normal"/>
    <w:link w:val="FooterChar"/>
    <w:rsid w:val="00150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A7"/>
    <w:rPr>
      <w:rFonts w:ascii="Times New Roman" w:eastAsia="Times New Roman" w:hAnsi="Times New Roman" w:cs="Times New Roman"/>
      <w:sz w:val="16"/>
      <w:lang w:eastAsia="en-US"/>
    </w:rPr>
  </w:style>
  <w:style w:type="paragraph" w:styleId="List">
    <w:name w:val="List"/>
    <w:basedOn w:val="BodyText"/>
    <w:next w:val="BodyText"/>
    <w:rsid w:val="001502A7"/>
    <w:pPr>
      <w:tabs>
        <w:tab w:val="left" w:pos="340"/>
      </w:tabs>
      <w:spacing w:before="60" w:after="60"/>
      <w:ind w:left="340" w:hanging="340"/>
    </w:pPr>
  </w:style>
  <w:style w:type="character" w:customStyle="1" w:styleId="SpecialBold">
    <w:name w:val="Special Bold"/>
    <w:basedOn w:val="DefaultParagraphFont"/>
    <w:rsid w:val="001502A7"/>
    <w:rPr>
      <w:b/>
      <w:spacing w:val="0"/>
    </w:rPr>
  </w:style>
  <w:style w:type="paragraph" w:styleId="ListBullet2">
    <w:name w:val="List Bullet 2"/>
    <w:basedOn w:val="List2"/>
    <w:rsid w:val="001502A7"/>
    <w:pPr>
      <w:numPr>
        <w:numId w:val="14"/>
      </w:numPr>
      <w:tabs>
        <w:tab w:val="clear" w:pos="680"/>
      </w:tabs>
    </w:pPr>
  </w:style>
  <w:style w:type="character" w:styleId="Emphasis">
    <w:name w:val="Emphasis"/>
    <w:basedOn w:val="DefaultParagraphFont"/>
    <w:qFormat/>
    <w:rsid w:val="001502A7"/>
    <w:rPr>
      <w:i/>
    </w:rPr>
  </w:style>
  <w:style w:type="paragraph" w:customStyle="1" w:styleId="SuperHeading">
    <w:name w:val="SuperHeading"/>
    <w:basedOn w:val="Normal"/>
    <w:rsid w:val="001502A7"/>
    <w:pPr>
      <w:spacing w:before="240" w:after="120"/>
      <w:outlineLvl w:val="0"/>
    </w:pPr>
    <w:rPr>
      <w:rFonts w:ascii="Times New Roman" w:hAnsi="Times New Roman"/>
      <w:b/>
      <w:sz w:val="28"/>
    </w:rPr>
  </w:style>
  <w:style w:type="paragraph" w:customStyle="1" w:styleId="AllowPageBreak">
    <w:name w:val="AllowPageBreak"/>
    <w:rsid w:val="001502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02A7"/>
    <w:pPr>
      <w:numPr>
        <w:numId w:val="2"/>
      </w:numPr>
      <w:tabs>
        <w:tab w:val="clear" w:pos="1021"/>
      </w:tabs>
      <w:ind w:left="1037" w:hanging="357"/>
    </w:pPr>
  </w:style>
  <w:style w:type="character" w:customStyle="1" w:styleId="BoldandItalics">
    <w:name w:val="Bold and Italics"/>
    <w:qFormat/>
    <w:rsid w:val="001502A7"/>
    <w:rPr>
      <w:b/>
      <w:i/>
      <w:u w:val="none"/>
    </w:rPr>
  </w:style>
  <w:style w:type="character" w:customStyle="1" w:styleId="Heading2Char">
    <w:name w:val="Heading 2 Char"/>
    <w:basedOn w:val="DefaultParagraphFont"/>
    <w:link w:val="Heading2"/>
    <w:rsid w:val="00150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2A7"/>
    <w:rPr>
      <w:rFonts w:ascii="Courier New" w:eastAsia="Times New Roman" w:hAnsi="Courier New" w:cs="Times New Roman"/>
      <w:i/>
      <w:szCs w:val="20"/>
      <w:lang w:eastAsia="en-US"/>
    </w:rPr>
  </w:style>
  <w:style w:type="paragraph" w:customStyle="1" w:styleId="HeadingBase">
    <w:name w:val="Heading Base"/>
    <w:rsid w:val="00150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A7"/>
    <w:pPr>
      <w:tabs>
        <w:tab w:val="right" w:leader="dot" w:pos="9072"/>
      </w:tabs>
      <w:ind w:left="567"/>
    </w:pPr>
    <w:rPr>
      <w:szCs w:val="22"/>
    </w:rPr>
  </w:style>
  <w:style w:type="paragraph" w:customStyle="1" w:styleId="TOCBase">
    <w:name w:val="TOC Base"/>
    <w:rsid w:val="00150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A7"/>
    <w:pPr>
      <w:tabs>
        <w:tab w:val="right" w:leader="dot" w:pos="9072"/>
      </w:tabs>
      <w:spacing w:before="40" w:after="40"/>
      <w:ind w:left="284"/>
    </w:pPr>
    <w:rPr>
      <w:rFonts w:ascii="Times New Roman" w:hAnsi="Times New Roman"/>
    </w:rPr>
  </w:style>
  <w:style w:type="paragraph" w:styleId="TOC1">
    <w:name w:val="toc 1"/>
    <w:basedOn w:val="TOCBase"/>
    <w:next w:val="Normal"/>
    <w:rsid w:val="00150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2A7"/>
    <w:pPr>
      <w:spacing w:before="5040"/>
      <w:jc w:val="center"/>
    </w:pPr>
    <w:rPr>
      <w:sz w:val="48"/>
      <w:szCs w:val="72"/>
      <w:lang w:val="en-US"/>
    </w:rPr>
  </w:style>
  <w:style w:type="character" w:customStyle="1" w:styleId="TitleChar">
    <w:name w:val="Title Char"/>
    <w:basedOn w:val="DefaultParagraphFont"/>
    <w:link w:val="Title"/>
    <w:rsid w:val="00150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A7"/>
    <w:pPr>
      <w:tabs>
        <w:tab w:val="left" w:pos="3600"/>
        <w:tab w:val="left" w:pos="3958"/>
      </w:tabs>
    </w:pPr>
  </w:style>
  <w:style w:type="paragraph" w:styleId="ListBullet">
    <w:name w:val="List Bullet"/>
    <w:basedOn w:val="List"/>
    <w:rsid w:val="001502A7"/>
    <w:pPr>
      <w:numPr>
        <w:numId w:val="13"/>
      </w:numPr>
      <w:tabs>
        <w:tab w:val="clear" w:pos="340"/>
      </w:tabs>
      <w:spacing w:before="40" w:after="40"/>
    </w:pPr>
  </w:style>
  <w:style w:type="paragraph" w:customStyle="1" w:styleId="Note">
    <w:name w:val="Note"/>
    <w:basedOn w:val="BodyText"/>
    <w:rsid w:val="00150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2A7"/>
    <w:pPr>
      <w:framePr w:wrap="auto" w:hAnchor="text" w:y="6049"/>
    </w:pPr>
    <w:rPr>
      <w:color w:val="000000"/>
      <w:sz w:val="40"/>
    </w:rPr>
  </w:style>
  <w:style w:type="paragraph" w:customStyle="1" w:styleId="TOCTitle">
    <w:name w:val="TOCTitle"/>
    <w:basedOn w:val="Heading1"/>
    <w:rsid w:val="001502A7"/>
    <w:pPr>
      <w:spacing w:after="240"/>
      <w:jc w:val="center"/>
      <w:outlineLvl w:val="9"/>
    </w:pPr>
    <w:rPr>
      <w:caps/>
    </w:rPr>
  </w:style>
  <w:style w:type="paragraph" w:customStyle="1" w:styleId="Version">
    <w:name w:val="Version"/>
    <w:rsid w:val="00150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2A7"/>
    <w:pPr>
      <w:keepNext w:val="0"/>
      <w:tabs>
        <w:tab w:val="right" w:pos="4176"/>
      </w:tabs>
      <w:ind w:left="198" w:hanging="198"/>
    </w:pPr>
    <w:rPr>
      <w:rFonts w:ascii="Garamond" w:hAnsi="Garamond"/>
    </w:rPr>
  </w:style>
  <w:style w:type="paragraph" w:styleId="IndexHeading">
    <w:name w:val="index heading"/>
    <w:basedOn w:val="Normal"/>
    <w:next w:val="Index1"/>
    <w:semiHidden/>
    <w:rsid w:val="001502A7"/>
    <w:pPr>
      <w:spacing w:before="120" w:after="120"/>
    </w:pPr>
    <w:rPr>
      <w:rFonts w:ascii="Arial" w:hAnsi="Arial"/>
      <w:b/>
      <w:color w:val="918585"/>
      <w:sz w:val="24"/>
    </w:rPr>
  </w:style>
  <w:style w:type="paragraph" w:styleId="Header">
    <w:name w:val="header"/>
    <w:basedOn w:val="Normal"/>
    <w:link w:val="HeaderChar"/>
    <w:rsid w:val="00150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A7"/>
    <w:rPr>
      <w:rFonts w:ascii="Times New Roman" w:eastAsia="Times New Roman" w:hAnsi="Times New Roman" w:cs="Times New Roman"/>
      <w:sz w:val="16"/>
      <w:szCs w:val="20"/>
      <w:lang w:val="en-GB" w:eastAsia="en-US"/>
    </w:rPr>
  </w:style>
  <w:style w:type="paragraph" w:customStyle="1" w:styleId="Chapter">
    <w:name w:val="Chapter"/>
    <w:basedOn w:val="Normal"/>
    <w:rsid w:val="001502A7"/>
    <w:pPr>
      <w:spacing w:before="240"/>
    </w:pPr>
    <w:rPr>
      <w:rFonts w:ascii="Times New Roman" w:hAnsi="Times New Roman"/>
      <w:smallCaps/>
      <w:spacing w:val="80"/>
      <w:sz w:val="28"/>
    </w:rPr>
  </w:style>
  <w:style w:type="paragraph" w:customStyle="1" w:styleId="InChapter">
    <w:name w:val="InChapter"/>
    <w:basedOn w:val="Heading3"/>
    <w:rsid w:val="001502A7"/>
    <w:pPr>
      <w:spacing w:after="240"/>
      <w:outlineLvl w:val="9"/>
    </w:pPr>
    <w:rPr>
      <w:noProof/>
    </w:rPr>
  </w:style>
  <w:style w:type="paragraph" w:styleId="Index2">
    <w:name w:val="index 2"/>
    <w:basedOn w:val="Normal"/>
    <w:next w:val="Normal"/>
    <w:semiHidden/>
    <w:rsid w:val="001502A7"/>
    <w:pPr>
      <w:tabs>
        <w:tab w:val="right" w:pos="4176"/>
      </w:tabs>
      <w:ind w:left="568" w:hanging="284"/>
    </w:pPr>
    <w:rPr>
      <w:rFonts w:ascii="Garamond" w:hAnsi="Garamond"/>
    </w:rPr>
  </w:style>
  <w:style w:type="paragraph" w:customStyle="1" w:styleId="Byline">
    <w:name w:val="Byline"/>
    <w:rsid w:val="00150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A7"/>
    <w:pPr>
      <w:tabs>
        <w:tab w:val="clear" w:pos="3600"/>
        <w:tab w:val="clear" w:pos="3958"/>
      </w:tabs>
      <w:jc w:val="right"/>
    </w:pPr>
  </w:style>
  <w:style w:type="paragraph" w:styleId="Caption">
    <w:name w:val="caption"/>
    <w:basedOn w:val="BodyText"/>
    <w:next w:val="Normal"/>
    <w:qFormat/>
    <w:rsid w:val="001502A7"/>
    <w:pPr>
      <w:framePr w:w="2268" w:hSpace="181" w:vSpace="181" w:wrap="around" w:vAnchor="text" w:hAnchor="page" w:x="1135" w:y="285" w:anchorLock="1"/>
    </w:pPr>
    <w:rPr>
      <w:i/>
    </w:rPr>
  </w:style>
  <w:style w:type="paragraph" w:customStyle="1" w:styleId="MiniTOCTitle">
    <w:name w:val="MiniTOCTitle"/>
    <w:basedOn w:val="Heading4"/>
    <w:rsid w:val="001502A7"/>
    <w:pPr>
      <w:spacing w:before="240"/>
      <w:outlineLvl w:val="9"/>
    </w:pPr>
    <w:rPr>
      <w:noProof/>
      <w:sz w:val="24"/>
    </w:rPr>
  </w:style>
  <w:style w:type="paragraph" w:customStyle="1" w:styleId="MiniTOCItem">
    <w:name w:val="MiniTOCItem"/>
    <w:basedOn w:val="ListBullet"/>
    <w:rsid w:val="001502A7"/>
    <w:pPr>
      <w:numPr>
        <w:numId w:val="0"/>
      </w:numPr>
      <w:tabs>
        <w:tab w:val="right" w:leader="dot" w:pos="6521"/>
      </w:tabs>
      <w:spacing w:before="0" w:after="0"/>
    </w:pPr>
  </w:style>
  <w:style w:type="paragraph" w:customStyle="1" w:styleId="TOFTitle">
    <w:name w:val="TOFTitle"/>
    <w:basedOn w:val="TOCTitle"/>
    <w:rsid w:val="001502A7"/>
  </w:style>
  <w:style w:type="paragraph" w:styleId="TableofFigures">
    <w:name w:val="table of figures"/>
    <w:basedOn w:val="Normal"/>
    <w:next w:val="Normal"/>
    <w:semiHidden/>
    <w:rsid w:val="001502A7"/>
    <w:pPr>
      <w:tabs>
        <w:tab w:val="right" w:leader="dot" w:pos="9072"/>
      </w:tabs>
      <w:ind w:left="970" w:hanging="403"/>
    </w:pPr>
    <w:rPr>
      <w:rFonts w:ascii="Times New Roman" w:hAnsi="Times New Roman"/>
      <w:b/>
    </w:rPr>
  </w:style>
  <w:style w:type="paragraph" w:styleId="ListNumber">
    <w:name w:val="List Number"/>
    <w:basedOn w:val="List"/>
    <w:rsid w:val="001502A7"/>
    <w:pPr>
      <w:numPr>
        <w:numId w:val="11"/>
      </w:numPr>
    </w:pPr>
  </w:style>
  <w:style w:type="character" w:customStyle="1" w:styleId="WingdingSymbols">
    <w:name w:val="Wingding Symbols"/>
    <w:rsid w:val="001502A7"/>
    <w:rPr>
      <w:rFonts w:ascii="Wingdings" w:hAnsi="Wingdings"/>
    </w:rPr>
  </w:style>
  <w:style w:type="paragraph" w:customStyle="1" w:styleId="TableHeading">
    <w:name w:val="Table Heading"/>
    <w:basedOn w:val="HeadingBase"/>
    <w:rsid w:val="001502A7"/>
    <w:pPr>
      <w:keepLines/>
      <w:pBdr>
        <w:bottom w:val="single" w:sz="6" w:space="1" w:color="918585"/>
      </w:pBdr>
      <w:spacing w:before="240"/>
    </w:pPr>
  </w:style>
  <w:style w:type="character" w:customStyle="1" w:styleId="HotSpot">
    <w:name w:val="HotSpot"/>
    <w:rsid w:val="001502A7"/>
    <w:rPr>
      <w:color w:val="0033CC"/>
      <w:u w:val="none"/>
    </w:rPr>
  </w:style>
  <w:style w:type="paragraph" w:customStyle="1" w:styleId="BodyTextRight">
    <w:name w:val="Body Text Right"/>
    <w:basedOn w:val="BodyText"/>
    <w:rsid w:val="001502A7"/>
    <w:pPr>
      <w:spacing w:before="0" w:after="0"/>
      <w:jc w:val="right"/>
    </w:pPr>
  </w:style>
  <w:style w:type="paragraph" w:styleId="Index3">
    <w:name w:val="index 3"/>
    <w:basedOn w:val="ListNumber2"/>
    <w:next w:val="Normal"/>
    <w:semiHidden/>
    <w:rsid w:val="001502A7"/>
    <w:pPr>
      <w:numPr>
        <w:numId w:val="0"/>
      </w:numPr>
      <w:tabs>
        <w:tab w:val="right" w:leader="dot" w:pos="4176"/>
      </w:tabs>
    </w:pPr>
  </w:style>
  <w:style w:type="paragraph" w:styleId="ListNumber2">
    <w:name w:val="List Number 2"/>
    <w:basedOn w:val="List2"/>
    <w:rsid w:val="001502A7"/>
    <w:pPr>
      <w:numPr>
        <w:numId w:val="10"/>
      </w:numPr>
      <w:tabs>
        <w:tab w:val="clear" w:pos="1060"/>
      </w:tabs>
    </w:pPr>
  </w:style>
  <w:style w:type="paragraph" w:customStyle="1" w:styleId="MarginNote">
    <w:name w:val="Margin Note"/>
    <w:basedOn w:val="BodyText"/>
    <w:rsid w:val="00150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2A7"/>
    <w:rPr>
      <w:sz w:val="32"/>
    </w:rPr>
  </w:style>
  <w:style w:type="paragraph" w:customStyle="1" w:styleId="HeadingProcedure">
    <w:name w:val="Heading Procedure"/>
    <w:basedOn w:val="HeadingBase"/>
    <w:next w:val="Normal"/>
    <w:rsid w:val="001502A7"/>
    <w:pPr>
      <w:tabs>
        <w:tab w:val="left" w:pos="0"/>
      </w:tabs>
      <w:spacing w:before="120" w:after="60"/>
    </w:pPr>
    <w:rPr>
      <w:i/>
      <w:color w:val="918585"/>
      <w:sz w:val="22"/>
    </w:rPr>
  </w:style>
  <w:style w:type="paragraph" w:customStyle="1" w:styleId="TableBodyText">
    <w:name w:val="Table Body Text"/>
    <w:basedOn w:val="BodyText"/>
    <w:rsid w:val="001502A7"/>
    <w:pPr>
      <w:spacing w:before="60" w:after="60"/>
    </w:pPr>
  </w:style>
  <w:style w:type="paragraph" w:styleId="ListContinue">
    <w:name w:val="List Continue"/>
    <w:basedOn w:val="List"/>
    <w:rsid w:val="001502A7"/>
    <w:pPr>
      <w:ind w:firstLine="0"/>
    </w:pPr>
  </w:style>
  <w:style w:type="paragraph" w:customStyle="1" w:styleId="ListNote">
    <w:name w:val="List Note"/>
    <w:basedOn w:val="List"/>
    <w:rsid w:val="001502A7"/>
    <w:pPr>
      <w:pBdr>
        <w:top w:val="single" w:sz="6" w:space="2" w:color="918585"/>
        <w:bottom w:val="single" w:sz="6" w:space="2" w:color="918585"/>
      </w:pBdr>
      <w:tabs>
        <w:tab w:val="left" w:pos="1021"/>
      </w:tabs>
      <w:ind w:firstLine="0"/>
    </w:pPr>
  </w:style>
  <w:style w:type="paragraph" w:customStyle="1" w:styleId="Warning">
    <w:name w:val="Warning"/>
    <w:basedOn w:val="BodyText"/>
    <w:rsid w:val="001502A7"/>
    <w:pPr>
      <w:shd w:val="clear" w:color="auto" w:fill="D9D9D9"/>
      <w:tabs>
        <w:tab w:val="left" w:pos="992"/>
      </w:tabs>
      <w:ind w:left="119" w:right="119"/>
    </w:pPr>
    <w:rPr>
      <w:sz w:val="20"/>
    </w:rPr>
  </w:style>
  <w:style w:type="paragraph" w:customStyle="1" w:styleId="MarginIcons">
    <w:name w:val="Margin Icons"/>
    <w:basedOn w:val="BodyText"/>
    <w:rsid w:val="00150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A7"/>
    <w:rPr>
      <w:rFonts w:ascii="Courier New" w:hAnsi="Courier New"/>
    </w:rPr>
  </w:style>
  <w:style w:type="paragraph" w:customStyle="1" w:styleId="NoteBullet">
    <w:name w:val="Note Bullet"/>
    <w:basedOn w:val="Note"/>
    <w:rsid w:val="001502A7"/>
    <w:pPr>
      <w:tabs>
        <w:tab w:val="clear" w:pos="680"/>
      </w:tabs>
      <w:spacing w:before="60" w:after="60"/>
    </w:pPr>
  </w:style>
  <w:style w:type="paragraph" w:customStyle="1" w:styleId="SubHeading2">
    <w:name w:val="SubHeading2"/>
    <w:basedOn w:val="HeadingBase"/>
    <w:rsid w:val="001502A7"/>
    <w:pPr>
      <w:spacing w:before="240" w:after="60"/>
    </w:pPr>
    <w:rPr>
      <w:sz w:val="20"/>
    </w:rPr>
  </w:style>
  <w:style w:type="paragraph" w:customStyle="1" w:styleId="SubHeading1">
    <w:name w:val="SubHeading1"/>
    <w:basedOn w:val="HeadingBase"/>
    <w:rsid w:val="001502A7"/>
    <w:pPr>
      <w:spacing w:before="240" w:after="60"/>
    </w:pPr>
    <w:rPr>
      <w:color w:val="918585"/>
      <w:sz w:val="22"/>
    </w:rPr>
  </w:style>
  <w:style w:type="paragraph" w:customStyle="1" w:styleId="SideHeading">
    <w:name w:val="Side Heading"/>
    <w:basedOn w:val="HeadingBase"/>
    <w:rsid w:val="00150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A7"/>
    <w:pPr>
      <w:numPr>
        <w:numId w:val="12"/>
      </w:numPr>
    </w:pPr>
  </w:style>
  <w:style w:type="paragraph" w:styleId="PlainText">
    <w:name w:val="Plain Text"/>
    <w:basedOn w:val="Normal"/>
    <w:link w:val="PlainTextChar"/>
    <w:rsid w:val="001502A7"/>
    <w:rPr>
      <w:sz w:val="20"/>
    </w:rPr>
  </w:style>
  <w:style w:type="character" w:customStyle="1" w:styleId="PlainTextChar">
    <w:name w:val="Plain Text Char"/>
    <w:basedOn w:val="DefaultParagraphFont"/>
    <w:link w:val="PlainText"/>
    <w:rsid w:val="001502A7"/>
    <w:rPr>
      <w:rFonts w:ascii="Courier New" w:eastAsia="Times New Roman" w:hAnsi="Courier New" w:cs="Times New Roman"/>
      <w:sz w:val="20"/>
      <w:szCs w:val="20"/>
      <w:lang w:eastAsia="en-US"/>
    </w:rPr>
  </w:style>
  <w:style w:type="character" w:customStyle="1" w:styleId="MenuOption">
    <w:name w:val="Menu Option"/>
    <w:basedOn w:val="DefaultParagraphFont"/>
    <w:rsid w:val="001502A7"/>
    <w:rPr>
      <w:b/>
      <w:smallCaps/>
    </w:rPr>
  </w:style>
  <w:style w:type="paragraph" w:customStyle="1" w:styleId="TableListNumber">
    <w:name w:val="Table List Number"/>
    <w:basedOn w:val="ListNumber"/>
    <w:rsid w:val="001502A7"/>
    <w:pPr>
      <w:numPr>
        <w:numId w:val="0"/>
      </w:numPr>
    </w:pPr>
  </w:style>
  <w:style w:type="paragraph" w:styleId="TOC4">
    <w:name w:val="toc 4"/>
    <w:basedOn w:val="TOCBase"/>
    <w:next w:val="Normal"/>
    <w:semiHidden/>
    <w:rsid w:val="001502A7"/>
    <w:pPr>
      <w:tabs>
        <w:tab w:val="right" w:leader="dot" w:pos="9071"/>
      </w:tabs>
      <w:ind w:left="1701"/>
    </w:pPr>
  </w:style>
  <w:style w:type="paragraph" w:customStyle="1" w:styleId="ListAlpha">
    <w:name w:val="List Alpha"/>
    <w:basedOn w:val="List"/>
    <w:rsid w:val="001502A7"/>
    <w:pPr>
      <w:numPr>
        <w:numId w:val="9"/>
      </w:numPr>
    </w:pPr>
  </w:style>
  <w:style w:type="paragraph" w:customStyle="1" w:styleId="ListAlpha2">
    <w:name w:val="List Alpha 2"/>
    <w:basedOn w:val="List2"/>
    <w:rsid w:val="001502A7"/>
    <w:pPr>
      <w:numPr>
        <w:numId w:val="8"/>
      </w:numPr>
    </w:pPr>
  </w:style>
  <w:style w:type="paragraph" w:styleId="List2">
    <w:name w:val="List 2"/>
    <w:basedOn w:val="BodyText"/>
    <w:rsid w:val="001502A7"/>
    <w:pPr>
      <w:tabs>
        <w:tab w:val="left" w:pos="680"/>
      </w:tabs>
      <w:spacing w:before="60" w:after="60"/>
      <w:ind w:left="680" w:hanging="340"/>
    </w:pPr>
  </w:style>
  <w:style w:type="paragraph" w:styleId="List3">
    <w:name w:val="List 3"/>
    <w:basedOn w:val="BodyText"/>
    <w:rsid w:val="001502A7"/>
    <w:pPr>
      <w:tabs>
        <w:tab w:val="left" w:pos="1021"/>
      </w:tabs>
      <w:spacing w:before="60" w:after="60"/>
      <w:ind w:left="1020" w:hanging="340"/>
    </w:pPr>
  </w:style>
  <w:style w:type="paragraph" w:styleId="List4">
    <w:name w:val="List 4"/>
    <w:basedOn w:val="BodyText"/>
    <w:rsid w:val="001502A7"/>
    <w:pPr>
      <w:tabs>
        <w:tab w:val="left" w:pos="1361"/>
      </w:tabs>
      <w:spacing w:before="60" w:after="60"/>
      <w:ind w:left="1361" w:hanging="340"/>
    </w:pPr>
  </w:style>
  <w:style w:type="paragraph" w:styleId="List5">
    <w:name w:val="List 5"/>
    <w:basedOn w:val="BodyText"/>
    <w:rsid w:val="001502A7"/>
    <w:pPr>
      <w:tabs>
        <w:tab w:val="left" w:pos="1701"/>
      </w:tabs>
      <w:spacing w:before="60" w:after="60"/>
      <w:ind w:left="1701" w:hanging="340"/>
    </w:pPr>
  </w:style>
  <w:style w:type="paragraph" w:styleId="ListBullet4">
    <w:name w:val="List Bullet 4"/>
    <w:basedOn w:val="List4"/>
    <w:rsid w:val="001502A7"/>
    <w:pPr>
      <w:numPr>
        <w:numId w:val="3"/>
      </w:numPr>
    </w:pPr>
  </w:style>
  <w:style w:type="paragraph" w:styleId="ListBullet5">
    <w:name w:val="List Bullet 5"/>
    <w:basedOn w:val="List5"/>
    <w:rsid w:val="001502A7"/>
    <w:pPr>
      <w:numPr>
        <w:numId w:val="4"/>
      </w:numPr>
    </w:pPr>
  </w:style>
  <w:style w:type="paragraph" w:styleId="ListContinue2">
    <w:name w:val="List Continue 2"/>
    <w:basedOn w:val="List2"/>
    <w:rsid w:val="001502A7"/>
    <w:pPr>
      <w:ind w:firstLine="0"/>
    </w:pPr>
  </w:style>
  <w:style w:type="paragraph" w:styleId="ListContinue3">
    <w:name w:val="List Continue 3"/>
    <w:basedOn w:val="List3"/>
    <w:rsid w:val="001502A7"/>
    <w:pPr>
      <w:ind w:left="1021" w:firstLine="0"/>
    </w:pPr>
  </w:style>
  <w:style w:type="paragraph" w:styleId="ListContinue4">
    <w:name w:val="List Continue 4"/>
    <w:basedOn w:val="List4"/>
    <w:rsid w:val="001502A7"/>
    <w:pPr>
      <w:ind w:firstLine="0"/>
    </w:pPr>
  </w:style>
  <w:style w:type="paragraph" w:styleId="ListContinue5">
    <w:name w:val="List Continue 5"/>
    <w:basedOn w:val="List5"/>
    <w:rsid w:val="001502A7"/>
    <w:pPr>
      <w:ind w:firstLine="0"/>
    </w:pPr>
  </w:style>
  <w:style w:type="paragraph" w:styleId="ListNumber3">
    <w:name w:val="List Number 3"/>
    <w:basedOn w:val="List3"/>
    <w:rsid w:val="001502A7"/>
    <w:pPr>
      <w:numPr>
        <w:numId w:val="5"/>
      </w:numPr>
    </w:pPr>
  </w:style>
  <w:style w:type="paragraph" w:styleId="ListNumber4">
    <w:name w:val="List Number 4"/>
    <w:basedOn w:val="List4"/>
    <w:rsid w:val="001502A7"/>
    <w:pPr>
      <w:numPr>
        <w:numId w:val="6"/>
      </w:numPr>
    </w:pPr>
  </w:style>
  <w:style w:type="paragraph" w:styleId="ListNumber5">
    <w:name w:val="List Number 5"/>
    <w:basedOn w:val="List5"/>
    <w:rsid w:val="001502A7"/>
    <w:pPr>
      <w:numPr>
        <w:numId w:val="7"/>
      </w:numPr>
    </w:pPr>
  </w:style>
  <w:style w:type="paragraph" w:styleId="BlockText">
    <w:name w:val="Block Text"/>
    <w:basedOn w:val="Normal"/>
    <w:rsid w:val="001502A7"/>
    <w:pPr>
      <w:spacing w:after="120"/>
      <w:ind w:left="1440" w:right="1440"/>
    </w:pPr>
  </w:style>
  <w:style w:type="character" w:customStyle="1" w:styleId="Subscript">
    <w:name w:val="Subscript"/>
    <w:basedOn w:val="DefaultParagraphFont"/>
    <w:rsid w:val="001502A7"/>
    <w:rPr>
      <w:sz w:val="16"/>
      <w:vertAlign w:val="subscript"/>
    </w:rPr>
  </w:style>
  <w:style w:type="character" w:customStyle="1" w:styleId="Superscript">
    <w:name w:val="Superscript"/>
    <w:basedOn w:val="DefaultParagraphFont"/>
    <w:rsid w:val="001502A7"/>
    <w:rPr>
      <w:sz w:val="16"/>
      <w:vertAlign w:val="superscript"/>
    </w:rPr>
  </w:style>
  <w:style w:type="character" w:customStyle="1" w:styleId="Symbols">
    <w:name w:val="Symbols"/>
    <w:basedOn w:val="DefaultParagraphFont"/>
    <w:rsid w:val="001502A7"/>
    <w:rPr>
      <w:rFonts w:ascii="Symbol" w:hAnsi="Symbol"/>
    </w:rPr>
  </w:style>
  <w:style w:type="character" w:customStyle="1" w:styleId="MenuOptions">
    <w:name w:val="Menu Options"/>
    <w:basedOn w:val="DefaultParagraphFont"/>
    <w:rsid w:val="001502A7"/>
    <w:rPr>
      <w:rFonts w:ascii="Arial Narrow" w:hAnsi="Arial Narrow"/>
      <w:smallCaps/>
    </w:rPr>
  </w:style>
  <w:style w:type="character" w:customStyle="1" w:styleId="Buttons">
    <w:name w:val="Buttons"/>
    <w:basedOn w:val="DefaultParagraphFont"/>
    <w:rsid w:val="001502A7"/>
    <w:rPr>
      <w:b/>
    </w:rPr>
  </w:style>
  <w:style w:type="character" w:customStyle="1" w:styleId="Underlined">
    <w:name w:val="Underlined"/>
    <w:basedOn w:val="DefaultParagraphFont"/>
    <w:rsid w:val="001502A7"/>
    <w:rPr>
      <w:u w:val="single"/>
    </w:rPr>
  </w:style>
  <w:style w:type="paragraph" w:customStyle="1" w:styleId="TableBodyTextRight">
    <w:name w:val="Table Body Text Right"/>
    <w:basedOn w:val="TableBodyText"/>
    <w:rsid w:val="001502A7"/>
    <w:pPr>
      <w:widowControl w:val="0"/>
      <w:autoSpaceDE w:val="0"/>
      <w:autoSpaceDN w:val="0"/>
      <w:adjustRightInd w:val="0"/>
      <w:jc w:val="right"/>
    </w:pPr>
    <w:rPr>
      <w:rFonts w:cs="Arial"/>
      <w:szCs w:val="18"/>
    </w:rPr>
  </w:style>
  <w:style w:type="paragraph" w:customStyle="1" w:styleId="CopyrightText">
    <w:name w:val="Copyright Text"/>
    <w:basedOn w:val="BodyText"/>
    <w:rsid w:val="001502A7"/>
    <w:rPr>
      <w:sz w:val="18"/>
    </w:rPr>
  </w:style>
  <w:style w:type="paragraph" w:customStyle="1" w:styleId="BodySmallRight">
    <w:name w:val="Body Small Right"/>
    <w:basedOn w:val="BodyTextRight"/>
    <w:rsid w:val="001502A7"/>
    <w:rPr>
      <w:sz w:val="18"/>
      <w:szCs w:val="18"/>
    </w:rPr>
  </w:style>
  <w:style w:type="paragraph" w:customStyle="1" w:styleId="MarginEdition">
    <w:name w:val="Margin Edition"/>
    <w:basedOn w:val="MarginNote"/>
    <w:rsid w:val="001502A7"/>
    <w:pPr>
      <w:spacing w:before="0" w:after="0"/>
    </w:pPr>
    <w:rPr>
      <w:rFonts w:ascii="Times New Roman" w:hAnsi="Times New Roman"/>
      <w:color w:val="999999"/>
    </w:rPr>
  </w:style>
  <w:style w:type="paragraph" w:customStyle="1" w:styleId="Spacer">
    <w:name w:val="Spacer"/>
    <w:basedOn w:val="Normal"/>
    <w:rsid w:val="001502A7"/>
    <w:rPr>
      <w:sz w:val="2"/>
      <w:szCs w:val="2"/>
    </w:rPr>
  </w:style>
  <w:style w:type="character" w:customStyle="1" w:styleId="Small">
    <w:name w:val="Small"/>
    <w:basedOn w:val="DefaultParagraphFont"/>
    <w:rsid w:val="001502A7"/>
    <w:rPr>
      <w:sz w:val="16"/>
    </w:rPr>
  </w:style>
  <w:style w:type="paragraph" w:customStyle="1" w:styleId="WideTable">
    <w:name w:val="Wide Table"/>
    <w:basedOn w:val="Normal"/>
    <w:rsid w:val="001502A7"/>
    <w:pPr>
      <w:ind w:left="-1418"/>
    </w:pPr>
    <w:rPr>
      <w:sz w:val="2"/>
      <w:szCs w:val="2"/>
    </w:rPr>
  </w:style>
  <w:style w:type="character" w:styleId="PageNumber">
    <w:name w:val="page number"/>
    <w:basedOn w:val="DefaultParagraphFont"/>
    <w:rsid w:val="001502A7"/>
  </w:style>
  <w:style w:type="paragraph" w:styleId="Quote">
    <w:name w:val="Quote"/>
    <w:basedOn w:val="Heading1"/>
    <w:link w:val="QuoteChar"/>
    <w:qFormat/>
    <w:rsid w:val="001502A7"/>
    <w:rPr>
      <w:b w:val="0"/>
      <w:sz w:val="72"/>
      <w:szCs w:val="72"/>
      <w:lang w:val="en-NZ"/>
    </w:rPr>
  </w:style>
  <w:style w:type="character" w:customStyle="1" w:styleId="QuoteChar">
    <w:name w:val="Quote Char"/>
    <w:basedOn w:val="DefaultParagraphFont"/>
    <w:link w:val="Quote"/>
    <w:rsid w:val="00150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A7"/>
    <w:pPr>
      <w:pageBreakBefore/>
    </w:pPr>
  </w:style>
  <w:style w:type="paragraph" w:customStyle="1" w:styleId="Border">
    <w:name w:val="Border"/>
    <w:basedOn w:val="Normal"/>
    <w:qFormat/>
    <w:rsid w:val="00150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A7"/>
    <w:rPr>
      <w:b/>
      <w:bCs/>
      <w:i/>
      <w:iCs/>
      <w:color w:val="auto"/>
    </w:rPr>
  </w:style>
  <w:style w:type="paragraph" w:styleId="IntenseQuote">
    <w:name w:val="Intense Quote"/>
    <w:basedOn w:val="Normal"/>
    <w:next w:val="Normal"/>
    <w:link w:val="IntenseQuoteChar"/>
    <w:uiPriority w:val="30"/>
    <w:qFormat/>
    <w:rsid w:val="00150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2A7"/>
    <w:rPr>
      <w:smallCaps/>
      <w:color w:val="auto"/>
      <w:u w:val="single"/>
    </w:rPr>
  </w:style>
  <w:style w:type="character" w:styleId="IntenseReference">
    <w:name w:val="Intense Reference"/>
    <w:basedOn w:val="DefaultParagraphFont"/>
    <w:uiPriority w:val="32"/>
    <w:qFormat/>
    <w:rsid w:val="001502A7"/>
    <w:rPr>
      <w:b/>
      <w:bCs/>
      <w:smallCaps/>
      <w:color w:val="auto"/>
      <w:spacing w:val="5"/>
      <w:u w:val="single"/>
    </w:rPr>
  </w:style>
  <w:style w:type="paragraph" w:customStyle="1" w:styleId="2ColumnHeading">
    <w:name w:val="2Column Heading"/>
    <w:basedOn w:val="BodyText"/>
    <w:qFormat/>
    <w:rsid w:val="001502A7"/>
    <w:pPr>
      <w:spacing w:after="60"/>
      <w:ind w:left="-2268"/>
    </w:pPr>
    <w:rPr>
      <w:b/>
    </w:rPr>
  </w:style>
  <w:style w:type="paragraph" w:customStyle="1" w:styleId="Heading1TOC">
    <w:name w:val="Heading1 TOC"/>
    <w:basedOn w:val="Normal"/>
    <w:qFormat/>
    <w:rsid w:val="001502A7"/>
    <w:pPr>
      <w:spacing w:before="240" w:after="120"/>
    </w:pPr>
    <w:rPr>
      <w:rFonts w:ascii="Times New Roman" w:hAnsi="Times New Roman"/>
      <w:b/>
      <w:sz w:val="32"/>
    </w:rPr>
  </w:style>
  <w:style w:type="paragraph" w:customStyle="1" w:styleId="Heading2TOC">
    <w:name w:val="Heading2 TOC"/>
    <w:basedOn w:val="Normal"/>
    <w:qFormat/>
    <w:rsid w:val="001502A7"/>
    <w:pPr>
      <w:spacing w:before="240" w:after="60"/>
    </w:pPr>
    <w:rPr>
      <w:rFonts w:ascii="Times New Roman" w:hAnsi="Times New Roman"/>
      <w:b/>
      <w:sz w:val="28"/>
    </w:rPr>
  </w:style>
  <w:style w:type="character" w:customStyle="1" w:styleId="Underline">
    <w:name w:val="Underline"/>
    <w:basedOn w:val="DefaultParagraphFont"/>
    <w:qFormat/>
    <w:rsid w:val="001502A7"/>
    <w:rPr>
      <w:u w:val="single"/>
    </w:rPr>
  </w:style>
  <w:style w:type="paragraph" w:styleId="BalloonText">
    <w:name w:val="Balloon Text"/>
    <w:basedOn w:val="Normal"/>
    <w:link w:val="BalloonTextChar"/>
    <w:rsid w:val="001502A7"/>
    <w:rPr>
      <w:rFonts w:ascii="Tahoma" w:hAnsi="Tahoma" w:cs="Tahoma"/>
      <w:sz w:val="16"/>
      <w:szCs w:val="16"/>
    </w:rPr>
  </w:style>
  <w:style w:type="character" w:customStyle="1" w:styleId="BalloonTextChar">
    <w:name w:val="Balloon Text Char"/>
    <w:basedOn w:val="DefaultParagraphFont"/>
    <w:link w:val="BalloonText"/>
    <w:rsid w:val="00150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2A7"/>
    <w:rPr>
      <w:b/>
      <w:color w:val="660033"/>
      <w:spacing w:val="0"/>
    </w:rPr>
  </w:style>
  <w:style w:type="paragraph" w:customStyle="1" w:styleId="Nameditemlist">
    <w:name w:val="Named item list"/>
    <w:basedOn w:val="BodyText"/>
    <w:qFormat/>
    <w:rsid w:val="00150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8832</Characters>
  <Application>Microsoft Office Word</Application>
  <DocSecurity>0</DocSecurity>
  <Lines>315</Lines>
  <Paragraphs>205</Paragraphs>
  <ScaleCrop>false</ScaleCrop>
  <Company>Author-it Software Corporation Ltd.</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PSPLAND404A Investigate tenure applications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2012-11-01T17:06:00Z</dcterms:created>
  <dcterms:modified xsi:type="dcterms:W3CDTF">2012-11-01T17:06:00Z</dcterms:modified>
</cp:coreProperties>
</file>