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D0A" w:rsidP="00BB0D0A">
      <w:pPr>
        <w:pStyle w:val="Title"/>
      </w:pPr>
      <w:bookmarkStart w:id="0" w:name="_GoBack"/>
      <w:bookmarkEnd w:id="0"/>
      <w:r>
        <w:fldChar w:fldCharType="begin"/>
      </w:r>
      <w:r>
        <w:instrText xml:space="preserve"> TITLE   \* MERGEFORMAT </w:instrText>
      </w:r>
      <w:r>
        <w:fldChar w:fldCharType="separate"/>
      </w:r>
      <w:r>
        <w:t>PSPLAND403A Prepare and lodge non-claimant native title applications</w:t>
      </w:r>
      <w:r>
        <w:fldChar w:fldCharType="end"/>
      </w:r>
    </w:p>
    <w:p w:rsidR="00BB0D0A" w:rsidP="00BB0D0A">
      <w:pPr>
        <w:pStyle w:val="Version"/>
        <w:sectPr w:rsidSect="006A6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A658C" w:rsidP="006A658C">
      <w:pPr>
        <w:pStyle w:val="SuperHeading"/>
      </w:pPr>
      <w:r w:rsidRPr="006A658C">
        <w:t>PSPLAND403A Prepare and lodge non-claimant native title applications</w:t>
      </w:r>
    </w:p>
    <w:p w:rsidR="00000000" w:rsidRPr="006A658C" w:rsidP="006A658C">
      <w:pPr>
        <w:pStyle w:val="SuperHeading"/>
      </w:pPr>
    </w:p>
    <w:p w:rsidR="00000000" w:rsidRPr="006A658C" w:rsidP="006A658C">
      <w:pPr>
        <w:pStyle w:val="Heading1"/>
      </w:pPr>
      <w:bookmarkStart w:id="1" w:name="O_496871"/>
      <w:bookmarkEnd w:id="1"/>
      <w:r w:rsidRPr="006A658C">
        <w:t>Modification History</w:t>
      </w:r>
    </w:p>
    <w:tbl>
      <w:tblPr>
        <w:tblW w:w="0" w:type="auto"/>
        <w:tblLayout w:type="fixed"/>
        <w:tblCellMar>
          <w:left w:w="62" w:type="dxa"/>
          <w:right w:w="62" w:type="dxa"/>
        </w:tblCellMar>
        <w:tblLook w:val="0000"/>
      </w:tblPr>
      <w:tblGrid>
        <w:gridCol w:w="3052"/>
        <w:gridCol w:w="3052"/>
        <w:gridCol w:w="3052"/>
      </w:tblGrid>
      <w:tr w:rsidTr="00BB0D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8C" w:rsidP="006A658C">
            <w:pPr>
              <w:pStyle w:val="BodyText"/>
            </w:pPr>
            <w:r w:rsidRPr="006A658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8C" w:rsidP="006A658C">
            <w:pPr>
              <w:pStyle w:val="BodyText"/>
            </w:pPr>
            <w:r w:rsidRPr="006A658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rPr>
                <w:rStyle w:val="SpecialBold"/>
              </w:rPr>
              <w:t>Comments</w:t>
            </w:r>
          </w:p>
        </w:tc>
      </w:tr>
      <w:tr w:rsidTr="00BB0D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Unit descriptor edit</w:t>
            </w:r>
            <w:r w:rsidRPr="006A658C">
              <w:t xml:space="preserve">ed. </w:t>
            </w:r>
          </w:p>
        </w:tc>
      </w:tr>
      <w:tr w:rsidTr="00BB0D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Layout adjusted. No changes to content.</w:t>
            </w:r>
          </w:p>
        </w:tc>
      </w:tr>
      <w:tr w:rsidTr="00BB0D0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8C">
            <w:pPr>
              <w:pStyle w:val="BodyText"/>
              <w:rPr>
                <w:lang w:val="en-NZ"/>
              </w:rPr>
            </w:pPr>
            <w:r w:rsidRPr="006A658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8C" w:rsidP="006A658C">
            <w:pPr>
              <w:pStyle w:val="BodyText"/>
            </w:pPr>
            <w:r w:rsidRPr="006A658C">
              <w:t>Primary release.</w:t>
            </w:r>
          </w:p>
        </w:tc>
      </w:tr>
    </w:tbl>
    <w:p w:rsidR="00BB0D0A" w:rsidP="006A658C">
      <w:pPr>
        <w:pStyle w:val="BodyText"/>
      </w:pPr>
    </w:p>
    <w:p w:rsidR="00BB0D0A" w:rsidP="006A658C">
      <w:pPr>
        <w:pStyle w:val="BodyText"/>
      </w:pPr>
    </w:p>
    <w:p w:rsidR="00000000" w:rsidRPr="006A658C" w:rsidP="006A658C">
      <w:pPr>
        <w:pStyle w:val="Heading1"/>
      </w:pPr>
      <w:bookmarkStart w:id="2" w:name="O_496867"/>
      <w:bookmarkEnd w:id="2"/>
      <w:r w:rsidRPr="006A658C">
        <w:t>Unit Descriptor</w:t>
      </w:r>
    </w:p>
    <w:p w:rsidR="00000000" w:rsidRPr="006A658C" w:rsidP="006A658C">
      <w:pPr>
        <w:pStyle w:val="BodyText"/>
      </w:pPr>
      <w:r w:rsidRPr="006A658C">
        <w:t>This unit covers the competen</w:t>
      </w:r>
      <w:r w:rsidRPr="006A658C">
        <w:t>cy to prepare and lodge non-claimant native title applications. It includes investigating native title and preparing and lodging applications.</w:t>
      </w:r>
    </w:p>
    <w:p w:rsidR="00000000" w:rsidRPr="006A658C" w:rsidP="006A658C">
      <w:pPr>
        <w:pStyle w:val="BodyText"/>
      </w:pPr>
      <w:r w:rsidRPr="006A658C">
        <w:t>In practice, preparing and lodging non-claimant native title applications may overlap with other generalist or sp</w:t>
      </w:r>
      <w:r w:rsidRPr="006A658C">
        <w:t>ecialist public sector work activities such as working ethically, complying with legislation, applying government processes, using resources, gathering and analysing information, working with diversity.</w:t>
      </w:r>
    </w:p>
    <w:p w:rsidR="00BB0D0A" w:rsidP="006A658C">
      <w:pPr>
        <w:pStyle w:val="BodyText"/>
      </w:pPr>
      <w:r w:rsidRPr="006A658C">
        <w:t>No licensing, legislative, regulatory or certificatio</w:t>
      </w:r>
      <w:r w:rsidRPr="006A658C">
        <w:t>n requirements apply to this unit at the time of publication</w:t>
      </w:r>
    </w:p>
    <w:p w:rsidR="00BB0D0A" w:rsidP="006A658C">
      <w:pPr>
        <w:pStyle w:val="BodyText"/>
      </w:pPr>
    </w:p>
    <w:p w:rsidR="00000000" w:rsidRPr="006A658C" w:rsidP="006A658C">
      <w:pPr>
        <w:pStyle w:val="Heading1"/>
      </w:pPr>
      <w:bookmarkStart w:id="3" w:name="O_496880"/>
      <w:bookmarkEnd w:id="3"/>
      <w:r w:rsidRPr="006A658C">
        <w:t>Application of the Unit</w:t>
      </w:r>
    </w:p>
    <w:p w:rsidR="00000000" w:rsidRPr="006A658C" w:rsidP="006A658C">
      <w:pPr>
        <w:pStyle w:val="BodyText"/>
      </w:pPr>
      <w:r w:rsidRPr="006A658C">
        <w:t>Not applicable.</w:t>
      </w:r>
    </w:p>
    <w:p w:rsidR="00000000" w:rsidRPr="006A658C" w:rsidP="006A658C">
      <w:pPr>
        <w:pStyle w:val="AllowPageBreak"/>
      </w:pPr>
    </w:p>
    <w:p w:rsidR="00000000" w:rsidRPr="006A658C" w:rsidP="006A658C">
      <w:pPr>
        <w:pStyle w:val="Heading1"/>
      </w:pPr>
      <w:bookmarkStart w:id="4" w:name="O_496869"/>
      <w:bookmarkEnd w:id="4"/>
      <w:r w:rsidRPr="006A658C">
        <w:t>Licensing/Regulatory Information</w:t>
      </w:r>
    </w:p>
    <w:p w:rsidR="00000000" w:rsidRPr="006A658C" w:rsidP="006A658C">
      <w:pPr>
        <w:pStyle w:val="BodyText"/>
      </w:pPr>
      <w:r w:rsidRPr="006A658C">
        <w:t>Not applicable.</w:t>
      </w:r>
    </w:p>
    <w:p w:rsidR="00000000" w:rsidRPr="006A658C" w:rsidP="006A658C">
      <w:pPr>
        <w:pStyle w:val="AllowPageBreak"/>
      </w:pPr>
    </w:p>
    <w:p w:rsidR="00000000" w:rsidRPr="006A658C" w:rsidP="006A658C">
      <w:pPr>
        <w:pStyle w:val="Heading1"/>
      </w:pPr>
      <w:bookmarkStart w:id="5" w:name="O_496873"/>
      <w:bookmarkEnd w:id="5"/>
      <w:r w:rsidRPr="006A658C">
        <w:t>Pre-Requisites</w:t>
      </w:r>
    </w:p>
    <w:p w:rsidR="00000000" w:rsidRPr="006A658C" w:rsidP="006A658C">
      <w:pPr>
        <w:pStyle w:val="BodyText"/>
      </w:pPr>
      <w:r w:rsidRPr="006A658C">
        <w:t>Not applicable.</w:t>
      </w:r>
    </w:p>
    <w:p w:rsidR="00000000" w:rsidRPr="006A658C" w:rsidP="006A658C">
      <w:pPr>
        <w:pStyle w:val="AllowPageBreak"/>
      </w:pPr>
    </w:p>
    <w:p w:rsidR="00000000" w:rsidRPr="006A658C" w:rsidP="006A658C">
      <w:pPr>
        <w:pStyle w:val="Heading1"/>
      </w:pPr>
      <w:bookmarkStart w:id="6" w:name="O_496876"/>
      <w:bookmarkEnd w:id="6"/>
      <w:r w:rsidRPr="006A658C">
        <w:t>Employ</w:t>
      </w:r>
      <w:r w:rsidRPr="006A658C">
        <w:t>ability Skills Information</w:t>
      </w:r>
    </w:p>
    <w:p w:rsidR="00000000" w:rsidRPr="006A658C" w:rsidP="006A658C">
      <w:pPr>
        <w:pStyle w:val="BodyText"/>
      </w:pPr>
      <w:r w:rsidRPr="006A658C">
        <w:t>This unit contains employability skills.</w:t>
      </w:r>
    </w:p>
    <w:p w:rsidR="00000000" w:rsidRPr="006A658C" w:rsidP="006A658C">
      <w:pPr>
        <w:pStyle w:val="AllowPageBreak"/>
      </w:pPr>
    </w:p>
    <w:p w:rsidR="00000000" w:rsidRPr="006A658C" w:rsidP="006A658C">
      <w:pPr>
        <w:pStyle w:val="Heading1"/>
      </w:pPr>
      <w:bookmarkStart w:id="7" w:name="O_496877"/>
      <w:bookmarkEnd w:id="7"/>
      <w:r w:rsidRPr="006A658C">
        <w:t>Elements and Performance Criteria Pre-Content</w:t>
      </w:r>
    </w:p>
    <w:tbl>
      <w:tblPr>
        <w:tblW w:w="9322" w:type="dxa"/>
        <w:tblLayout w:type="fixed"/>
        <w:tblCellMar>
          <w:left w:w="62" w:type="dxa"/>
          <w:right w:w="62" w:type="dxa"/>
        </w:tblCellMar>
        <w:tblLook w:val="0000"/>
      </w:tblPr>
      <w:tblGrid>
        <w:gridCol w:w="2660"/>
        <w:gridCol w:w="6662"/>
      </w:tblGrid>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t>Together, performance criteria specify the requirements for co</w:t>
            </w:r>
            <w:r w:rsidRPr="006A658C">
              <w:t>mpetent performance. Text in</w:t>
            </w:r>
            <w:r w:rsidRPr="006A658C">
              <w:rPr>
                <w:rStyle w:val="BoldandItalics"/>
              </w:rPr>
              <w:t xml:space="preserve"> bold italics</w:t>
            </w:r>
            <w:r w:rsidRPr="006A658C">
              <w:t xml:space="preserve"> is explained in the Range Statement following.</w:t>
            </w:r>
          </w:p>
        </w:tc>
      </w:tr>
    </w:tbl>
    <w:p w:rsidR="00000000" w:rsidRPr="006A658C" w:rsidP="006A658C">
      <w:pPr>
        <w:pStyle w:val="BodyText"/>
      </w:pPr>
    </w:p>
    <w:p w:rsidR="00000000" w:rsidRPr="006A658C" w:rsidP="006A658C">
      <w:pPr>
        <w:pStyle w:val="AllowPageBreak"/>
      </w:pPr>
    </w:p>
    <w:p w:rsidR="00000000" w:rsidRPr="006A658C" w:rsidP="006A658C">
      <w:pPr>
        <w:pStyle w:val="Heading1"/>
      </w:pPr>
      <w:bookmarkStart w:id="8" w:name="O_496878"/>
      <w:bookmarkEnd w:id="8"/>
      <w:r w:rsidRPr="006A658C">
        <w:t>Elements and Performance Criteria</w:t>
      </w:r>
    </w:p>
    <w:tbl>
      <w:tblPr>
        <w:tblW w:w="9322" w:type="dxa"/>
        <w:tblLayout w:type="fixed"/>
        <w:tblCellMar>
          <w:left w:w="62" w:type="dxa"/>
          <w:right w:w="62" w:type="dxa"/>
        </w:tblCellMar>
        <w:tblLook w:val="0000"/>
      </w:tblPr>
      <w:tblGrid>
        <w:gridCol w:w="2660"/>
        <w:gridCol w:w="6662"/>
      </w:tblGrid>
      <w:tr w:rsidTr="00BB0D0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SpecialBold"/>
              </w:rPr>
              <w:t>PERFORMANCE CRITERIA</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List"/>
              <w:rPr>
                <w:lang w:val="en-NZ"/>
              </w:rPr>
            </w:pPr>
            <w:r w:rsidRPr="006A658C">
              <w:rPr>
                <w:rStyle w:val="SpecialBold"/>
              </w:rPr>
              <w:t>1</w:t>
            </w:r>
            <w:r w:rsidRPr="006A658C">
              <w:t xml:space="preserve">.  </w:t>
            </w:r>
            <w:r w:rsidRPr="006A658C">
              <w:tab/>
            </w:r>
            <w:r w:rsidRPr="006A658C">
              <w:rPr>
                <w:rStyle w:val="SpecialBold"/>
              </w:rPr>
              <w:t>Investigate native title</w:t>
            </w:r>
            <w:r w:rsidRPr="006A658C">
              <w:t xml:space="preserve"> </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
            </w:pPr>
            <w:r w:rsidRPr="006A658C">
              <w:t>1.1</w:t>
            </w:r>
            <w:r w:rsidRPr="006A658C">
              <w:tab/>
            </w:r>
            <w:r w:rsidRPr="006A658C">
              <w:t>The extent of the area to be searched is established.</w:t>
            </w:r>
          </w:p>
          <w:p w:rsidR="00000000" w:rsidRPr="006A658C" w:rsidP="006A658C">
            <w:pPr>
              <w:pStyle w:val="List"/>
            </w:pPr>
            <w:r w:rsidRPr="006A658C">
              <w:t>1.2</w:t>
            </w:r>
            <w:r w:rsidRPr="006A658C">
              <w:tab/>
              <w:t xml:space="preserve">The </w:t>
            </w:r>
            <w:r w:rsidRPr="006A658C">
              <w:rPr>
                <w:rStyle w:val="BoldandItalics"/>
              </w:rPr>
              <w:t xml:space="preserve">sources </w:t>
            </w:r>
            <w:r w:rsidRPr="006A658C">
              <w:t>that need to be searched are established.</w:t>
            </w:r>
          </w:p>
          <w:p w:rsidR="00000000" w:rsidRPr="006A658C" w:rsidP="006A658C">
            <w:pPr>
              <w:pStyle w:val="List"/>
            </w:pPr>
            <w:r w:rsidRPr="006A658C">
              <w:t>1.3</w:t>
            </w:r>
            <w:r w:rsidRPr="006A658C">
              <w:tab/>
              <w:t xml:space="preserve">The </w:t>
            </w:r>
            <w:r w:rsidRPr="006A658C">
              <w:rPr>
                <w:rStyle w:val="BoldandItalics"/>
              </w:rPr>
              <w:t xml:space="preserve">information </w:t>
            </w:r>
            <w:r w:rsidRPr="006A658C">
              <w:t>is gathered and examined to determine the history of use of the subject area.</w:t>
            </w:r>
          </w:p>
          <w:p w:rsidR="00000000" w:rsidP="006A658C">
            <w:pPr>
              <w:pStyle w:val="List"/>
              <w:rPr>
                <w:lang w:val="en-NZ"/>
              </w:rPr>
            </w:pPr>
            <w:r w:rsidRPr="006A658C">
              <w:t>1.4</w:t>
            </w:r>
            <w:r w:rsidRPr="006A658C">
              <w:tab/>
              <w:t>A report and accompanying documentation is</w:t>
            </w:r>
            <w:r w:rsidRPr="006A658C">
              <w:t xml:space="preserve"> prepared recording the outcome of the investigation in accordance with </w:t>
            </w:r>
            <w:r w:rsidRPr="006A658C">
              <w:rPr>
                <w:rStyle w:val="BoldandItalics"/>
              </w:rPr>
              <w:t>organisational procedures</w:t>
            </w:r>
            <w:r w:rsidRPr="006A658C">
              <w:rPr>
                <w:rStyle w:val="Emphasis"/>
              </w:rPr>
              <w:t>.</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List"/>
              <w:rPr>
                <w:lang w:val="en-NZ"/>
              </w:rPr>
            </w:pPr>
            <w:r w:rsidRPr="006A658C">
              <w:rPr>
                <w:rStyle w:val="SpecialBold"/>
              </w:rPr>
              <w:t>2</w:t>
            </w:r>
            <w:r w:rsidRPr="006A658C">
              <w:t xml:space="preserve">.  </w:t>
            </w:r>
            <w:r w:rsidRPr="006A658C">
              <w:tab/>
            </w:r>
            <w:r w:rsidRPr="006A658C">
              <w:rPr>
                <w:rStyle w:val="SpecialBold"/>
              </w:rPr>
              <w:t>Prepare and lodge non-claimant applications</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
            </w:pPr>
            <w:r w:rsidRPr="006A658C">
              <w:t>2.1</w:t>
            </w:r>
            <w:r w:rsidRPr="006A658C">
              <w:tab/>
              <w:t>Submission is prepared and directed to appropriate personnel to obtain approval</w:t>
            </w:r>
            <w:r w:rsidRPr="006A658C">
              <w:t xml:space="preserve"> to prepare a non-claimant application.</w:t>
            </w:r>
          </w:p>
          <w:p w:rsidR="00000000" w:rsidRPr="006A658C" w:rsidP="006A658C">
            <w:pPr>
              <w:pStyle w:val="List"/>
            </w:pPr>
            <w:r w:rsidRPr="006A658C">
              <w:t>2.2</w:t>
            </w:r>
            <w:r w:rsidRPr="006A658C">
              <w:tab/>
              <w:t xml:space="preserve">The documentation required for the </w:t>
            </w:r>
            <w:r w:rsidRPr="006A658C">
              <w:rPr>
                <w:rStyle w:val="BoldandItalics"/>
              </w:rPr>
              <w:t>non-claimant application</w:t>
            </w:r>
            <w:r w:rsidRPr="006A658C">
              <w:t xml:space="preserve"> is gathered and directed according to the organisation's practices and procedures.</w:t>
            </w:r>
          </w:p>
          <w:p w:rsidR="00000000" w:rsidRPr="006A658C" w:rsidP="006A658C">
            <w:pPr>
              <w:pStyle w:val="List"/>
            </w:pPr>
            <w:r w:rsidRPr="006A658C">
              <w:t>2.3</w:t>
            </w:r>
            <w:r w:rsidRPr="006A658C">
              <w:tab/>
              <w:t>Applications are prepared and lodged in accordance with</w:t>
            </w:r>
            <w:r w:rsidRPr="006A658C">
              <w:rPr>
                <w:rStyle w:val="BoldandItalics"/>
              </w:rPr>
              <w:t xml:space="preserve"> legislati</w:t>
            </w:r>
            <w:r w:rsidRPr="006A658C">
              <w:rPr>
                <w:rStyle w:val="BoldandItalics"/>
              </w:rPr>
              <w:t>on, policy and procedures</w:t>
            </w:r>
            <w:r w:rsidRPr="006A658C">
              <w:rPr>
                <w:rStyle w:val="Emphasis"/>
              </w:rPr>
              <w:t>.</w:t>
            </w:r>
          </w:p>
          <w:p w:rsidR="00000000" w:rsidRPr="006A658C" w:rsidP="006A658C">
            <w:pPr>
              <w:pStyle w:val="List"/>
            </w:pPr>
            <w:r w:rsidRPr="006A658C">
              <w:t>2.4</w:t>
            </w:r>
            <w:r w:rsidRPr="006A658C">
              <w:tab/>
            </w:r>
            <w:r w:rsidRPr="006A658C">
              <w:rPr>
                <w:rStyle w:val="BoldandItalics"/>
              </w:rPr>
              <w:t>Follow-up action</w:t>
            </w:r>
            <w:r w:rsidRPr="006A658C">
              <w:t xml:space="preserve"> after approval for non-claimant application is carried out within the time specified.</w:t>
            </w:r>
          </w:p>
        </w:tc>
      </w:tr>
    </w:tbl>
    <w:p w:rsidR="00000000" w:rsidRPr="006A658C" w:rsidP="006A658C">
      <w:pPr>
        <w:pStyle w:val="BodyText"/>
      </w:pPr>
    </w:p>
    <w:p w:rsidR="00000000" w:rsidRPr="006A658C" w:rsidP="006A658C">
      <w:pPr>
        <w:pStyle w:val="AllowPageBreak"/>
      </w:pPr>
    </w:p>
    <w:p w:rsidR="00000000" w:rsidRPr="006A658C" w:rsidP="006A658C">
      <w:pPr>
        <w:pStyle w:val="Heading1"/>
      </w:pPr>
      <w:bookmarkStart w:id="9" w:name="O_496870"/>
      <w:bookmarkEnd w:id="9"/>
      <w:r w:rsidRPr="006A658C">
        <w:t>Required Skills and Knowledge</w:t>
      </w:r>
    </w:p>
    <w:tbl>
      <w:tblPr>
        <w:tblW w:w="0" w:type="auto"/>
        <w:tblLayout w:type="fixed"/>
        <w:tblCellMar>
          <w:left w:w="62" w:type="dxa"/>
          <w:right w:w="62" w:type="dxa"/>
        </w:tblCellMar>
        <w:tblLook w:val="0000"/>
      </w:tblPr>
      <w:tblGrid>
        <w:gridCol w:w="8510"/>
        <w:gridCol w:w="43"/>
      </w:tblGrid>
      <w:tr w:rsidTr="00BB0D0A">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t>This section describes the essential skills and knowledge and their level</w:t>
            </w:r>
            <w:r w:rsidRPr="006A658C">
              <w:t>, required for this unit.</w:t>
            </w:r>
          </w:p>
        </w:tc>
      </w:tr>
      <w:tr w:rsidTr="00BB0D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rPr>
                <w:rStyle w:val="SpecialBold"/>
              </w:rPr>
              <w:t>Skill requirements</w:t>
            </w:r>
          </w:p>
          <w:p w:rsidR="00000000" w:rsidRPr="006A658C" w:rsidP="006A658C">
            <w:pPr>
              <w:pStyle w:val="BodyText"/>
            </w:pPr>
            <w:r w:rsidRPr="006A658C">
              <w:t>Look for evidence that confirms skills in:</w:t>
            </w:r>
          </w:p>
          <w:p w:rsidR="00000000" w:rsidRPr="006A658C" w:rsidP="006A658C">
            <w:pPr>
              <w:pStyle w:val="ListBullet2"/>
            </w:pPr>
            <w:r w:rsidRPr="006A658C">
              <w:t>finding information in systems, databases and other sources</w:t>
            </w:r>
          </w:p>
          <w:p w:rsidR="00000000" w:rsidRPr="006A658C" w:rsidP="006A658C">
            <w:pPr>
              <w:pStyle w:val="ListBullet2"/>
            </w:pPr>
            <w:r w:rsidRPr="006A658C">
              <w:t xml:space="preserve">searching historical records </w:t>
            </w:r>
          </w:p>
          <w:p w:rsidR="00000000" w:rsidRPr="006A658C" w:rsidP="006A658C">
            <w:pPr>
              <w:pStyle w:val="ListBullet2"/>
            </w:pPr>
            <w:r w:rsidRPr="006A658C">
              <w:t>filing and retrieving organisational records</w:t>
            </w:r>
          </w:p>
          <w:p w:rsidR="00000000" w:rsidRPr="006A658C" w:rsidP="006A658C">
            <w:pPr>
              <w:pStyle w:val="ListBullet2"/>
            </w:pPr>
            <w:r w:rsidRPr="006A658C">
              <w:t xml:space="preserve">retrieving spatial and textual information from electronic information systems </w:t>
            </w:r>
          </w:p>
          <w:p w:rsidR="00000000" w:rsidRPr="006A658C" w:rsidP="006A658C">
            <w:pPr>
              <w:pStyle w:val="ListBullet2"/>
            </w:pPr>
            <w:r w:rsidRPr="006A658C">
              <w:t>obtaining a copy of a land title</w:t>
            </w:r>
          </w:p>
          <w:p w:rsidR="00000000" w:rsidRPr="006A658C" w:rsidP="006A658C">
            <w:pPr>
              <w:pStyle w:val="ListBullet2"/>
            </w:pPr>
            <w:r w:rsidRPr="006A658C">
              <w:t>determining ownership and tenure</w:t>
            </w:r>
          </w:p>
          <w:p w:rsidR="00000000" w:rsidRPr="006A658C" w:rsidP="006A658C">
            <w:pPr>
              <w:pStyle w:val="ListBullet2"/>
            </w:pPr>
            <w:r w:rsidRPr="006A658C">
              <w:t>consulting with Indigenous people and expert advisers</w:t>
            </w:r>
          </w:p>
          <w:p w:rsidR="00000000" w:rsidRPr="006A658C" w:rsidP="006A658C">
            <w:pPr>
              <w:pStyle w:val="ListBullet2"/>
            </w:pPr>
            <w:r w:rsidRPr="006A658C">
              <w:t>responding to diversity, including gender and disability</w:t>
            </w:r>
            <w:r w:rsidRPr="006A658C">
              <w:t xml:space="preserve"> </w:t>
            </w:r>
          </w:p>
          <w:p w:rsidR="00000000" w:rsidRPr="006A658C" w:rsidP="006A658C">
            <w:pPr>
              <w:pStyle w:val="ListBullet2"/>
            </w:pPr>
            <w:r w:rsidRPr="006A658C">
              <w:t>generating documentation to organisational standards</w:t>
            </w:r>
          </w:p>
          <w:p w:rsidR="00000000" w:rsidP="006A658C">
            <w:pPr>
              <w:pStyle w:val="ListBullet2"/>
              <w:rPr>
                <w:lang w:val="en-NZ"/>
              </w:rPr>
            </w:pPr>
            <w:r w:rsidRPr="006A658C">
              <w:t>applying public sector legislation such as occupational health and safety, environment, anti-discrimination and diversity in the context of native title investigations and non-claimant applications</w:t>
            </w:r>
          </w:p>
        </w:tc>
      </w:tr>
      <w:tr w:rsidTr="00BB0D0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rPr>
                <w:rStyle w:val="SpecialBold"/>
              </w:rPr>
              <w:t>Kn</w:t>
            </w:r>
            <w:r w:rsidRPr="006A658C">
              <w:rPr>
                <w:rStyle w:val="SpecialBold"/>
              </w:rPr>
              <w:t>owledge requirements</w:t>
            </w:r>
          </w:p>
          <w:p w:rsidR="00000000" w:rsidRPr="006A658C" w:rsidP="006A658C">
            <w:pPr>
              <w:pStyle w:val="BodyText"/>
            </w:pPr>
            <w:r w:rsidRPr="006A658C">
              <w:t xml:space="preserve"> Look for evidence that confirms knowledge and understanding of:</w:t>
            </w:r>
          </w:p>
          <w:p w:rsidR="00000000" w:rsidRPr="006A658C" w:rsidP="006A658C">
            <w:pPr>
              <w:pStyle w:val="ListBullet2"/>
            </w:pPr>
            <w:r w:rsidRPr="006A658C">
              <w:t>legislation, policies and procedures relating to Crown/State land and native title claims</w:t>
            </w:r>
          </w:p>
          <w:p w:rsidR="00000000" w:rsidRPr="006A658C" w:rsidP="006A658C">
            <w:pPr>
              <w:pStyle w:val="ListBullet2"/>
            </w:pPr>
            <w:r w:rsidRPr="006A658C">
              <w:t xml:space="preserve">the different types of organisational records that need to be noted or updated </w:t>
            </w:r>
            <w:r w:rsidRPr="006A658C">
              <w:t>and in what circumstances</w:t>
            </w:r>
          </w:p>
          <w:p w:rsidR="00000000" w:rsidRPr="006A658C" w:rsidP="006A658C">
            <w:pPr>
              <w:pStyle w:val="ListBullet2"/>
            </w:pPr>
            <w:r w:rsidRPr="006A658C">
              <w:t>organisational delegations</w:t>
            </w:r>
          </w:p>
          <w:p w:rsidR="00000000" w:rsidRPr="006A658C" w:rsidP="006A658C">
            <w:pPr>
              <w:pStyle w:val="ListBullet2"/>
            </w:pPr>
            <w:r w:rsidRPr="006A658C">
              <w:t>cultural and heritage factors that might affect land use</w:t>
            </w:r>
          </w:p>
          <w:p w:rsidR="00000000" w:rsidRPr="006A658C" w:rsidP="006A658C">
            <w:pPr>
              <w:pStyle w:val="ListBullet2"/>
            </w:pPr>
            <w:r w:rsidRPr="006A658C">
              <w:t xml:space="preserve">Aboriginal customs and culture relevant to native title </w:t>
            </w:r>
          </w:p>
          <w:p w:rsidR="00000000" w:rsidRPr="006A658C" w:rsidP="006A658C">
            <w:pPr>
              <w:pStyle w:val="ListBullet2"/>
            </w:pPr>
            <w:r w:rsidRPr="006A658C">
              <w:t>sources of historical records relating to land tenures and ways to access them</w:t>
            </w:r>
          </w:p>
          <w:p w:rsidR="00000000" w:rsidRPr="006A658C" w:rsidP="006A658C">
            <w:pPr>
              <w:pStyle w:val="ListBullet2"/>
            </w:pPr>
            <w:r w:rsidRPr="006A658C">
              <w:t>public sector legislation including occupational health and safety and environment in the context of native title investigations and non-claimant applications</w:t>
            </w:r>
          </w:p>
        </w:tc>
      </w:tr>
    </w:tbl>
    <w:p w:rsidR="00000000" w:rsidRPr="006A658C" w:rsidP="006A658C">
      <w:pPr>
        <w:pStyle w:val="BodyText"/>
      </w:pPr>
    </w:p>
    <w:p w:rsidR="00000000" w:rsidRPr="006A658C" w:rsidP="006A658C">
      <w:pPr>
        <w:pStyle w:val="AllowPageBreak"/>
      </w:pPr>
    </w:p>
    <w:p w:rsidR="00000000" w:rsidRPr="006A658C" w:rsidP="006A658C">
      <w:pPr>
        <w:pStyle w:val="Heading1"/>
      </w:pPr>
      <w:bookmarkStart w:id="10" w:name="O_496868"/>
      <w:bookmarkEnd w:id="10"/>
      <w:r w:rsidRPr="006A658C">
        <w:t>Evidence Guide</w:t>
      </w:r>
    </w:p>
    <w:tbl>
      <w:tblPr>
        <w:tblW w:w="9322" w:type="dxa"/>
        <w:tblLayout w:type="fixed"/>
        <w:tblCellMar>
          <w:left w:w="62" w:type="dxa"/>
          <w:right w:w="62" w:type="dxa"/>
        </w:tblCellMar>
        <w:tblLook w:val="0000"/>
      </w:tblPr>
      <w:tblGrid>
        <w:gridCol w:w="2660"/>
        <w:gridCol w:w="6662"/>
      </w:tblGrid>
      <w:tr w:rsidTr="00BB0D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t>The Evidence Guide specifies the evidence required to demonstra</w:t>
            </w:r>
            <w:r w:rsidRPr="006A658C">
              <w:t>te achievement in the unit of competency as a whole. It must be read in conjunction with the Unit descriptor, Performance Criteria, the Range Statement and the Assessment Guidelines for the Public Sector Training Package.</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rPr>
                <w:rStyle w:val="SpecialBold"/>
              </w:rPr>
              <w:t>Units to be assessed together</w:t>
            </w:r>
            <w:r w:rsidRPr="006A658C">
              <w:t xml:space="preserve"> </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rPr>
                <w:rStyle w:val="Emphasis"/>
              </w:rPr>
              <w:t>Pre</w:t>
            </w:r>
            <w:r w:rsidRPr="006A658C">
              <w:t>-</w:t>
            </w:r>
            <w:r w:rsidRPr="006A658C">
              <w:rPr>
                <w:rStyle w:val="Emphasis"/>
              </w:rPr>
              <w:t>requisite</w:t>
            </w:r>
            <w:r w:rsidRPr="006A658C">
              <w:t xml:space="preserve"> units that must be achieved prior to this unit:</w:t>
            </w:r>
            <w:r w:rsidRPr="006A658C">
              <w:rPr>
                <w:rStyle w:val="Emphasis"/>
              </w:rPr>
              <w:t>Nil</w:t>
            </w:r>
          </w:p>
          <w:p w:rsidR="00000000" w:rsidRPr="006A658C" w:rsidP="006A658C">
            <w:pPr>
              <w:pStyle w:val="ListBullet2"/>
            </w:pPr>
            <w:r w:rsidRPr="006A658C">
              <w:rPr>
                <w:rStyle w:val="Emphasis"/>
              </w:rPr>
              <w:t>Co</w:t>
            </w:r>
            <w:r w:rsidRPr="006A658C">
              <w:t>-</w:t>
            </w:r>
            <w:r w:rsidRPr="006A658C">
              <w:rPr>
                <w:rStyle w:val="Emphasis"/>
              </w:rPr>
              <w:t>requisite</w:t>
            </w:r>
            <w:r w:rsidRPr="006A658C">
              <w:t xml:space="preserve"> units that must be assessed with this unit:</w:t>
            </w:r>
            <w:r w:rsidRPr="006A658C">
              <w:rPr>
                <w:rStyle w:val="Emphasis"/>
              </w:rPr>
              <w:t>Nil</w:t>
            </w:r>
          </w:p>
          <w:p w:rsidR="00000000" w:rsidRPr="006A658C" w:rsidP="006A658C">
            <w:pPr>
              <w:pStyle w:val="ListBullet2"/>
            </w:pPr>
            <w:r w:rsidRPr="006A658C">
              <w:rPr>
                <w:rStyle w:val="Emphasis"/>
              </w:rPr>
              <w:t>Co</w:t>
            </w:r>
            <w:r w:rsidRPr="006A658C">
              <w:t>-</w:t>
            </w:r>
            <w:r w:rsidRPr="006A658C">
              <w:rPr>
                <w:rStyle w:val="Emphasis"/>
              </w:rPr>
              <w:t>assessed units</w:t>
            </w:r>
            <w:r w:rsidRPr="006A658C">
              <w:t xml:space="preserve"> that may be assessed with this unit to increase the efficiency and realism of the assessment process include, but are not limited to:</w:t>
            </w:r>
          </w:p>
          <w:p w:rsidR="00000000" w:rsidRPr="006A658C" w:rsidP="006A658C">
            <w:pPr>
              <w:pStyle w:val="ListBullet3"/>
            </w:pPr>
            <w:r w:rsidRPr="006A658C">
              <w:t>PSPETHC401A Uphold and support the values and principles of public service</w:t>
            </w:r>
          </w:p>
          <w:p w:rsidR="00000000" w:rsidRPr="006A658C" w:rsidP="006A658C">
            <w:pPr>
              <w:pStyle w:val="ListBullet3"/>
            </w:pPr>
            <w:r w:rsidRPr="006A658C">
              <w:t xml:space="preserve">PSPGOV403B Use resources to achieve work unit goals </w:t>
            </w:r>
          </w:p>
          <w:p w:rsidR="00000000" w:rsidRPr="006A658C" w:rsidP="006A658C">
            <w:pPr>
              <w:pStyle w:val="ListBullet3"/>
            </w:pPr>
            <w:r w:rsidRPr="006A658C">
              <w:t>PSPGOV406B Gather and analyse information</w:t>
            </w:r>
          </w:p>
          <w:p w:rsidR="00000000" w:rsidRPr="006A658C" w:rsidP="006A658C">
            <w:pPr>
              <w:pStyle w:val="ListBullet3"/>
            </w:pPr>
            <w:r w:rsidRPr="006A658C">
              <w:t xml:space="preserve">PSPGOV408A Value diversity </w:t>
            </w:r>
          </w:p>
          <w:p w:rsidR="00000000" w:rsidRPr="006A658C" w:rsidP="006A658C">
            <w:pPr>
              <w:pStyle w:val="ListBullet3"/>
            </w:pPr>
            <w:r w:rsidRPr="006A658C">
              <w:t>PSPGOV422A Apply government processes</w:t>
            </w:r>
          </w:p>
          <w:p w:rsidR="00000000" w:rsidP="006A658C">
            <w:pPr>
              <w:pStyle w:val="ListBullet3"/>
              <w:rPr>
                <w:lang w:val="en-NZ"/>
              </w:rPr>
            </w:pPr>
            <w:r w:rsidRPr="006A658C">
              <w:t>PSPLEGN401A Encourage compliance with legislation in the public sector</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SpecialBold"/>
              </w:rPr>
              <w:t>Overview of evidence re</w:t>
            </w:r>
            <w:r w:rsidRPr="006A658C">
              <w:rPr>
                <w:rStyle w:val="SpecialBold"/>
              </w:rPr>
              <w:t>quirements</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t>In addition to integrated demonstration of the elements and their related performance criteria, look for evidence that confirms:</w:t>
            </w:r>
          </w:p>
          <w:p w:rsidR="00000000" w:rsidRPr="006A658C" w:rsidP="006A658C">
            <w:pPr>
              <w:pStyle w:val="ListBullet2"/>
            </w:pPr>
            <w:r w:rsidRPr="006A658C">
              <w:t xml:space="preserve">the knowledge requirements of this unit </w:t>
            </w:r>
          </w:p>
          <w:p w:rsidR="00000000" w:rsidRPr="006A658C" w:rsidP="006A658C">
            <w:pPr>
              <w:pStyle w:val="ListBullet2"/>
            </w:pPr>
            <w:r w:rsidRPr="006A658C">
              <w:t>the skill requirements of this unit</w:t>
            </w:r>
          </w:p>
          <w:p w:rsidR="00000000" w:rsidRPr="006A658C" w:rsidP="006A658C">
            <w:pPr>
              <w:pStyle w:val="ListBullet2"/>
            </w:pPr>
            <w:r w:rsidRPr="006A658C">
              <w:t>application of the Employability Skills as they relate to this unit (see Employability Summaries in Qualifications Framework)</w:t>
            </w:r>
          </w:p>
          <w:p w:rsidR="00000000" w:rsidP="006A658C">
            <w:pPr>
              <w:pStyle w:val="ListBullet2"/>
              <w:rPr>
                <w:lang w:val="en-NZ"/>
              </w:rPr>
            </w:pPr>
            <w:r w:rsidRPr="006A658C">
              <w:t>native title investigations and preparation of non-claimant applications undertaken in a range of (3 or more) contexts (or occasio</w:t>
            </w:r>
            <w:r w:rsidRPr="006A658C">
              <w:t>ns, over time)</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t>These resources include:</w:t>
            </w:r>
          </w:p>
          <w:p w:rsidR="00000000" w:rsidRPr="006A658C" w:rsidP="006A658C">
            <w:pPr>
              <w:pStyle w:val="ListBullet2"/>
            </w:pPr>
            <w:r w:rsidRPr="006A658C">
              <w:t>legislation, policy, procedures and protocols relating to native title investigations and preparation of non-claimant applications</w:t>
            </w:r>
          </w:p>
          <w:p w:rsidR="00000000" w:rsidP="006A658C">
            <w:pPr>
              <w:pStyle w:val="ListBullet2"/>
              <w:rPr>
                <w:lang w:val="en-NZ"/>
              </w:rPr>
            </w:pPr>
            <w:r w:rsidRPr="006A658C">
              <w:t xml:space="preserve">case studies and workplace scenarios to </w:t>
            </w:r>
            <w:r w:rsidRPr="006A658C">
              <w:t>capture the range of situations likely to be encountered when undertaking native title investigations and preparing non-claimant applications</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t xml:space="preserve">Valid assessment of this unit requires: </w:t>
            </w:r>
          </w:p>
          <w:p w:rsidR="00000000" w:rsidRPr="006A658C" w:rsidP="006A658C">
            <w:pPr>
              <w:pStyle w:val="ListBullet2"/>
            </w:pPr>
            <w:r w:rsidRPr="006A658C">
              <w:t>a workplace environment or one that cl</w:t>
            </w:r>
            <w:r w:rsidRPr="006A658C">
              <w:t xml:space="preserve">osely resembles normal work practice and replicates the range of conditions likely to be encountered when undertaking native title investigations and preparing non-claimant applications, including coping with difficulties, irregularities and breakdowns in </w:t>
            </w:r>
            <w:r w:rsidRPr="006A658C">
              <w:t>routine</w:t>
            </w:r>
          </w:p>
          <w:p w:rsidR="00000000" w:rsidRPr="006A658C" w:rsidP="006A658C">
            <w:pPr>
              <w:pStyle w:val="ListBullet2"/>
            </w:pPr>
            <w:r w:rsidRPr="006A658C">
              <w:t>native title investigations and preparation of non-claimant applications undertaken in a range of (3 or more) contexts (or occasions, over time)</w:t>
            </w:r>
          </w:p>
          <w:p w:rsidR="00000000" w:rsidRPr="006A658C" w:rsidP="006A658C">
            <w:pPr>
              <w:pStyle w:val="BodyText"/>
            </w:pPr>
            <w:r w:rsidRPr="006A658C">
              <w:t>Assessment methods should reflect workplace demands, such as literacy, and the needs of particular grou</w:t>
            </w:r>
            <w:r w:rsidRPr="006A658C">
              <w:t>ps, such as:</w:t>
            </w:r>
          </w:p>
          <w:p w:rsidR="00000000" w:rsidRPr="006A658C" w:rsidP="006A658C">
            <w:pPr>
              <w:pStyle w:val="ListBullet2"/>
            </w:pPr>
            <w:r w:rsidRPr="006A658C">
              <w:t>people with disabilities</w:t>
            </w:r>
          </w:p>
          <w:p w:rsidR="00000000" w:rsidRPr="006A658C" w:rsidP="006A658C">
            <w:pPr>
              <w:pStyle w:val="ListBullet2"/>
            </w:pPr>
            <w:r w:rsidRPr="006A658C">
              <w:t>people from culturally and linguistically diverse backgrounds</w:t>
            </w:r>
          </w:p>
          <w:p w:rsidR="00000000" w:rsidRPr="006A658C" w:rsidP="006A658C">
            <w:pPr>
              <w:pStyle w:val="ListBullet2"/>
            </w:pPr>
            <w:r w:rsidRPr="006A658C">
              <w:t>Aboriginal and Torres Strait Islander people</w:t>
            </w:r>
          </w:p>
          <w:p w:rsidR="00000000" w:rsidRPr="006A658C" w:rsidP="006A658C">
            <w:pPr>
              <w:pStyle w:val="ListBullet2"/>
            </w:pPr>
            <w:r w:rsidRPr="006A658C">
              <w:t>women</w:t>
            </w:r>
          </w:p>
          <w:p w:rsidR="00000000" w:rsidRPr="006A658C" w:rsidP="006A658C">
            <w:pPr>
              <w:pStyle w:val="ListBullet2"/>
            </w:pPr>
            <w:r w:rsidRPr="006A658C">
              <w:t>young people</w:t>
            </w:r>
          </w:p>
          <w:p w:rsidR="00000000" w:rsidRPr="006A658C" w:rsidP="006A658C">
            <w:pPr>
              <w:pStyle w:val="ListBullet2"/>
            </w:pPr>
            <w:r w:rsidRPr="006A658C">
              <w:t>older people</w:t>
            </w:r>
          </w:p>
          <w:p w:rsidR="00000000" w:rsidRPr="006A658C" w:rsidP="006A658C">
            <w:pPr>
              <w:pStyle w:val="ListBullet2"/>
            </w:pPr>
            <w:r w:rsidRPr="006A658C">
              <w:t>people in rural and remote locations</w:t>
            </w:r>
          </w:p>
          <w:p w:rsidR="00000000" w:rsidRPr="006A658C" w:rsidP="006A658C">
            <w:pPr>
              <w:pStyle w:val="BodyText"/>
            </w:pPr>
            <w:r w:rsidRPr="006A658C">
              <w:t xml:space="preserve">Assessment methods suitable for valid and reliable assessment of this competency may include, but are not limited to, a combination of 2 or more of: </w:t>
            </w:r>
          </w:p>
          <w:p w:rsidR="00000000" w:rsidRPr="006A658C" w:rsidP="006A658C">
            <w:pPr>
              <w:pStyle w:val="ListBullet2"/>
            </w:pPr>
            <w:r w:rsidRPr="006A658C">
              <w:t>case studies</w:t>
            </w:r>
          </w:p>
          <w:p w:rsidR="00000000" w:rsidRPr="006A658C" w:rsidP="006A658C">
            <w:pPr>
              <w:pStyle w:val="ListBullet2"/>
            </w:pPr>
            <w:r w:rsidRPr="006A658C">
              <w:t xml:space="preserve">demonstration </w:t>
            </w:r>
          </w:p>
          <w:p w:rsidR="00000000" w:rsidRPr="006A658C" w:rsidP="006A658C">
            <w:pPr>
              <w:pStyle w:val="ListBullet2"/>
            </w:pPr>
            <w:r w:rsidRPr="006A658C">
              <w:t xml:space="preserve">portfolios </w:t>
            </w:r>
          </w:p>
          <w:p w:rsidR="00000000" w:rsidRPr="006A658C" w:rsidP="006A658C">
            <w:pPr>
              <w:pStyle w:val="ListBullet2"/>
            </w:pPr>
            <w:r w:rsidRPr="006A658C">
              <w:t>questioning</w:t>
            </w:r>
          </w:p>
          <w:p w:rsidR="00000000" w:rsidRPr="006A658C" w:rsidP="006A658C">
            <w:pPr>
              <w:pStyle w:val="ListBullet2"/>
            </w:pPr>
            <w:r w:rsidRPr="006A658C">
              <w:t>scenarios</w:t>
            </w:r>
          </w:p>
          <w:p w:rsidR="00000000" w:rsidRPr="006A658C" w:rsidP="006A658C">
            <w:pPr>
              <w:pStyle w:val="ListBullet2"/>
            </w:pPr>
            <w:r w:rsidRPr="006A658C">
              <w:t>simulation or role plays</w:t>
            </w:r>
          </w:p>
          <w:p w:rsidR="00000000" w:rsidP="006A658C">
            <w:pPr>
              <w:pStyle w:val="ListBullet2"/>
              <w:rPr>
                <w:lang w:val="en-NZ"/>
              </w:rPr>
            </w:pPr>
            <w:r w:rsidRPr="006A658C">
              <w:t>authenticated evid</w:t>
            </w:r>
            <w:r w:rsidRPr="006A658C">
              <w:t xml:space="preserve">ence from the workplace and/or training courses  </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BodyText"/>
            </w:pPr>
            <w:r w:rsidRPr="006A658C">
              <w:t>Evidence must be gathered over time in a range of contexts to ensure the person can achieve the unit outcome and apply the competency in different situations or environments</w:t>
            </w:r>
          </w:p>
        </w:tc>
      </w:tr>
    </w:tbl>
    <w:p w:rsidR="00000000" w:rsidRPr="006A658C" w:rsidP="006A658C">
      <w:pPr>
        <w:pStyle w:val="BodyText"/>
      </w:pPr>
    </w:p>
    <w:p w:rsidR="00000000" w:rsidRPr="006A658C" w:rsidP="006A658C">
      <w:pPr>
        <w:pStyle w:val="AllowPageBreak"/>
      </w:pPr>
    </w:p>
    <w:p w:rsidR="00000000" w:rsidRPr="006A658C" w:rsidP="006A658C">
      <w:pPr>
        <w:pStyle w:val="Heading1"/>
      </w:pPr>
      <w:bookmarkStart w:id="11" w:name="O_496875"/>
      <w:bookmarkEnd w:id="11"/>
      <w:r w:rsidRPr="006A658C">
        <w:t>Range Statement</w:t>
      </w:r>
    </w:p>
    <w:tbl>
      <w:tblPr>
        <w:tblW w:w="9322" w:type="dxa"/>
        <w:tblLayout w:type="fixed"/>
        <w:tblCellMar>
          <w:left w:w="62" w:type="dxa"/>
          <w:right w:w="62" w:type="dxa"/>
        </w:tblCellMar>
        <w:tblLook w:val="0000"/>
      </w:tblPr>
      <w:tblGrid>
        <w:gridCol w:w="2660"/>
        <w:gridCol w:w="6662"/>
      </w:tblGrid>
      <w:tr w:rsidTr="00BB0D0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t xml:space="preserve">The Range Statement provides information about the context in which the unit of competency is carried out. The variables cater for differences between States and Territories and the Commonwealth, and between organisations </w:t>
            </w:r>
            <w:r w:rsidRPr="006A658C">
              <w:t>and workplaces. They allow for different work requirements, work practices and knowledge. The Range Statement also provides a focus for assessment. It relates to the unit as a whole. Text in</w:t>
            </w:r>
            <w:r w:rsidRPr="006A658C">
              <w:rPr>
                <w:rStyle w:val="BoldandItalics"/>
              </w:rPr>
              <w:t xml:space="preserve"> bold italics </w:t>
            </w:r>
            <w:r w:rsidRPr="006A658C">
              <w:t>in the Performance Criteria is explained here.</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Dat</w:t>
            </w:r>
            <w:r w:rsidRPr="006A658C">
              <w:rPr>
                <w:rStyle w:val="BoldandItalics"/>
              </w:rPr>
              <w:t>a sources</w:t>
            </w:r>
            <w:r w:rsidRPr="006A658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archives</w:t>
            </w:r>
          </w:p>
          <w:p w:rsidR="00000000" w:rsidRPr="006A658C" w:rsidP="006A658C">
            <w:pPr>
              <w:pStyle w:val="ListBullet2"/>
            </w:pPr>
            <w:r w:rsidRPr="006A658C">
              <w:t>cancelled maps</w:t>
            </w:r>
          </w:p>
          <w:p w:rsidR="00000000" w:rsidRPr="006A658C" w:rsidP="006A658C">
            <w:pPr>
              <w:pStyle w:val="ListBullet2"/>
            </w:pPr>
            <w:r w:rsidRPr="006A658C">
              <w:t xml:space="preserve">cancelled public plans </w:t>
            </w:r>
          </w:p>
          <w:p w:rsidR="00000000" w:rsidRPr="006A658C" w:rsidP="006A658C">
            <w:pPr>
              <w:pStyle w:val="ListBullet2"/>
            </w:pPr>
            <w:r w:rsidRPr="006A658C">
              <w:t>central or regional government offices</w:t>
            </w:r>
          </w:p>
          <w:p w:rsidR="00000000" w:rsidRPr="006A658C" w:rsidP="006A658C">
            <w:pPr>
              <w:pStyle w:val="ListBullet2"/>
            </w:pPr>
            <w:r w:rsidRPr="006A658C">
              <w:t xml:space="preserve">central plan (survey) registries </w:t>
            </w:r>
          </w:p>
          <w:p w:rsidR="00000000" w:rsidRPr="006A658C" w:rsidP="006A658C">
            <w:pPr>
              <w:pStyle w:val="ListBullet2"/>
            </w:pPr>
            <w:r w:rsidRPr="006A658C">
              <w:t>correspondence files</w:t>
            </w:r>
          </w:p>
          <w:p w:rsidR="00000000" w:rsidRPr="006A658C" w:rsidP="006A658C">
            <w:pPr>
              <w:pStyle w:val="ListBullet2"/>
            </w:pPr>
            <w:r w:rsidRPr="006A658C">
              <w:t>Crown allotments</w:t>
            </w:r>
          </w:p>
          <w:p w:rsidR="00000000" w:rsidRPr="006A658C" w:rsidP="006A658C">
            <w:pPr>
              <w:pStyle w:val="ListBullet2"/>
            </w:pPr>
            <w:r w:rsidRPr="006A658C">
              <w:t>Crown leases</w:t>
            </w:r>
          </w:p>
          <w:p w:rsidR="00000000" w:rsidRPr="006A658C" w:rsidP="006A658C">
            <w:pPr>
              <w:pStyle w:val="ListBullet2"/>
            </w:pPr>
            <w:r w:rsidRPr="006A658C">
              <w:t>Crown surveys</w:t>
            </w:r>
          </w:p>
          <w:p w:rsidR="00000000" w:rsidRPr="006A658C" w:rsidP="006A658C">
            <w:pPr>
              <w:pStyle w:val="ListBullet2"/>
            </w:pPr>
            <w:r w:rsidRPr="006A658C">
              <w:t>databases</w:t>
            </w:r>
          </w:p>
          <w:p w:rsidR="00000000" w:rsidRPr="006A658C" w:rsidP="006A658C">
            <w:pPr>
              <w:pStyle w:val="ListBullet2"/>
            </w:pPr>
            <w:r w:rsidRPr="006A658C">
              <w:t>deeds registers</w:t>
            </w:r>
          </w:p>
          <w:p w:rsidR="00000000" w:rsidRPr="006A658C" w:rsidP="006A658C">
            <w:pPr>
              <w:pStyle w:val="ListBullet2"/>
            </w:pPr>
            <w:r w:rsidRPr="006A658C">
              <w:t>departmental systems</w:t>
            </w:r>
          </w:p>
          <w:p w:rsidR="00000000" w:rsidRPr="006A658C" w:rsidP="006A658C">
            <w:pPr>
              <w:pStyle w:val="ListBullet2"/>
            </w:pPr>
            <w:r w:rsidRPr="006A658C">
              <w:t>files</w:t>
            </w:r>
          </w:p>
          <w:p w:rsidR="00000000" w:rsidRPr="006A658C" w:rsidP="006A658C">
            <w:pPr>
              <w:pStyle w:val="ListBullet2"/>
            </w:pPr>
            <w:r w:rsidRPr="006A658C">
              <w:t>gazettes</w:t>
            </w:r>
          </w:p>
          <w:p w:rsidR="00000000" w:rsidRPr="006A658C" w:rsidP="006A658C">
            <w:pPr>
              <w:pStyle w:val="ListBullet2"/>
            </w:pPr>
            <w:r w:rsidRPr="006A658C">
              <w:t>information storage</w:t>
            </w:r>
          </w:p>
          <w:p w:rsidR="00000000" w:rsidRPr="006A658C" w:rsidP="006A658C">
            <w:pPr>
              <w:pStyle w:val="ListBullet2"/>
            </w:pPr>
            <w:r w:rsidRPr="006A658C">
              <w:t>land titles office/s</w:t>
            </w:r>
          </w:p>
          <w:p w:rsidR="00000000" w:rsidRPr="006A658C" w:rsidP="006A658C">
            <w:pPr>
              <w:pStyle w:val="ListBullet2"/>
            </w:pPr>
            <w:r w:rsidRPr="006A658C">
              <w:t>legal precedents</w:t>
            </w:r>
          </w:p>
          <w:p w:rsidR="00000000" w:rsidRPr="006A658C" w:rsidP="006A658C">
            <w:pPr>
              <w:pStyle w:val="ListBullet2"/>
            </w:pPr>
            <w:r w:rsidRPr="006A658C">
              <w:t>Local Government council offices</w:t>
            </w:r>
          </w:p>
          <w:p w:rsidR="00000000" w:rsidRPr="006A658C" w:rsidP="006A658C">
            <w:pPr>
              <w:pStyle w:val="ListBullet2"/>
            </w:pPr>
            <w:r w:rsidRPr="006A658C">
              <w:t>maps</w:t>
            </w:r>
          </w:p>
          <w:p w:rsidR="00000000" w:rsidRPr="006A658C" w:rsidP="006A658C">
            <w:pPr>
              <w:pStyle w:val="ListBullet2"/>
            </w:pPr>
            <w:r w:rsidRPr="006A658C">
              <w:t>newspapers</w:t>
            </w:r>
          </w:p>
          <w:p w:rsidR="00000000" w:rsidRPr="006A658C" w:rsidP="006A658C">
            <w:pPr>
              <w:pStyle w:val="ListBullet2"/>
            </w:pPr>
            <w:r w:rsidRPr="006A658C">
              <w:t>public libraries or other public institutions</w:t>
            </w:r>
          </w:p>
          <w:p w:rsidR="00000000" w:rsidRPr="006A658C" w:rsidP="006A658C">
            <w:pPr>
              <w:pStyle w:val="ListBullet2"/>
            </w:pPr>
            <w:r w:rsidRPr="006A658C">
              <w:t>public registers including those maintained by academic institutions</w:t>
            </w:r>
          </w:p>
          <w:p w:rsidR="00000000" w:rsidRPr="006A658C" w:rsidP="006A658C">
            <w:pPr>
              <w:pStyle w:val="ListBullet2"/>
            </w:pPr>
            <w:r w:rsidRPr="006A658C">
              <w:t>reserve plans</w:t>
            </w:r>
          </w:p>
          <w:p w:rsidR="00000000" w:rsidRPr="006A658C" w:rsidP="006A658C">
            <w:pPr>
              <w:pStyle w:val="ListBullet2"/>
            </w:pPr>
            <w:r w:rsidRPr="006A658C">
              <w:t>resumption plans</w:t>
            </w:r>
          </w:p>
          <w:p w:rsidR="00000000" w:rsidP="006A658C">
            <w:pPr>
              <w:pStyle w:val="ListBullet2"/>
              <w:rPr>
                <w:lang w:val="en-NZ"/>
              </w:rPr>
            </w:pPr>
            <w:r w:rsidRPr="006A658C">
              <w:t>State/Territory and Federal Government registers</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 xml:space="preserve">Information </w:t>
            </w:r>
            <w:r w:rsidRPr="006A658C">
              <w:t>may be gathered from:</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aerial photography</w:t>
            </w:r>
          </w:p>
          <w:p w:rsidR="00000000" w:rsidRPr="006A658C" w:rsidP="006A658C">
            <w:pPr>
              <w:pStyle w:val="ListBullet2"/>
            </w:pPr>
            <w:r w:rsidRPr="006A658C">
              <w:t>cadastral records, current and historic</w:t>
            </w:r>
          </w:p>
          <w:p w:rsidR="00000000" w:rsidRPr="006A658C" w:rsidP="006A658C">
            <w:pPr>
              <w:pStyle w:val="ListBullet2"/>
            </w:pPr>
            <w:r w:rsidRPr="006A658C">
              <w:t>certified plans</w:t>
            </w:r>
          </w:p>
          <w:p w:rsidR="00000000" w:rsidRPr="006A658C" w:rsidP="006A658C">
            <w:pPr>
              <w:pStyle w:val="ListBullet2"/>
            </w:pPr>
            <w:r w:rsidRPr="006A658C">
              <w:t xml:space="preserve">correspondence </w:t>
            </w:r>
          </w:p>
          <w:p w:rsidR="00000000" w:rsidRPr="006A658C" w:rsidP="006A658C">
            <w:pPr>
              <w:pStyle w:val="ListBullet2"/>
            </w:pPr>
            <w:r w:rsidRPr="006A658C">
              <w:t>Crown grants</w:t>
            </w:r>
          </w:p>
          <w:p w:rsidR="00000000" w:rsidRPr="006A658C" w:rsidP="006A658C">
            <w:pPr>
              <w:pStyle w:val="ListBullet2"/>
            </w:pPr>
            <w:r w:rsidRPr="006A658C">
              <w:t>deeds</w:t>
            </w:r>
          </w:p>
          <w:p w:rsidR="00000000" w:rsidRPr="006A658C" w:rsidP="006A658C">
            <w:pPr>
              <w:pStyle w:val="ListBullet2"/>
            </w:pPr>
            <w:r w:rsidRPr="006A658C">
              <w:t>electronic records</w:t>
            </w:r>
          </w:p>
          <w:p w:rsidR="00000000" w:rsidRPr="006A658C" w:rsidP="006A658C">
            <w:pPr>
              <w:pStyle w:val="ListBullet2"/>
            </w:pPr>
            <w:r w:rsidRPr="006A658C">
              <w:t>field reports</w:t>
            </w:r>
          </w:p>
          <w:p w:rsidR="00000000" w:rsidRPr="006A658C" w:rsidP="006A658C">
            <w:pPr>
              <w:pStyle w:val="ListBullet2"/>
            </w:pPr>
            <w:r w:rsidRPr="006A658C">
              <w:t>file record</w:t>
            </w:r>
            <w:r w:rsidRPr="006A658C">
              <w:t>s, current and archived</w:t>
            </w:r>
          </w:p>
          <w:p w:rsidR="00000000" w:rsidRPr="006A658C" w:rsidP="006A658C">
            <w:pPr>
              <w:pStyle w:val="ListBullet2"/>
            </w:pPr>
            <w:r w:rsidRPr="006A658C">
              <w:t>freehold certificates of title</w:t>
            </w:r>
          </w:p>
          <w:p w:rsidR="00000000" w:rsidRPr="006A658C" w:rsidP="006A658C">
            <w:pPr>
              <w:pStyle w:val="ListBullet2"/>
            </w:pPr>
            <w:r w:rsidRPr="006A658C">
              <w:t xml:space="preserve">government gazette notices </w:t>
            </w:r>
          </w:p>
          <w:p w:rsidR="00000000" w:rsidRPr="006A658C" w:rsidP="006A658C">
            <w:pPr>
              <w:pStyle w:val="ListBullet2"/>
            </w:pPr>
            <w:r w:rsidRPr="006A658C">
              <w:t>government infrastructure records</w:t>
            </w:r>
          </w:p>
          <w:p w:rsidR="00000000" w:rsidRPr="006A658C" w:rsidP="006A658C">
            <w:pPr>
              <w:pStyle w:val="ListBullet2"/>
            </w:pPr>
            <w:r w:rsidRPr="006A658C">
              <w:t>historical records</w:t>
            </w:r>
          </w:p>
          <w:p w:rsidR="00000000" w:rsidRPr="006A658C" w:rsidP="006A658C">
            <w:pPr>
              <w:pStyle w:val="ListBullet2"/>
            </w:pPr>
            <w:r w:rsidRPr="006A658C">
              <w:t>historical survey data</w:t>
            </w:r>
          </w:p>
          <w:p w:rsidR="00000000" w:rsidRPr="006A658C" w:rsidP="006A658C">
            <w:pPr>
              <w:pStyle w:val="ListBullet2"/>
            </w:pPr>
            <w:r w:rsidRPr="006A658C">
              <w:t>land accounts</w:t>
            </w:r>
          </w:p>
          <w:p w:rsidR="00000000" w:rsidRPr="006A658C" w:rsidP="006A658C">
            <w:pPr>
              <w:pStyle w:val="ListBullet2"/>
            </w:pPr>
            <w:r w:rsidRPr="006A658C">
              <w:t>leasehold titles</w:t>
            </w:r>
          </w:p>
          <w:p w:rsidR="00000000" w:rsidRPr="006A658C" w:rsidP="006A658C">
            <w:pPr>
              <w:pStyle w:val="ListBullet2"/>
            </w:pPr>
            <w:r w:rsidRPr="006A658C">
              <w:t>legislation and executive orders</w:t>
            </w:r>
          </w:p>
          <w:p w:rsidR="00000000" w:rsidRPr="006A658C" w:rsidP="006A658C">
            <w:pPr>
              <w:pStyle w:val="ListBullet2"/>
            </w:pPr>
            <w:r w:rsidRPr="006A658C">
              <w:t>municipal building approvals</w:t>
            </w:r>
          </w:p>
          <w:p w:rsidR="00000000" w:rsidRPr="006A658C" w:rsidP="006A658C">
            <w:pPr>
              <w:pStyle w:val="ListBullet2"/>
            </w:pPr>
            <w:r w:rsidRPr="006A658C">
              <w:t>original plans</w:t>
            </w:r>
          </w:p>
          <w:p w:rsidR="00000000" w:rsidRPr="006A658C" w:rsidP="006A658C">
            <w:pPr>
              <w:pStyle w:val="ListBullet2"/>
            </w:pPr>
            <w:r w:rsidRPr="006A658C">
              <w:t>plans</w:t>
            </w:r>
          </w:p>
          <w:p w:rsidR="00000000" w:rsidRPr="006A658C" w:rsidP="006A658C">
            <w:pPr>
              <w:pStyle w:val="ListBullet2"/>
            </w:pPr>
            <w:r w:rsidRPr="006A658C">
              <w:t>records of land transfer or tenure</w:t>
            </w:r>
          </w:p>
          <w:p w:rsidR="00000000" w:rsidRPr="006A658C" w:rsidP="006A658C">
            <w:pPr>
              <w:pStyle w:val="ListBullet2"/>
            </w:pPr>
            <w:r w:rsidRPr="006A658C">
              <w:t>reserve development plans</w:t>
            </w:r>
          </w:p>
          <w:p w:rsidR="00000000" w:rsidRPr="006A658C" w:rsidP="006A658C">
            <w:pPr>
              <w:pStyle w:val="ListBullet2"/>
            </w:pPr>
            <w:r w:rsidRPr="006A658C">
              <w:t>tenure cards</w:t>
            </w:r>
          </w:p>
          <w:p w:rsidR="00000000" w:rsidRPr="006A658C" w:rsidP="006A658C">
            <w:pPr>
              <w:pStyle w:val="ListBullet2"/>
            </w:pPr>
            <w:r w:rsidRPr="006A658C">
              <w:t>tenure documents</w:t>
            </w:r>
          </w:p>
          <w:p w:rsidR="00000000" w:rsidP="006A658C">
            <w:pPr>
              <w:pStyle w:val="ListBullet2"/>
              <w:rPr>
                <w:lang w:val="en-NZ"/>
              </w:rPr>
            </w:pPr>
            <w:r w:rsidRPr="006A658C">
              <w:t>titles</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 xml:space="preserve">Information </w:t>
            </w:r>
            <w:r w:rsidRPr="006A658C">
              <w:t>may be held:</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spatially</w:t>
            </w:r>
          </w:p>
          <w:p w:rsidR="00000000" w:rsidRPr="006A658C" w:rsidP="006A658C">
            <w:pPr>
              <w:pStyle w:val="ListBullet2"/>
            </w:pPr>
            <w:r w:rsidRPr="006A658C">
              <w:t>digitally</w:t>
            </w:r>
          </w:p>
          <w:p w:rsidR="00000000" w:rsidRPr="006A658C" w:rsidP="006A658C">
            <w:pPr>
              <w:pStyle w:val="ListBullet2"/>
            </w:pPr>
            <w:r w:rsidRPr="006A658C">
              <w:t>microfiched</w:t>
            </w:r>
          </w:p>
          <w:p w:rsidR="00000000" w:rsidRPr="006A658C" w:rsidP="006A658C">
            <w:pPr>
              <w:pStyle w:val="ListBullet2"/>
            </w:pPr>
            <w:r w:rsidRPr="006A658C">
              <w:t>electronically</w:t>
            </w:r>
          </w:p>
          <w:p w:rsidR="00000000" w:rsidP="006A658C">
            <w:pPr>
              <w:pStyle w:val="ListBullet2"/>
              <w:rPr>
                <w:lang w:val="en-NZ"/>
              </w:rPr>
            </w:pPr>
            <w:r w:rsidRPr="006A658C">
              <w:t>in original hard copy format</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Organisational procedures</w:t>
            </w:r>
            <w:r w:rsidRPr="006A658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organisational guidelines</w:t>
            </w:r>
          </w:p>
          <w:p w:rsidR="00000000" w:rsidRPr="006A658C" w:rsidP="006A658C">
            <w:pPr>
              <w:pStyle w:val="ListBullet2"/>
            </w:pPr>
            <w:r w:rsidRPr="006A658C">
              <w:t xml:space="preserve">workplace notices </w:t>
            </w:r>
          </w:p>
          <w:p w:rsidR="00000000" w:rsidRPr="006A658C" w:rsidP="006A658C">
            <w:pPr>
              <w:pStyle w:val="ListBullet2"/>
            </w:pPr>
            <w:r w:rsidRPr="006A658C">
              <w:t>regulatory requirements</w:t>
            </w:r>
          </w:p>
          <w:p w:rsidR="00000000" w:rsidRPr="006A658C" w:rsidP="006A658C">
            <w:pPr>
              <w:pStyle w:val="ListBullet2"/>
            </w:pPr>
            <w:r w:rsidRPr="006A658C">
              <w:t>industry practices</w:t>
            </w:r>
          </w:p>
          <w:p w:rsidR="00000000" w:rsidP="006A658C">
            <w:pPr>
              <w:pStyle w:val="ListBullet2"/>
              <w:rPr>
                <w:lang w:val="en-NZ"/>
              </w:rPr>
            </w:pPr>
            <w:r w:rsidRPr="006A658C">
              <w:t>manual or electronic application</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A non-claimant application</w:t>
            </w:r>
            <w:r w:rsidRPr="006A658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copies of titles</w:t>
            </w:r>
          </w:p>
          <w:p w:rsidR="00000000" w:rsidP="006A658C">
            <w:pPr>
              <w:pStyle w:val="ListBullet2"/>
              <w:rPr>
                <w:lang w:val="en-NZ"/>
              </w:rPr>
            </w:pPr>
            <w:r w:rsidRPr="006A658C">
              <w:t>copies of plans and maps</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Legislation, policy and procedures</w:t>
            </w:r>
            <w:r w:rsidRPr="006A658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legislation related to Crown land, State land or public land administration, in particular Commonwealth Native Title Act 1993, regulations, and Wik amendments</w:t>
            </w:r>
          </w:p>
          <w:p w:rsidR="00000000" w:rsidRPr="006A658C" w:rsidP="006A658C">
            <w:pPr>
              <w:pStyle w:val="ListBullet2"/>
            </w:pPr>
            <w:r w:rsidRPr="006A658C">
              <w:t>public sector legislation such as equal employment opportunity, anti-discriminatio</w:t>
            </w:r>
            <w:r w:rsidRPr="006A658C">
              <w:t>n, diversity, occupational health and safety</w:t>
            </w:r>
          </w:p>
          <w:p w:rsidR="00000000" w:rsidRPr="006A658C" w:rsidP="006A658C">
            <w:pPr>
              <w:pStyle w:val="ListBullet2"/>
            </w:pPr>
            <w:r w:rsidRPr="006A658C">
              <w:t>privacy legislation and freedom of information</w:t>
            </w:r>
          </w:p>
          <w:p w:rsidR="00000000" w:rsidRPr="006A658C" w:rsidP="006A658C">
            <w:pPr>
              <w:pStyle w:val="ListBullet2"/>
            </w:pPr>
            <w:r w:rsidRPr="006A658C">
              <w:t>public sector standards</w:t>
            </w:r>
          </w:p>
          <w:p w:rsidR="00000000" w:rsidRPr="006A658C" w:rsidP="006A658C">
            <w:pPr>
              <w:pStyle w:val="ListBullet2"/>
            </w:pPr>
            <w:r w:rsidRPr="006A658C">
              <w:t>organisational standards</w:t>
            </w:r>
          </w:p>
          <w:p w:rsidR="00000000" w:rsidRPr="006A658C" w:rsidP="006A658C">
            <w:pPr>
              <w:pStyle w:val="ListBullet2"/>
            </w:pPr>
            <w:r w:rsidRPr="006A658C">
              <w:t>quality standards</w:t>
            </w:r>
          </w:p>
          <w:p w:rsidR="00000000" w:rsidP="006A658C">
            <w:pPr>
              <w:pStyle w:val="ListBullet2"/>
              <w:rPr>
                <w:lang w:val="en-NZ"/>
              </w:rPr>
            </w:pPr>
            <w:r w:rsidRPr="006A658C">
              <w:t>jurisdictional and organisational code/s of practice and code/s of ethics</w:t>
            </w:r>
          </w:p>
        </w:tc>
      </w:tr>
      <w:tr w:rsidTr="00BB0D0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658C">
            <w:pPr>
              <w:pStyle w:val="BodyText"/>
              <w:rPr>
                <w:lang w:val="en-NZ"/>
              </w:rPr>
            </w:pPr>
            <w:r w:rsidRPr="006A658C">
              <w:rPr>
                <w:rStyle w:val="BoldandItalics"/>
              </w:rPr>
              <w:t>Follow-up action after</w:t>
            </w:r>
            <w:r w:rsidRPr="006A658C">
              <w:rPr>
                <w:rStyle w:val="BoldandItalics"/>
              </w:rPr>
              <w:t xml:space="preserve"> approval</w:t>
            </w:r>
            <w:r w:rsidRPr="006A658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A658C" w:rsidP="006A658C">
            <w:pPr>
              <w:pStyle w:val="ListBullet2"/>
            </w:pPr>
            <w:r w:rsidRPr="006A658C">
              <w:t>issuing a survey instruction</w:t>
            </w:r>
          </w:p>
          <w:p w:rsidR="00000000" w:rsidRPr="006A658C" w:rsidP="006A658C">
            <w:pPr>
              <w:pStyle w:val="ListBullet2"/>
            </w:pPr>
            <w:r w:rsidRPr="006A658C">
              <w:t>granting a lease or licence agreement</w:t>
            </w:r>
          </w:p>
          <w:p w:rsidR="00000000" w:rsidRPr="006A658C" w:rsidP="006A658C">
            <w:pPr>
              <w:pStyle w:val="ListBullet2"/>
            </w:pPr>
            <w:r w:rsidRPr="006A658C">
              <w:t>granting a lease surrender and subdivision application</w:t>
            </w:r>
          </w:p>
        </w:tc>
      </w:tr>
    </w:tbl>
    <w:p w:rsidR="00BB0D0A" w:rsidP="006A658C">
      <w:pPr>
        <w:pStyle w:val="BodyText"/>
      </w:pPr>
    </w:p>
    <w:p w:rsidR="00BB0D0A" w:rsidP="006A658C">
      <w:pPr>
        <w:pStyle w:val="BodyText"/>
      </w:pPr>
    </w:p>
    <w:p w:rsidR="00000000" w:rsidRPr="006A658C" w:rsidP="006A658C">
      <w:pPr>
        <w:pStyle w:val="Heading1"/>
      </w:pPr>
      <w:bookmarkStart w:id="12" w:name="O_496874"/>
      <w:bookmarkEnd w:id="12"/>
      <w:r w:rsidRPr="006A658C">
        <w:t>Unit Sector(s)</w:t>
      </w:r>
    </w:p>
    <w:p w:rsidR="00000000" w:rsidRPr="006A658C" w:rsidP="006A658C">
      <w:pPr>
        <w:pStyle w:val="BodyText"/>
      </w:pPr>
      <w:r w:rsidRPr="006A658C">
        <w:t>Not applicable.</w:t>
      </w:r>
    </w:p>
    <w:p w:rsidR="00000000" w:rsidRPr="006A658C" w:rsidP="006A658C">
      <w:pPr>
        <w:pStyle w:val="AllowPageBreak"/>
      </w:pPr>
    </w:p>
    <w:p w:rsidR="00000000" w:rsidRPr="006A658C" w:rsidP="006A658C">
      <w:pPr>
        <w:pStyle w:val="Heading1"/>
      </w:pPr>
      <w:bookmarkStart w:id="13" w:name="O_496879"/>
      <w:bookmarkEnd w:id="13"/>
      <w:r w:rsidRPr="006A658C">
        <w:t>Competency field</w:t>
      </w:r>
    </w:p>
    <w:p w:rsidR="00000000" w:rsidRPr="006A658C" w:rsidP="006A658C">
      <w:pPr>
        <w:pStyle w:val="BodyText"/>
      </w:pPr>
      <w:r w:rsidRPr="006A658C">
        <w:t>Public Land Administration.</w:t>
      </w:r>
    </w:p>
    <w:p w:rsidR="00000000" w:rsidRPr="006A658C" w:rsidP="006A658C"/>
    <w:sectPr w:rsidSect="006A6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D0A" w:rsidP="00BB0D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0A" w:rsidP="006A65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0D0A" w:rsidP="006A6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0D0A" w:rsidP="006A65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C" w:rsidRPr="00BB0D0A" w:rsidP="00BB0D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0A" w:rsidRPr="002D2AF8" w:rsidP="006A658C">
    <w:pPr>
      <w:pStyle w:val="Header"/>
      <w:framePr w:wrap="around"/>
    </w:pPr>
    <w:r>
      <w:fldChar w:fldCharType="begin"/>
    </w:r>
    <w:r>
      <w:instrText xml:space="preserve"> TITLE   \* MERGEFORMAT </w:instrText>
    </w:r>
    <w:r>
      <w:fldChar w:fldCharType="separate"/>
    </w:r>
    <w:r>
      <w:t>PSPLAND403A Prepare and lodge non-claimant native title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B0D0A" w:rsidP="006A6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1CD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1526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58C"/>
    <w:pPr>
      <w:spacing w:before="360" w:after="60"/>
      <w:outlineLvl w:val="0"/>
    </w:pPr>
    <w:rPr>
      <w:sz w:val="32"/>
    </w:rPr>
  </w:style>
  <w:style w:type="paragraph" w:styleId="Heading2">
    <w:name w:val="heading 2"/>
    <w:basedOn w:val="HeadingBase"/>
    <w:next w:val="BodyText"/>
    <w:link w:val="Heading2Char"/>
    <w:qFormat/>
    <w:rsid w:val="006A658C"/>
    <w:pPr>
      <w:keepLines/>
      <w:spacing w:before="240" w:after="120"/>
      <w:outlineLvl w:val="1"/>
    </w:pPr>
    <w:rPr>
      <w:sz w:val="28"/>
      <w:szCs w:val="40"/>
    </w:rPr>
  </w:style>
  <w:style w:type="paragraph" w:styleId="Heading3">
    <w:name w:val="heading 3"/>
    <w:basedOn w:val="HeadingBase"/>
    <w:next w:val="BodyText"/>
    <w:link w:val="Heading3Char"/>
    <w:qFormat/>
    <w:rsid w:val="006A658C"/>
    <w:pPr>
      <w:spacing w:before="180" w:after="120"/>
      <w:outlineLvl w:val="2"/>
    </w:pPr>
    <w:rPr>
      <w:spacing w:val="-10"/>
      <w:kern w:val="32"/>
    </w:rPr>
  </w:style>
  <w:style w:type="paragraph" w:styleId="Heading4">
    <w:name w:val="heading 4"/>
    <w:basedOn w:val="HeadingBase"/>
    <w:next w:val="BodyText"/>
    <w:link w:val="Heading4Char"/>
    <w:qFormat/>
    <w:rsid w:val="006A658C"/>
    <w:pPr>
      <w:spacing w:before="160" w:after="120"/>
      <w:outlineLvl w:val="3"/>
    </w:pPr>
    <w:rPr>
      <w:sz w:val="22"/>
    </w:rPr>
  </w:style>
  <w:style w:type="paragraph" w:styleId="Heading5">
    <w:name w:val="heading 5"/>
    <w:basedOn w:val="HeadingBase"/>
    <w:next w:val="Normal"/>
    <w:link w:val="Heading5Char"/>
    <w:qFormat/>
    <w:rsid w:val="006A658C"/>
    <w:pPr>
      <w:spacing w:before="80"/>
      <w:outlineLvl w:val="4"/>
    </w:pPr>
    <w:rPr>
      <w:color w:val="918585"/>
      <w:sz w:val="20"/>
    </w:rPr>
  </w:style>
  <w:style w:type="paragraph" w:styleId="Heading6">
    <w:name w:val="heading 6"/>
    <w:basedOn w:val="HeadingBase"/>
    <w:next w:val="Normal"/>
    <w:link w:val="Heading6Char"/>
    <w:qFormat/>
    <w:rsid w:val="006A658C"/>
    <w:pPr>
      <w:spacing w:before="60"/>
      <w:outlineLvl w:val="5"/>
    </w:pPr>
    <w:rPr>
      <w:color w:val="918585"/>
      <w:sz w:val="20"/>
    </w:rPr>
  </w:style>
  <w:style w:type="paragraph" w:styleId="Heading7">
    <w:name w:val="heading 7"/>
    <w:basedOn w:val="Normal"/>
    <w:next w:val="Normal"/>
    <w:link w:val="Heading7Char"/>
    <w:qFormat/>
    <w:rsid w:val="006A658C"/>
    <w:pPr>
      <w:ind w:left="720"/>
      <w:outlineLvl w:val="6"/>
    </w:pPr>
    <w:rPr>
      <w:i/>
    </w:rPr>
  </w:style>
  <w:style w:type="paragraph" w:styleId="Heading8">
    <w:name w:val="heading 8"/>
    <w:basedOn w:val="Normal"/>
    <w:next w:val="Normal"/>
    <w:link w:val="Heading8Char"/>
    <w:qFormat/>
    <w:rsid w:val="006A658C"/>
    <w:pPr>
      <w:ind w:left="720"/>
      <w:outlineLvl w:val="7"/>
    </w:pPr>
    <w:rPr>
      <w:i/>
    </w:rPr>
  </w:style>
  <w:style w:type="paragraph" w:styleId="Heading9">
    <w:name w:val="heading 9"/>
    <w:basedOn w:val="Normal"/>
    <w:next w:val="Normal"/>
    <w:link w:val="Heading9Char"/>
    <w:qFormat/>
    <w:rsid w:val="006A658C"/>
    <w:pPr>
      <w:ind w:left="720"/>
      <w:outlineLvl w:val="8"/>
    </w:pPr>
    <w:rPr>
      <w:i/>
    </w:rPr>
  </w:style>
  <w:style w:type="character" w:default="1" w:styleId="DefaultParagraphFont">
    <w:name w:val="Default Paragraph Font"/>
    <w:uiPriority w:val="1"/>
    <w:unhideWhenUsed/>
    <w:rsid w:val="006A6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58C"/>
  </w:style>
  <w:style w:type="character" w:customStyle="1" w:styleId="Heading1Char">
    <w:name w:val="Heading 1 Char"/>
    <w:basedOn w:val="DefaultParagraphFont"/>
    <w:link w:val="Heading1"/>
    <w:rsid w:val="006A658C"/>
    <w:rPr>
      <w:rFonts w:ascii="Times New Roman" w:eastAsia="Times New Roman" w:hAnsi="Times New Roman" w:cs="Times New Roman"/>
      <w:b/>
      <w:sz w:val="32"/>
      <w:szCs w:val="20"/>
      <w:lang w:eastAsia="en-US"/>
    </w:rPr>
  </w:style>
  <w:style w:type="paragraph" w:styleId="BodyText">
    <w:name w:val="Body Text"/>
    <w:basedOn w:val="Normal"/>
    <w:link w:val="BodyTextChar"/>
    <w:rsid w:val="006A6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58C"/>
    <w:rPr>
      <w:rFonts w:ascii="Times New Roman" w:eastAsia="Times New Roman" w:hAnsi="Times New Roman" w:cs="Times New Roman"/>
      <w:sz w:val="24"/>
      <w:lang w:eastAsia="en-US"/>
    </w:rPr>
  </w:style>
  <w:style w:type="paragraph" w:styleId="Footer">
    <w:name w:val="footer"/>
    <w:basedOn w:val="Normal"/>
    <w:link w:val="FooterChar"/>
    <w:rsid w:val="006A6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58C"/>
    <w:rPr>
      <w:rFonts w:ascii="Times New Roman" w:eastAsia="Times New Roman" w:hAnsi="Times New Roman" w:cs="Times New Roman"/>
      <w:sz w:val="16"/>
      <w:lang w:eastAsia="en-US"/>
    </w:rPr>
  </w:style>
  <w:style w:type="paragraph" w:styleId="List">
    <w:name w:val="List"/>
    <w:basedOn w:val="BodyText"/>
    <w:next w:val="BodyText"/>
    <w:rsid w:val="006A658C"/>
    <w:pPr>
      <w:tabs>
        <w:tab w:val="left" w:pos="340"/>
      </w:tabs>
      <w:spacing w:before="60" w:after="60"/>
      <w:ind w:left="340" w:hanging="340"/>
    </w:pPr>
  </w:style>
  <w:style w:type="character" w:customStyle="1" w:styleId="SpecialBold">
    <w:name w:val="Special Bold"/>
    <w:basedOn w:val="DefaultParagraphFont"/>
    <w:rsid w:val="006A658C"/>
    <w:rPr>
      <w:b/>
      <w:spacing w:val="0"/>
    </w:rPr>
  </w:style>
  <w:style w:type="paragraph" w:styleId="ListBullet2">
    <w:name w:val="List Bullet 2"/>
    <w:basedOn w:val="List2"/>
    <w:rsid w:val="006A658C"/>
    <w:pPr>
      <w:numPr>
        <w:numId w:val="14"/>
      </w:numPr>
      <w:tabs>
        <w:tab w:val="clear" w:pos="680"/>
      </w:tabs>
    </w:pPr>
  </w:style>
  <w:style w:type="character" w:styleId="Emphasis">
    <w:name w:val="Emphasis"/>
    <w:basedOn w:val="DefaultParagraphFont"/>
    <w:qFormat/>
    <w:rsid w:val="006A658C"/>
    <w:rPr>
      <w:i/>
    </w:rPr>
  </w:style>
  <w:style w:type="paragraph" w:customStyle="1" w:styleId="SuperHeading">
    <w:name w:val="SuperHeading"/>
    <w:basedOn w:val="Normal"/>
    <w:rsid w:val="006A658C"/>
    <w:pPr>
      <w:spacing w:before="240" w:after="120"/>
      <w:outlineLvl w:val="0"/>
    </w:pPr>
    <w:rPr>
      <w:rFonts w:ascii="Times New Roman" w:hAnsi="Times New Roman"/>
      <w:b/>
      <w:sz w:val="28"/>
    </w:rPr>
  </w:style>
  <w:style w:type="paragraph" w:customStyle="1" w:styleId="AllowPageBreak">
    <w:name w:val="AllowPageBreak"/>
    <w:rsid w:val="006A65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658C"/>
    <w:pPr>
      <w:numPr>
        <w:numId w:val="2"/>
      </w:numPr>
      <w:tabs>
        <w:tab w:val="clear" w:pos="1021"/>
      </w:tabs>
      <w:ind w:left="1037" w:hanging="357"/>
    </w:pPr>
  </w:style>
  <w:style w:type="character" w:customStyle="1" w:styleId="BoldandItalics">
    <w:name w:val="Bold and Italics"/>
    <w:qFormat/>
    <w:rsid w:val="006A658C"/>
    <w:rPr>
      <w:b/>
      <w:i/>
      <w:u w:val="none"/>
    </w:rPr>
  </w:style>
  <w:style w:type="character" w:customStyle="1" w:styleId="Heading2Char">
    <w:name w:val="Heading 2 Char"/>
    <w:basedOn w:val="DefaultParagraphFont"/>
    <w:link w:val="Heading2"/>
    <w:rsid w:val="006A6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58C"/>
    <w:rPr>
      <w:rFonts w:ascii="Courier New" w:eastAsia="Times New Roman" w:hAnsi="Courier New" w:cs="Times New Roman"/>
      <w:i/>
      <w:szCs w:val="20"/>
      <w:lang w:eastAsia="en-US"/>
    </w:rPr>
  </w:style>
  <w:style w:type="paragraph" w:customStyle="1" w:styleId="HeadingBase">
    <w:name w:val="Heading Base"/>
    <w:rsid w:val="006A6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58C"/>
    <w:pPr>
      <w:tabs>
        <w:tab w:val="right" w:leader="dot" w:pos="9072"/>
      </w:tabs>
      <w:ind w:left="567"/>
    </w:pPr>
    <w:rPr>
      <w:szCs w:val="22"/>
    </w:rPr>
  </w:style>
  <w:style w:type="paragraph" w:customStyle="1" w:styleId="TOCBase">
    <w:name w:val="TOC Base"/>
    <w:rsid w:val="006A6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58C"/>
    <w:pPr>
      <w:tabs>
        <w:tab w:val="right" w:leader="dot" w:pos="9072"/>
      </w:tabs>
      <w:spacing w:before="40" w:after="40"/>
      <w:ind w:left="284"/>
    </w:pPr>
    <w:rPr>
      <w:rFonts w:ascii="Times New Roman" w:hAnsi="Times New Roman"/>
    </w:rPr>
  </w:style>
  <w:style w:type="paragraph" w:styleId="TOC1">
    <w:name w:val="toc 1"/>
    <w:basedOn w:val="TOCBase"/>
    <w:next w:val="Normal"/>
    <w:rsid w:val="006A65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58C"/>
    <w:pPr>
      <w:spacing w:before="5040"/>
      <w:jc w:val="center"/>
    </w:pPr>
    <w:rPr>
      <w:sz w:val="48"/>
      <w:szCs w:val="72"/>
      <w:lang w:val="en-US"/>
    </w:rPr>
  </w:style>
  <w:style w:type="character" w:customStyle="1" w:styleId="TitleChar">
    <w:name w:val="Title Char"/>
    <w:basedOn w:val="DefaultParagraphFont"/>
    <w:link w:val="Title"/>
    <w:rsid w:val="006A6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58C"/>
    <w:pPr>
      <w:tabs>
        <w:tab w:val="left" w:pos="3600"/>
        <w:tab w:val="left" w:pos="3958"/>
      </w:tabs>
    </w:pPr>
  </w:style>
  <w:style w:type="paragraph" w:styleId="ListBullet">
    <w:name w:val="List Bullet"/>
    <w:basedOn w:val="List"/>
    <w:rsid w:val="006A658C"/>
    <w:pPr>
      <w:numPr>
        <w:numId w:val="13"/>
      </w:numPr>
      <w:tabs>
        <w:tab w:val="clear" w:pos="340"/>
      </w:tabs>
      <w:spacing w:before="40" w:after="40"/>
    </w:pPr>
  </w:style>
  <w:style w:type="paragraph" w:customStyle="1" w:styleId="Note">
    <w:name w:val="Note"/>
    <w:basedOn w:val="BodyText"/>
    <w:rsid w:val="006A6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58C"/>
    <w:pPr>
      <w:framePr w:wrap="auto" w:hAnchor="text" w:y="6049"/>
    </w:pPr>
    <w:rPr>
      <w:color w:val="000000"/>
      <w:sz w:val="40"/>
    </w:rPr>
  </w:style>
  <w:style w:type="paragraph" w:customStyle="1" w:styleId="TOCTitle">
    <w:name w:val="TOCTitle"/>
    <w:basedOn w:val="Heading1"/>
    <w:rsid w:val="006A658C"/>
    <w:pPr>
      <w:spacing w:after="240"/>
      <w:jc w:val="center"/>
      <w:outlineLvl w:val="9"/>
    </w:pPr>
    <w:rPr>
      <w:caps/>
    </w:rPr>
  </w:style>
  <w:style w:type="paragraph" w:customStyle="1" w:styleId="Version">
    <w:name w:val="Version"/>
    <w:rsid w:val="006A6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58C"/>
    <w:pPr>
      <w:keepNext w:val="0"/>
      <w:tabs>
        <w:tab w:val="right" w:pos="4176"/>
      </w:tabs>
      <w:ind w:left="198" w:hanging="198"/>
    </w:pPr>
    <w:rPr>
      <w:rFonts w:ascii="Garamond" w:hAnsi="Garamond"/>
    </w:rPr>
  </w:style>
  <w:style w:type="paragraph" w:styleId="IndexHeading">
    <w:name w:val="index heading"/>
    <w:basedOn w:val="Normal"/>
    <w:next w:val="Index1"/>
    <w:semiHidden/>
    <w:rsid w:val="006A658C"/>
    <w:pPr>
      <w:spacing w:before="120" w:after="120"/>
    </w:pPr>
    <w:rPr>
      <w:rFonts w:ascii="Arial" w:hAnsi="Arial"/>
      <w:b/>
      <w:color w:val="918585"/>
      <w:sz w:val="24"/>
    </w:rPr>
  </w:style>
  <w:style w:type="paragraph" w:styleId="Header">
    <w:name w:val="header"/>
    <w:basedOn w:val="Normal"/>
    <w:link w:val="HeaderChar"/>
    <w:rsid w:val="006A6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58C"/>
    <w:rPr>
      <w:rFonts w:ascii="Times New Roman" w:eastAsia="Times New Roman" w:hAnsi="Times New Roman" w:cs="Times New Roman"/>
      <w:sz w:val="16"/>
      <w:szCs w:val="20"/>
      <w:lang w:val="en-GB" w:eastAsia="en-US"/>
    </w:rPr>
  </w:style>
  <w:style w:type="paragraph" w:customStyle="1" w:styleId="Chapter">
    <w:name w:val="Chapter"/>
    <w:basedOn w:val="Normal"/>
    <w:rsid w:val="006A658C"/>
    <w:pPr>
      <w:spacing w:before="240"/>
    </w:pPr>
    <w:rPr>
      <w:rFonts w:ascii="Times New Roman" w:hAnsi="Times New Roman"/>
      <w:smallCaps/>
      <w:spacing w:val="80"/>
      <w:sz w:val="28"/>
    </w:rPr>
  </w:style>
  <w:style w:type="paragraph" w:customStyle="1" w:styleId="InChapter">
    <w:name w:val="InChapter"/>
    <w:basedOn w:val="Heading3"/>
    <w:rsid w:val="006A658C"/>
    <w:pPr>
      <w:spacing w:after="240"/>
      <w:outlineLvl w:val="9"/>
    </w:pPr>
    <w:rPr>
      <w:noProof/>
    </w:rPr>
  </w:style>
  <w:style w:type="paragraph" w:styleId="Index2">
    <w:name w:val="index 2"/>
    <w:basedOn w:val="Normal"/>
    <w:next w:val="Normal"/>
    <w:semiHidden/>
    <w:rsid w:val="006A658C"/>
    <w:pPr>
      <w:tabs>
        <w:tab w:val="right" w:pos="4176"/>
      </w:tabs>
      <w:ind w:left="568" w:hanging="284"/>
    </w:pPr>
    <w:rPr>
      <w:rFonts w:ascii="Garamond" w:hAnsi="Garamond"/>
    </w:rPr>
  </w:style>
  <w:style w:type="paragraph" w:customStyle="1" w:styleId="Byline">
    <w:name w:val="Byline"/>
    <w:rsid w:val="006A6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58C"/>
    <w:pPr>
      <w:tabs>
        <w:tab w:val="clear" w:pos="3600"/>
        <w:tab w:val="clear" w:pos="3958"/>
      </w:tabs>
      <w:jc w:val="right"/>
    </w:pPr>
  </w:style>
  <w:style w:type="paragraph" w:styleId="Caption">
    <w:name w:val="caption"/>
    <w:basedOn w:val="BodyText"/>
    <w:next w:val="Normal"/>
    <w:qFormat/>
    <w:rsid w:val="006A658C"/>
    <w:pPr>
      <w:framePr w:w="2268" w:hSpace="181" w:vSpace="181" w:wrap="around" w:vAnchor="text" w:hAnchor="page" w:x="1135" w:y="285" w:anchorLock="1"/>
    </w:pPr>
    <w:rPr>
      <w:i/>
    </w:rPr>
  </w:style>
  <w:style w:type="paragraph" w:customStyle="1" w:styleId="MiniTOCTitle">
    <w:name w:val="MiniTOCTitle"/>
    <w:basedOn w:val="Heading4"/>
    <w:rsid w:val="006A658C"/>
    <w:pPr>
      <w:spacing w:before="240"/>
      <w:outlineLvl w:val="9"/>
    </w:pPr>
    <w:rPr>
      <w:noProof/>
      <w:sz w:val="24"/>
    </w:rPr>
  </w:style>
  <w:style w:type="paragraph" w:customStyle="1" w:styleId="MiniTOCItem">
    <w:name w:val="MiniTOCItem"/>
    <w:basedOn w:val="ListBullet"/>
    <w:rsid w:val="006A658C"/>
    <w:pPr>
      <w:numPr>
        <w:numId w:val="0"/>
      </w:numPr>
      <w:tabs>
        <w:tab w:val="right" w:leader="dot" w:pos="6521"/>
      </w:tabs>
      <w:spacing w:before="0" w:after="0"/>
    </w:pPr>
  </w:style>
  <w:style w:type="paragraph" w:customStyle="1" w:styleId="TOFTitle">
    <w:name w:val="TOFTitle"/>
    <w:basedOn w:val="TOCTitle"/>
    <w:rsid w:val="006A658C"/>
  </w:style>
  <w:style w:type="paragraph" w:styleId="TableofFigures">
    <w:name w:val="table of figures"/>
    <w:basedOn w:val="Normal"/>
    <w:next w:val="Normal"/>
    <w:semiHidden/>
    <w:rsid w:val="006A658C"/>
    <w:pPr>
      <w:tabs>
        <w:tab w:val="right" w:leader="dot" w:pos="9072"/>
      </w:tabs>
      <w:ind w:left="970" w:hanging="403"/>
    </w:pPr>
    <w:rPr>
      <w:rFonts w:ascii="Times New Roman" w:hAnsi="Times New Roman"/>
      <w:b/>
    </w:rPr>
  </w:style>
  <w:style w:type="paragraph" w:styleId="ListNumber">
    <w:name w:val="List Number"/>
    <w:basedOn w:val="List"/>
    <w:rsid w:val="006A658C"/>
    <w:pPr>
      <w:numPr>
        <w:numId w:val="11"/>
      </w:numPr>
    </w:pPr>
  </w:style>
  <w:style w:type="character" w:customStyle="1" w:styleId="WingdingSymbols">
    <w:name w:val="Wingding Symbols"/>
    <w:rsid w:val="006A658C"/>
    <w:rPr>
      <w:rFonts w:ascii="Wingdings" w:hAnsi="Wingdings"/>
    </w:rPr>
  </w:style>
  <w:style w:type="paragraph" w:customStyle="1" w:styleId="TableHeading">
    <w:name w:val="Table Heading"/>
    <w:basedOn w:val="HeadingBase"/>
    <w:rsid w:val="006A658C"/>
    <w:pPr>
      <w:keepLines/>
      <w:pBdr>
        <w:bottom w:val="single" w:sz="6" w:space="1" w:color="918585"/>
      </w:pBdr>
      <w:spacing w:before="240"/>
    </w:pPr>
  </w:style>
  <w:style w:type="character" w:customStyle="1" w:styleId="HotSpot">
    <w:name w:val="HotSpot"/>
    <w:rsid w:val="006A658C"/>
    <w:rPr>
      <w:color w:val="0033CC"/>
      <w:u w:val="none"/>
    </w:rPr>
  </w:style>
  <w:style w:type="paragraph" w:customStyle="1" w:styleId="BodyTextRight">
    <w:name w:val="Body Text Right"/>
    <w:basedOn w:val="BodyText"/>
    <w:rsid w:val="006A658C"/>
    <w:pPr>
      <w:spacing w:before="0" w:after="0"/>
      <w:jc w:val="right"/>
    </w:pPr>
  </w:style>
  <w:style w:type="paragraph" w:styleId="Index3">
    <w:name w:val="index 3"/>
    <w:basedOn w:val="ListNumber2"/>
    <w:next w:val="Normal"/>
    <w:semiHidden/>
    <w:rsid w:val="006A658C"/>
    <w:pPr>
      <w:numPr>
        <w:numId w:val="0"/>
      </w:numPr>
      <w:tabs>
        <w:tab w:val="right" w:leader="dot" w:pos="4176"/>
      </w:tabs>
    </w:pPr>
  </w:style>
  <w:style w:type="paragraph" w:styleId="ListNumber2">
    <w:name w:val="List Number 2"/>
    <w:basedOn w:val="List2"/>
    <w:rsid w:val="006A658C"/>
    <w:pPr>
      <w:numPr>
        <w:numId w:val="10"/>
      </w:numPr>
      <w:tabs>
        <w:tab w:val="clear" w:pos="1060"/>
      </w:tabs>
    </w:pPr>
  </w:style>
  <w:style w:type="paragraph" w:customStyle="1" w:styleId="MarginNote">
    <w:name w:val="Margin Note"/>
    <w:basedOn w:val="BodyText"/>
    <w:rsid w:val="006A6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58C"/>
    <w:rPr>
      <w:sz w:val="32"/>
    </w:rPr>
  </w:style>
  <w:style w:type="paragraph" w:customStyle="1" w:styleId="HeadingProcedure">
    <w:name w:val="Heading Procedure"/>
    <w:basedOn w:val="HeadingBase"/>
    <w:next w:val="Normal"/>
    <w:rsid w:val="006A658C"/>
    <w:pPr>
      <w:tabs>
        <w:tab w:val="left" w:pos="0"/>
      </w:tabs>
      <w:spacing w:before="120" w:after="60"/>
    </w:pPr>
    <w:rPr>
      <w:i/>
      <w:color w:val="918585"/>
      <w:sz w:val="22"/>
    </w:rPr>
  </w:style>
  <w:style w:type="paragraph" w:customStyle="1" w:styleId="TableBodyText">
    <w:name w:val="Table Body Text"/>
    <w:basedOn w:val="BodyText"/>
    <w:rsid w:val="006A658C"/>
    <w:pPr>
      <w:spacing w:before="60" w:after="60"/>
    </w:pPr>
  </w:style>
  <w:style w:type="paragraph" w:styleId="ListContinue">
    <w:name w:val="List Continue"/>
    <w:basedOn w:val="List"/>
    <w:rsid w:val="006A658C"/>
    <w:pPr>
      <w:ind w:firstLine="0"/>
    </w:pPr>
  </w:style>
  <w:style w:type="paragraph" w:customStyle="1" w:styleId="ListNote">
    <w:name w:val="List Note"/>
    <w:basedOn w:val="List"/>
    <w:rsid w:val="006A658C"/>
    <w:pPr>
      <w:pBdr>
        <w:top w:val="single" w:sz="6" w:space="2" w:color="918585"/>
        <w:bottom w:val="single" w:sz="6" w:space="2" w:color="918585"/>
      </w:pBdr>
      <w:tabs>
        <w:tab w:val="left" w:pos="1021"/>
      </w:tabs>
      <w:ind w:firstLine="0"/>
    </w:pPr>
  </w:style>
  <w:style w:type="paragraph" w:customStyle="1" w:styleId="Warning">
    <w:name w:val="Warning"/>
    <w:basedOn w:val="BodyText"/>
    <w:rsid w:val="006A658C"/>
    <w:pPr>
      <w:shd w:val="clear" w:color="auto" w:fill="D9D9D9"/>
      <w:tabs>
        <w:tab w:val="left" w:pos="992"/>
      </w:tabs>
      <w:ind w:left="119" w:right="119"/>
    </w:pPr>
    <w:rPr>
      <w:sz w:val="20"/>
    </w:rPr>
  </w:style>
  <w:style w:type="paragraph" w:customStyle="1" w:styleId="MarginIcons">
    <w:name w:val="Margin Icons"/>
    <w:basedOn w:val="BodyText"/>
    <w:rsid w:val="006A6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58C"/>
    <w:rPr>
      <w:rFonts w:ascii="Courier New" w:hAnsi="Courier New"/>
    </w:rPr>
  </w:style>
  <w:style w:type="paragraph" w:customStyle="1" w:styleId="NoteBullet">
    <w:name w:val="Note Bullet"/>
    <w:basedOn w:val="Note"/>
    <w:rsid w:val="006A658C"/>
    <w:pPr>
      <w:tabs>
        <w:tab w:val="clear" w:pos="680"/>
      </w:tabs>
      <w:spacing w:before="60" w:after="60"/>
    </w:pPr>
  </w:style>
  <w:style w:type="paragraph" w:customStyle="1" w:styleId="SubHeading2">
    <w:name w:val="SubHeading2"/>
    <w:basedOn w:val="HeadingBase"/>
    <w:rsid w:val="006A658C"/>
    <w:pPr>
      <w:spacing w:before="240" w:after="60"/>
    </w:pPr>
    <w:rPr>
      <w:sz w:val="20"/>
    </w:rPr>
  </w:style>
  <w:style w:type="paragraph" w:customStyle="1" w:styleId="SubHeading1">
    <w:name w:val="SubHeading1"/>
    <w:basedOn w:val="HeadingBase"/>
    <w:rsid w:val="006A658C"/>
    <w:pPr>
      <w:spacing w:before="240" w:after="60"/>
    </w:pPr>
    <w:rPr>
      <w:color w:val="918585"/>
      <w:sz w:val="22"/>
    </w:rPr>
  </w:style>
  <w:style w:type="paragraph" w:customStyle="1" w:styleId="SideHeading">
    <w:name w:val="Side Heading"/>
    <w:basedOn w:val="HeadingBase"/>
    <w:rsid w:val="006A6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58C"/>
    <w:pPr>
      <w:numPr>
        <w:numId w:val="12"/>
      </w:numPr>
    </w:pPr>
  </w:style>
  <w:style w:type="paragraph" w:styleId="PlainText">
    <w:name w:val="Plain Text"/>
    <w:basedOn w:val="Normal"/>
    <w:link w:val="PlainTextChar"/>
    <w:rsid w:val="006A658C"/>
    <w:rPr>
      <w:sz w:val="20"/>
    </w:rPr>
  </w:style>
  <w:style w:type="character" w:customStyle="1" w:styleId="PlainTextChar">
    <w:name w:val="Plain Text Char"/>
    <w:basedOn w:val="DefaultParagraphFont"/>
    <w:link w:val="PlainText"/>
    <w:rsid w:val="006A658C"/>
    <w:rPr>
      <w:rFonts w:ascii="Courier New" w:eastAsia="Times New Roman" w:hAnsi="Courier New" w:cs="Times New Roman"/>
      <w:sz w:val="20"/>
      <w:szCs w:val="20"/>
      <w:lang w:eastAsia="en-US"/>
    </w:rPr>
  </w:style>
  <w:style w:type="character" w:customStyle="1" w:styleId="MenuOption">
    <w:name w:val="Menu Option"/>
    <w:basedOn w:val="DefaultParagraphFont"/>
    <w:rsid w:val="006A658C"/>
    <w:rPr>
      <w:b/>
      <w:smallCaps/>
    </w:rPr>
  </w:style>
  <w:style w:type="paragraph" w:customStyle="1" w:styleId="TableListNumber">
    <w:name w:val="Table List Number"/>
    <w:basedOn w:val="ListNumber"/>
    <w:rsid w:val="006A658C"/>
    <w:pPr>
      <w:numPr>
        <w:numId w:val="0"/>
      </w:numPr>
    </w:pPr>
  </w:style>
  <w:style w:type="paragraph" w:styleId="TOC4">
    <w:name w:val="toc 4"/>
    <w:basedOn w:val="TOCBase"/>
    <w:next w:val="Normal"/>
    <w:semiHidden/>
    <w:rsid w:val="006A658C"/>
    <w:pPr>
      <w:tabs>
        <w:tab w:val="right" w:leader="dot" w:pos="9071"/>
      </w:tabs>
      <w:ind w:left="1701"/>
    </w:pPr>
  </w:style>
  <w:style w:type="paragraph" w:customStyle="1" w:styleId="ListAlpha">
    <w:name w:val="List Alpha"/>
    <w:basedOn w:val="List"/>
    <w:rsid w:val="006A658C"/>
    <w:pPr>
      <w:numPr>
        <w:numId w:val="9"/>
      </w:numPr>
    </w:pPr>
  </w:style>
  <w:style w:type="paragraph" w:customStyle="1" w:styleId="ListAlpha2">
    <w:name w:val="List Alpha 2"/>
    <w:basedOn w:val="List2"/>
    <w:rsid w:val="006A658C"/>
    <w:pPr>
      <w:numPr>
        <w:numId w:val="8"/>
      </w:numPr>
    </w:pPr>
  </w:style>
  <w:style w:type="paragraph" w:styleId="List2">
    <w:name w:val="List 2"/>
    <w:basedOn w:val="BodyText"/>
    <w:rsid w:val="006A658C"/>
    <w:pPr>
      <w:tabs>
        <w:tab w:val="left" w:pos="680"/>
      </w:tabs>
      <w:spacing w:before="60" w:after="60"/>
      <w:ind w:left="680" w:hanging="340"/>
    </w:pPr>
  </w:style>
  <w:style w:type="paragraph" w:styleId="List3">
    <w:name w:val="List 3"/>
    <w:basedOn w:val="BodyText"/>
    <w:rsid w:val="006A658C"/>
    <w:pPr>
      <w:tabs>
        <w:tab w:val="left" w:pos="1021"/>
      </w:tabs>
      <w:spacing w:before="60" w:after="60"/>
      <w:ind w:left="1020" w:hanging="340"/>
    </w:pPr>
  </w:style>
  <w:style w:type="paragraph" w:styleId="List4">
    <w:name w:val="List 4"/>
    <w:basedOn w:val="BodyText"/>
    <w:rsid w:val="006A658C"/>
    <w:pPr>
      <w:tabs>
        <w:tab w:val="left" w:pos="1361"/>
      </w:tabs>
      <w:spacing w:before="60" w:after="60"/>
      <w:ind w:left="1361" w:hanging="340"/>
    </w:pPr>
  </w:style>
  <w:style w:type="paragraph" w:styleId="List5">
    <w:name w:val="List 5"/>
    <w:basedOn w:val="BodyText"/>
    <w:rsid w:val="006A658C"/>
    <w:pPr>
      <w:tabs>
        <w:tab w:val="left" w:pos="1701"/>
      </w:tabs>
      <w:spacing w:before="60" w:after="60"/>
      <w:ind w:left="1701" w:hanging="340"/>
    </w:pPr>
  </w:style>
  <w:style w:type="paragraph" w:styleId="ListBullet4">
    <w:name w:val="List Bullet 4"/>
    <w:basedOn w:val="List4"/>
    <w:rsid w:val="006A658C"/>
    <w:pPr>
      <w:numPr>
        <w:numId w:val="3"/>
      </w:numPr>
    </w:pPr>
  </w:style>
  <w:style w:type="paragraph" w:styleId="ListBullet5">
    <w:name w:val="List Bullet 5"/>
    <w:basedOn w:val="List5"/>
    <w:rsid w:val="006A658C"/>
    <w:pPr>
      <w:numPr>
        <w:numId w:val="4"/>
      </w:numPr>
    </w:pPr>
  </w:style>
  <w:style w:type="paragraph" w:styleId="ListContinue2">
    <w:name w:val="List Continue 2"/>
    <w:basedOn w:val="List2"/>
    <w:rsid w:val="006A658C"/>
    <w:pPr>
      <w:ind w:firstLine="0"/>
    </w:pPr>
  </w:style>
  <w:style w:type="paragraph" w:styleId="ListContinue3">
    <w:name w:val="List Continue 3"/>
    <w:basedOn w:val="List3"/>
    <w:rsid w:val="006A658C"/>
    <w:pPr>
      <w:ind w:left="1021" w:firstLine="0"/>
    </w:pPr>
  </w:style>
  <w:style w:type="paragraph" w:styleId="ListContinue4">
    <w:name w:val="List Continue 4"/>
    <w:basedOn w:val="List4"/>
    <w:rsid w:val="006A658C"/>
    <w:pPr>
      <w:ind w:firstLine="0"/>
    </w:pPr>
  </w:style>
  <w:style w:type="paragraph" w:styleId="ListContinue5">
    <w:name w:val="List Continue 5"/>
    <w:basedOn w:val="List5"/>
    <w:rsid w:val="006A658C"/>
    <w:pPr>
      <w:ind w:firstLine="0"/>
    </w:pPr>
  </w:style>
  <w:style w:type="paragraph" w:styleId="ListNumber3">
    <w:name w:val="List Number 3"/>
    <w:basedOn w:val="List3"/>
    <w:rsid w:val="006A658C"/>
    <w:pPr>
      <w:numPr>
        <w:numId w:val="5"/>
      </w:numPr>
    </w:pPr>
  </w:style>
  <w:style w:type="paragraph" w:styleId="ListNumber4">
    <w:name w:val="List Number 4"/>
    <w:basedOn w:val="List4"/>
    <w:rsid w:val="006A658C"/>
    <w:pPr>
      <w:numPr>
        <w:numId w:val="6"/>
      </w:numPr>
    </w:pPr>
  </w:style>
  <w:style w:type="paragraph" w:styleId="ListNumber5">
    <w:name w:val="List Number 5"/>
    <w:basedOn w:val="List5"/>
    <w:rsid w:val="006A658C"/>
    <w:pPr>
      <w:numPr>
        <w:numId w:val="7"/>
      </w:numPr>
    </w:pPr>
  </w:style>
  <w:style w:type="paragraph" w:styleId="BlockText">
    <w:name w:val="Block Text"/>
    <w:basedOn w:val="Normal"/>
    <w:rsid w:val="006A658C"/>
    <w:pPr>
      <w:spacing w:after="120"/>
      <w:ind w:left="1440" w:right="1440"/>
    </w:pPr>
  </w:style>
  <w:style w:type="character" w:customStyle="1" w:styleId="Subscript">
    <w:name w:val="Subscript"/>
    <w:basedOn w:val="DefaultParagraphFont"/>
    <w:rsid w:val="006A658C"/>
    <w:rPr>
      <w:sz w:val="16"/>
      <w:vertAlign w:val="subscript"/>
    </w:rPr>
  </w:style>
  <w:style w:type="character" w:customStyle="1" w:styleId="Superscript">
    <w:name w:val="Superscript"/>
    <w:basedOn w:val="DefaultParagraphFont"/>
    <w:rsid w:val="006A658C"/>
    <w:rPr>
      <w:sz w:val="16"/>
      <w:vertAlign w:val="superscript"/>
    </w:rPr>
  </w:style>
  <w:style w:type="character" w:customStyle="1" w:styleId="Symbols">
    <w:name w:val="Symbols"/>
    <w:basedOn w:val="DefaultParagraphFont"/>
    <w:rsid w:val="006A658C"/>
    <w:rPr>
      <w:rFonts w:ascii="Symbol" w:hAnsi="Symbol"/>
    </w:rPr>
  </w:style>
  <w:style w:type="character" w:customStyle="1" w:styleId="MenuOptions">
    <w:name w:val="Menu Options"/>
    <w:basedOn w:val="DefaultParagraphFont"/>
    <w:rsid w:val="006A658C"/>
    <w:rPr>
      <w:rFonts w:ascii="Arial Narrow" w:hAnsi="Arial Narrow"/>
      <w:smallCaps/>
    </w:rPr>
  </w:style>
  <w:style w:type="character" w:customStyle="1" w:styleId="Buttons">
    <w:name w:val="Buttons"/>
    <w:basedOn w:val="DefaultParagraphFont"/>
    <w:rsid w:val="006A658C"/>
    <w:rPr>
      <w:b/>
    </w:rPr>
  </w:style>
  <w:style w:type="character" w:customStyle="1" w:styleId="Underlined">
    <w:name w:val="Underlined"/>
    <w:basedOn w:val="DefaultParagraphFont"/>
    <w:rsid w:val="006A658C"/>
    <w:rPr>
      <w:u w:val="single"/>
    </w:rPr>
  </w:style>
  <w:style w:type="paragraph" w:customStyle="1" w:styleId="TableBodyTextRight">
    <w:name w:val="Table Body Text Right"/>
    <w:basedOn w:val="TableBodyText"/>
    <w:rsid w:val="006A658C"/>
    <w:pPr>
      <w:widowControl w:val="0"/>
      <w:autoSpaceDE w:val="0"/>
      <w:autoSpaceDN w:val="0"/>
      <w:adjustRightInd w:val="0"/>
      <w:jc w:val="right"/>
    </w:pPr>
    <w:rPr>
      <w:rFonts w:cs="Arial"/>
      <w:szCs w:val="18"/>
    </w:rPr>
  </w:style>
  <w:style w:type="paragraph" w:customStyle="1" w:styleId="CopyrightText">
    <w:name w:val="Copyright Text"/>
    <w:basedOn w:val="BodyText"/>
    <w:rsid w:val="006A658C"/>
    <w:rPr>
      <w:sz w:val="18"/>
    </w:rPr>
  </w:style>
  <w:style w:type="paragraph" w:customStyle="1" w:styleId="BodySmallRight">
    <w:name w:val="Body Small Right"/>
    <w:basedOn w:val="BodyTextRight"/>
    <w:rsid w:val="006A658C"/>
    <w:rPr>
      <w:sz w:val="18"/>
      <w:szCs w:val="18"/>
    </w:rPr>
  </w:style>
  <w:style w:type="paragraph" w:customStyle="1" w:styleId="MarginEdition">
    <w:name w:val="Margin Edition"/>
    <w:basedOn w:val="MarginNote"/>
    <w:rsid w:val="006A658C"/>
    <w:pPr>
      <w:spacing w:before="0" w:after="0"/>
    </w:pPr>
    <w:rPr>
      <w:rFonts w:ascii="Times New Roman" w:hAnsi="Times New Roman"/>
      <w:color w:val="999999"/>
    </w:rPr>
  </w:style>
  <w:style w:type="paragraph" w:customStyle="1" w:styleId="Spacer">
    <w:name w:val="Spacer"/>
    <w:basedOn w:val="Normal"/>
    <w:rsid w:val="006A658C"/>
    <w:rPr>
      <w:sz w:val="2"/>
      <w:szCs w:val="2"/>
    </w:rPr>
  </w:style>
  <w:style w:type="character" w:customStyle="1" w:styleId="Small">
    <w:name w:val="Small"/>
    <w:basedOn w:val="DefaultParagraphFont"/>
    <w:rsid w:val="006A658C"/>
    <w:rPr>
      <w:sz w:val="16"/>
    </w:rPr>
  </w:style>
  <w:style w:type="paragraph" w:customStyle="1" w:styleId="WideTable">
    <w:name w:val="Wide Table"/>
    <w:basedOn w:val="Normal"/>
    <w:rsid w:val="006A658C"/>
    <w:pPr>
      <w:ind w:left="-1418"/>
    </w:pPr>
    <w:rPr>
      <w:sz w:val="2"/>
      <w:szCs w:val="2"/>
    </w:rPr>
  </w:style>
  <w:style w:type="character" w:styleId="PageNumber">
    <w:name w:val="page number"/>
    <w:basedOn w:val="DefaultParagraphFont"/>
    <w:rsid w:val="006A658C"/>
  </w:style>
  <w:style w:type="paragraph" w:styleId="Quote">
    <w:name w:val="Quote"/>
    <w:basedOn w:val="Heading1"/>
    <w:link w:val="QuoteChar"/>
    <w:qFormat/>
    <w:rsid w:val="006A658C"/>
    <w:rPr>
      <w:b w:val="0"/>
      <w:sz w:val="72"/>
      <w:szCs w:val="72"/>
      <w:lang w:val="en-NZ"/>
    </w:rPr>
  </w:style>
  <w:style w:type="character" w:customStyle="1" w:styleId="QuoteChar">
    <w:name w:val="Quote Char"/>
    <w:basedOn w:val="DefaultParagraphFont"/>
    <w:link w:val="Quote"/>
    <w:rsid w:val="006A6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58C"/>
    <w:pPr>
      <w:pageBreakBefore/>
    </w:pPr>
  </w:style>
  <w:style w:type="paragraph" w:customStyle="1" w:styleId="Border">
    <w:name w:val="Border"/>
    <w:basedOn w:val="Normal"/>
    <w:qFormat/>
    <w:rsid w:val="006A6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58C"/>
    <w:rPr>
      <w:b/>
      <w:bCs/>
      <w:i/>
      <w:iCs/>
      <w:color w:val="auto"/>
    </w:rPr>
  </w:style>
  <w:style w:type="paragraph" w:styleId="IntenseQuote">
    <w:name w:val="Intense Quote"/>
    <w:basedOn w:val="Normal"/>
    <w:next w:val="Normal"/>
    <w:link w:val="IntenseQuoteChar"/>
    <w:uiPriority w:val="30"/>
    <w:qFormat/>
    <w:rsid w:val="006A6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58C"/>
    <w:rPr>
      <w:smallCaps/>
      <w:color w:val="auto"/>
      <w:u w:val="single"/>
    </w:rPr>
  </w:style>
  <w:style w:type="character" w:styleId="IntenseReference">
    <w:name w:val="Intense Reference"/>
    <w:basedOn w:val="DefaultParagraphFont"/>
    <w:uiPriority w:val="32"/>
    <w:qFormat/>
    <w:rsid w:val="006A658C"/>
    <w:rPr>
      <w:b/>
      <w:bCs/>
      <w:smallCaps/>
      <w:color w:val="auto"/>
      <w:spacing w:val="5"/>
      <w:u w:val="single"/>
    </w:rPr>
  </w:style>
  <w:style w:type="paragraph" w:customStyle="1" w:styleId="2ColumnHeading">
    <w:name w:val="2Column Heading"/>
    <w:basedOn w:val="BodyText"/>
    <w:qFormat/>
    <w:rsid w:val="006A658C"/>
    <w:pPr>
      <w:spacing w:after="60"/>
      <w:ind w:left="-2268"/>
    </w:pPr>
    <w:rPr>
      <w:b/>
    </w:rPr>
  </w:style>
  <w:style w:type="paragraph" w:customStyle="1" w:styleId="Heading1TOC">
    <w:name w:val="Heading1 TOC"/>
    <w:basedOn w:val="Normal"/>
    <w:qFormat/>
    <w:rsid w:val="006A658C"/>
    <w:pPr>
      <w:spacing w:before="240" w:after="120"/>
    </w:pPr>
    <w:rPr>
      <w:rFonts w:ascii="Times New Roman" w:hAnsi="Times New Roman"/>
      <w:b/>
      <w:sz w:val="32"/>
    </w:rPr>
  </w:style>
  <w:style w:type="paragraph" w:customStyle="1" w:styleId="Heading2TOC">
    <w:name w:val="Heading2 TOC"/>
    <w:basedOn w:val="Normal"/>
    <w:qFormat/>
    <w:rsid w:val="006A658C"/>
    <w:pPr>
      <w:spacing w:before="240" w:after="60"/>
    </w:pPr>
    <w:rPr>
      <w:rFonts w:ascii="Times New Roman" w:hAnsi="Times New Roman"/>
      <w:b/>
      <w:sz w:val="28"/>
    </w:rPr>
  </w:style>
  <w:style w:type="character" w:customStyle="1" w:styleId="Underline">
    <w:name w:val="Underline"/>
    <w:basedOn w:val="DefaultParagraphFont"/>
    <w:qFormat/>
    <w:rsid w:val="006A658C"/>
    <w:rPr>
      <w:u w:val="single"/>
    </w:rPr>
  </w:style>
  <w:style w:type="paragraph" w:styleId="BalloonText">
    <w:name w:val="Balloon Text"/>
    <w:basedOn w:val="Normal"/>
    <w:link w:val="BalloonTextChar"/>
    <w:rsid w:val="006A658C"/>
    <w:rPr>
      <w:rFonts w:ascii="Tahoma" w:hAnsi="Tahoma" w:cs="Tahoma"/>
      <w:sz w:val="16"/>
      <w:szCs w:val="16"/>
    </w:rPr>
  </w:style>
  <w:style w:type="character" w:customStyle="1" w:styleId="BalloonTextChar">
    <w:name w:val="Balloon Text Char"/>
    <w:basedOn w:val="DefaultParagraphFont"/>
    <w:link w:val="BalloonText"/>
    <w:rsid w:val="006A6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58C"/>
    <w:rPr>
      <w:b/>
      <w:color w:val="660033"/>
      <w:spacing w:val="0"/>
    </w:rPr>
  </w:style>
  <w:style w:type="paragraph" w:customStyle="1" w:styleId="Nameditemlist">
    <w:name w:val="Named item list"/>
    <w:basedOn w:val="BodyText"/>
    <w:qFormat/>
    <w:rsid w:val="006A65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1314</Words>
  <Characters>8533</Characters>
  <Application>Microsoft Office Word</Application>
  <DocSecurity>0</DocSecurity>
  <Lines>298</Lines>
  <Paragraphs>196</Paragraphs>
  <ScaleCrop>false</ScaleCrop>
  <Company>Author-it Software Corporation Ltd.</Company>
  <LinksUpToDate>false</LinksUpToDate>
  <CharactersWithSpaces>9796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PSPLAND403A Prepare and lodge non-claimant native title applications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2012-11-01T17:56:00Z</dcterms:created>
  <dcterms:modified xsi:type="dcterms:W3CDTF">2012-11-01T17:56:00Z</dcterms:modified>
</cp:coreProperties>
</file>