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6AB" w:rsidP="009C66AB">
      <w:pPr>
        <w:pStyle w:val="Title"/>
      </w:pPr>
      <w:bookmarkStart w:id="0" w:name="_GoBack"/>
      <w:bookmarkEnd w:id="0"/>
      <w:r>
        <w:fldChar w:fldCharType="begin"/>
      </w:r>
      <w:r>
        <w:instrText xml:space="preserve"> TITLE   \* MERGEFORMAT </w:instrText>
      </w:r>
      <w:r>
        <w:fldChar w:fldCharType="separate"/>
      </w:r>
      <w:r>
        <w:t>PSPIM502A Manage case direction and outcomes</w:t>
      </w:r>
      <w:r>
        <w:fldChar w:fldCharType="end"/>
      </w:r>
    </w:p>
    <w:p w:rsidR="009C66AB" w:rsidP="009C66AB">
      <w:pPr>
        <w:pStyle w:val="Version"/>
        <w:sectPr w:rsidSect="00DD66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D66C9" w:rsidP="00DD66C9">
      <w:pPr>
        <w:pStyle w:val="SuperHeading"/>
      </w:pPr>
      <w:r w:rsidRPr="00DD66C9">
        <w:t>PSPIM502A Manage case direction and outcomes</w:t>
      </w:r>
    </w:p>
    <w:p w:rsidR="00000000" w:rsidRPr="00DD66C9" w:rsidP="00DD66C9">
      <w:pPr>
        <w:pStyle w:val="SuperHeading"/>
      </w:pPr>
    </w:p>
    <w:p w:rsidR="00000000" w:rsidRPr="00DD66C9" w:rsidP="00DD66C9">
      <w:pPr>
        <w:pStyle w:val="Heading1"/>
      </w:pPr>
      <w:bookmarkStart w:id="1" w:name="O_496509"/>
      <w:bookmarkEnd w:id="1"/>
      <w:r w:rsidRPr="00DD66C9">
        <w:t>Modification History</w:t>
      </w:r>
    </w:p>
    <w:tbl>
      <w:tblPr>
        <w:tblW w:w="0" w:type="auto"/>
        <w:tblLayout w:type="fixed"/>
        <w:tblCellMar>
          <w:left w:w="62" w:type="dxa"/>
          <w:right w:w="62" w:type="dxa"/>
        </w:tblCellMar>
        <w:tblLook w:val="0000"/>
      </w:tblPr>
      <w:tblGrid>
        <w:gridCol w:w="3052"/>
        <w:gridCol w:w="3052"/>
        <w:gridCol w:w="3052"/>
      </w:tblGrid>
      <w:tr w:rsidTr="009C66A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6C9" w:rsidP="00DD66C9">
            <w:pPr>
              <w:pStyle w:val="BodyText"/>
            </w:pPr>
            <w:r w:rsidRPr="00DD66C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6C9" w:rsidP="00DD66C9">
            <w:pPr>
              <w:pStyle w:val="BodyText"/>
            </w:pPr>
            <w:r w:rsidRPr="00DD66C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6C9">
            <w:pPr>
              <w:pStyle w:val="BodyText"/>
              <w:rPr>
                <w:lang w:val="en-NZ"/>
              </w:rPr>
            </w:pPr>
            <w:r w:rsidRPr="00DD66C9">
              <w:rPr>
                <w:rStyle w:val="SpecialBold"/>
              </w:rPr>
              <w:t>Comments</w:t>
            </w:r>
          </w:p>
        </w:tc>
      </w:tr>
      <w:tr w:rsidTr="009C66A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6C9">
            <w:pPr>
              <w:pStyle w:val="BodyText"/>
              <w:rPr>
                <w:lang w:val="en-NZ"/>
              </w:rPr>
            </w:pPr>
            <w:r w:rsidRPr="00DD66C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6C9">
            <w:pPr>
              <w:pStyle w:val="BodyText"/>
              <w:rPr>
                <w:lang w:val="en-NZ"/>
              </w:rPr>
            </w:pPr>
            <w:r w:rsidRPr="00DD66C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6C9">
            <w:pPr>
              <w:pStyle w:val="BodyText"/>
              <w:rPr>
                <w:lang w:val="en-NZ"/>
              </w:rPr>
            </w:pPr>
            <w:r w:rsidRPr="00DD66C9">
              <w:t xml:space="preserve">Unit descriptor edited. </w:t>
            </w:r>
          </w:p>
        </w:tc>
      </w:tr>
      <w:tr w:rsidTr="009C66A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6C9">
            <w:pPr>
              <w:pStyle w:val="BodyText"/>
              <w:rPr>
                <w:lang w:val="en-NZ"/>
              </w:rPr>
            </w:pPr>
            <w:r w:rsidRPr="00DD66C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6C9">
            <w:pPr>
              <w:pStyle w:val="BodyText"/>
              <w:rPr>
                <w:lang w:val="en-NZ"/>
              </w:rPr>
            </w:pPr>
            <w:r w:rsidRPr="00DD66C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6C9">
            <w:pPr>
              <w:pStyle w:val="BodyText"/>
              <w:rPr>
                <w:lang w:val="en-NZ"/>
              </w:rPr>
            </w:pPr>
            <w:r w:rsidRPr="00DD66C9">
              <w:t>Layout adjusted. No changes to content.</w:t>
            </w:r>
          </w:p>
        </w:tc>
      </w:tr>
      <w:tr w:rsidTr="009C66A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6C9">
            <w:pPr>
              <w:pStyle w:val="BodyText"/>
              <w:rPr>
                <w:lang w:val="en-NZ"/>
              </w:rPr>
            </w:pPr>
            <w:r w:rsidRPr="00DD66C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6C9">
            <w:pPr>
              <w:pStyle w:val="BodyText"/>
              <w:rPr>
                <w:lang w:val="en-NZ"/>
              </w:rPr>
            </w:pPr>
            <w:r w:rsidRPr="00DD66C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6C9" w:rsidP="00DD66C9">
            <w:pPr>
              <w:pStyle w:val="BodyText"/>
            </w:pPr>
            <w:r w:rsidRPr="00DD66C9">
              <w:t>Primary release.</w:t>
            </w:r>
          </w:p>
        </w:tc>
      </w:tr>
    </w:tbl>
    <w:p w:rsidR="009C66AB" w:rsidP="00DD66C9">
      <w:pPr>
        <w:pStyle w:val="BodyText"/>
      </w:pPr>
    </w:p>
    <w:p w:rsidR="009C66AB" w:rsidP="00DD66C9">
      <w:pPr>
        <w:pStyle w:val="BodyText"/>
      </w:pPr>
    </w:p>
    <w:p w:rsidR="00000000" w:rsidRPr="00DD66C9" w:rsidP="00DD66C9">
      <w:pPr>
        <w:pStyle w:val="Heading1"/>
      </w:pPr>
      <w:bookmarkStart w:id="2" w:name="O_496516"/>
      <w:bookmarkEnd w:id="2"/>
      <w:r w:rsidRPr="00DD66C9">
        <w:t>Unit Descriptor</w:t>
      </w:r>
    </w:p>
    <w:p w:rsidR="00000000" w:rsidRPr="00DD66C9" w:rsidP="00DD66C9">
      <w:pPr>
        <w:pStyle w:val="BodyText"/>
      </w:pPr>
      <w:r w:rsidRPr="00DD66C9">
        <w:t>This unit covers case management of injured workers through return to work or other alternatives. It includes developing strategic case management p</w:t>
      </w:r>
      <w:r w:rsidRPr="00DD66C9">
        <w:t>lans, managing case direction and outcomes and managing complex cases.</w:t>
      </w:r>
    </w:p>
    <w:p w:rsidR="00000000" w:rsidRPr="00DD66C9" w:rsidP="00DD66C9">
      <w:pPr>
        <w:pStyle w:val="BodyText"/>
      </w:pPr>
      <w:r w:rsidRPr="00DD66C9">
        <w:t>In practice, managing case direction and outcomes may overlap with other generalist or specialist public sector work activities such as acting ethically, complying with legislation, del</w:t>
      </w:r>
      <w:r w:rsidRPr="00DD66C9">
        <w:t>ivering client services, managing resources, undertaking research and analysis, project management.</w:t>
      </w:r>
    </w:p>
    <w:p w:rsidR="009C66AB" w:rsidP="00DD66C9">
      <w:pPr>
        <w:pStyle w:val="BodyText"/>
      </w:pPr>
      <w:r w:rsidRPr="00DD66C9">
        <w:t>No licensing, legislative, regulatory or certification requirements apply to this unit at the time of publication</w:t>
      </w:r>
    </w:p>
    <w:p w:rsidR="009C66AB" w:rsidP="00DD66C9">
      <w:pPr>
        <w:pStyle w:val="BodyText"/>
      </w:pPr>
    </w:p>
    <w:p w:rsidR="00000000" w:rsidRPr="00DD66C9" w:rsidP="00DD66C9">
      <w:pPr>
        <w:pStyle w:val="Heading1"/>
      </w:pPr>
      <w:bookmarkStart w:id="3" w:name="O_496521"/>
      <w:bookmarkEnd w:id="3"/>
      <w:r w:rsidRPr="00DD66C9">
        <w:t>Application of the Unit</w:t>
      </w:r>
    </w:p>
    <w:p w:rsidR="00000000" w:rsidRPr="00DD66C9" w:rsidP="00DD66C9">
      <w:pPr>
        <w:pStyle w:val="BodyText"/>
      </w:pPr>
      <w:r w:rsidRPr="00DD66C9">
        <w:t>Not applicable.</w:t>
      </w:r>
    </w:p>
    <w:p w:rsidR="00000000" w:rsidRPr="00DD66C9" w:rsidP="00DD66C9">
      <w:pPr>
        <w:pStyle w:val="AllowPageBreak"/>
      </w:pPr>
    </w:p>
    <w:p w:rsidR="00000000" w:rsidRPr="00DD66C9" w:rsidP="00DD66C9">
      <w:pPr>
        <w:pStyle w:val="Heading1"/>
      </w:pPr>
      <w:bookmarkStart w:id="4" w:name="O_496510"/>
      <w:bookmarkEnd w:id="4"/>
      <w:r w:rsidRPr="00DD66C9">
        <w:t>Licensing/Regulatory Information</w:t>
      </w:r>
    </w:p>
    <w:p w:rsidR="00000000" w:rsidRPr="00DD66C9" w:rsidP="00DD66C9">
      <w:pPr>
        <w:pStyle w:val="BodyText"/>
      </w:pPr>
      <w:r w:rsidRPr="00DD66C9">
        <w:t>Not applicable.</w:t>
      </w:r>
    </w:p>
    <w:p w:rsidR="00000000" w:rsidRPr="00DD66C9" w:rsidP="00DD66C9">
      <w:pPr>
        <w:pStyle w:val="AllowPageBreak"/>
      </w:pPr>
    </w:p>
    <w:p w:rsidR="00000000" w:rsidRPr="00DD66C9" w:rsidP="00DD66C9">
      <w:pPr>
        <w:pStyle w:val="Heading1"/>
      </w:pPr>
      <w:bookmarkStart w:id="5" w:name="O_496515"/>
      <w:bookmarkEnd w:id="5"/>
      <w:r w:rsidRPr="00DD66C9">
        <w:t>Pre-Requisites</w:t>
      </w:r>
    </w:p>
    <w:p w:rsidR="00000000" w:rsidRPr="00DD66C9" w:rsidP="00DD66C9">
      <w:pPr>
        <w:pStyle w:val="BodyText"/>
      </w:pPr>
      <w:r w:rsidRPr="00DD66C9">
        <w:t>Not applicable.</w:t>
      </w:r>
    </w:p>
    <w:p w:rsidR="00000000" w:rsidRPr="00DD66C9" w:rsidP="00DD66C9">
      <w:pPr>
        <w:pStyle w:val="AllowPageBreak"/>
      </w:pPr>
    </w:p>
    <w:p w:rsidR="00000000" w:rsidRPr="00DD66C9" w:rsidP="00DD66C9">
      <w:pPr>
        <w:pStyle w:val="Heading1"/>
      </w:pPr>
      <w:bookmarkStart w:id="6" w:name="O_496517"/>
      <w:bookmarkEnd w:id="6"/>
      <w:r w:rsidRPr="00DD66C9">
        <w:t>Employability Skills Information</w:t>
      </w:r>
    </w:p>
    <w:p w:rsidR="00000000" w:rsidRPr="00DD66C9" w:rsidP="00DD66C9">
      <w:pPr>
        <w:pStyle w:val="BodyText"/>
      </w:pPr>
      <w:r w:rsidRPr="00DD66C9">
        <w:t>This unit contains employability skills.</w:t>
      </w:r>
    </w:p>
    <w:p w:rsidR="00000000" w:rsidRPr="00DD66C9" w:rsidP="00DD66C9">
      <w:pPr>
        <w:pStyle w:val="AllowPageBreak"/>
      </w:pPr>
    </w:p>
    <w:p w:rsidR="00000000" w:rsidRPr="00DD66C9" w:rsidP="00DD66C9">
      <w:pPr>
        <w:pStyle w:val="Heading1"/>
      </w:pPr>
      <w:bookmarkStart w:id="7" w:name="O_496518"/>
      <w:bookmarkEnd w:id="7"/>
      <w:r w:rsidRPr="00DD66C9">
        <w:t>Elements and Perfo</w:t>
      </w:r>
      <w:r w:rsidRPr="00DD66C9">
        <w:t>rmance Criteria Pre-Content</w:t>
      </w:r>
    </w:p>
    <w:tbl>
      <w:tblPr>
        <w:tblW w:w="9322" w:type="dxa"/>
        <w:tblLayout w:type="fixed"/>
        <w:tblCellMar>
          <w:left w:w="62" w:type="dxa"/>
          <w:right w:w="62" w:type="dxa"/>
        </w:tblCellMar>
        <w:tblLook w:val="0000"/>
      </w:tblPr>
      <w:tblGrid>
        <w:gridCol w:w="2660"/>
        <w:gridCol w:w="6662"/>
      </w:tblGrid>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BodyText"/>
            </w:pPr>
            <w:r w:rsidRPr="00DD66C9">
              <w:t>Together, performance criteria specify the requirements for competent performance. Text in</w:t>
            </w:r>
            <w:r w:rsidRPr="00DD66C9">
              <w:rPr>
                <w:rStyle w:val="BoldandItalics"/>
              </w:rPr>
              <w:t xml:space="preserve"> bold italics</w:t>
            </w:r>
            <w:r w:rsidRPr="00DD66C9">
              <w:t xml:space="preserve">  is explained in the Range Statement following.</w:t>
            </w:r>
          </w:p>
        </w:tc>
      </w:tr>
    </w:tbl>
    <w:p w:rsidR="00000000" w:rsidRPr="00DD66C9" w:rsidP="00DD66C9">
      <w:pPr>
        <w:pStyle w:val="BodyText"/>
      </w:pPr>
    </w:p>
    <w:p w:rsidR="00000000" w:rsidRPr="00DD66C9" w:rsidP="00DD66C9">
      <w:pPr>
        <w:pStyle w:val="AllowPageBreak"/>
      </w:pPr>
    </w:p>
    <w:p w:rsidR="00000000" w:rsidRPr="00DD66C9" w:rsidP="00DD66C9">
      <w:pPr>
        <w:pStyle w:val="Heading1"/>
      </w:pPr>
      <w:bookmarkStart w:id="8" w:name="O_496519"/>
      <w:bookmarkEnd w:id="8"/>
      <w:r w:rsidRPr="00DD66C9">
        <w:t>Elements and Performance Criteria</w:t>
      </w:r>
    </w:p>
    <w:tbl>
      <w:tblPr>
        <w:tblW w:w="9322" w:type="dxa"/>
        <w:tblLayout w:type="fixed"/>
        <w:tblCellMar>
          <w:left w:w="62" w:type="dxa"/>
          <w:right w:w="62" w:type="dxa"/>
        </w:tblCellMar>
        <w:tblLook w:val="0000"/>
      </w:tblPr>
      <w:tblGrid>
        <w:gridCol w:w="2660"/>
        <w:gridCol w:w="6662"/>
      </w:tblGrid>
      <w:tr w:rsidTr="009C66A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DD66C9" w:rsidP="00DD66C9">
            <w:pPr>
              <w:pStyle w:val="BodyText"/>
            </w:pPr>
            <w:r w:rsidRPr="00DD66C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rPr>
                <w:rStyle w:val="SpecialBold"/>
              </w:rPr>
              <w:t>PERFORMANCE CRITERIA</w:t>
            </w:r>
          </w:p>
        </w:tc>
      </w:tr>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66C9">
            <w:pPr>
              <w:pStyle w:val="List"/>
              <w:rPr>
                <w:lang w:val="en-NZ"/>
              </w:rPr>
            </w:pPr>
            <w:r w:rsidRPr="00DD66C9">
              <w:rPr>
                <w:rStyle w:val="SpecialBold"/>
              </w:rPr>
              <w:t>1</w:t>
            </w:r>
            <w:r w:rsidRPr="00DD66C9">
              <w:t xml:space="preserve">.  </w:t>
            </w:r>
            <w:r w:rsidRPr="00DD66C9">
              <w:tab/>
            </w:r>
            <w:r w:rsidRPr="00DD66C9">
              <w:rPr>
                <w:rStyle w:val="SpecialBold"/>
              </w:rPr>
              <w:t>Develop strategic case management plans</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List"/>
            </w:pPr>
            <w:r w:rsidRPr="00DD66C9">
              <w:t>1.1</w:t>
            </w:r>
            <w:r w:rsidRPr="00DD66C9">
              <w:tab/>
              <w:t>Case management plans are developed to reflect the initial assessment of needs in accordance with</w:t>
            </w:r>
            <w:r w:rsidRPr="00DD66C9">
              <w:rPr>
                <w:rStyle w:val="BoldandItalics"/>
              </w:rPr>
              <w:t xml:space="preserve"> legislation, policy and procedures</w:t>
            </w:r>
            <w:r w:rsidRPr="00DD66C9">
              <w:rPr>
                <w:rStyle w:val="Emphasis"/>
              </w:rPr>
              <w:t>.</w:t>
            </w:r>
          </w:p>
          <w:p w:rsidR="00000000" w:rsidRPr="00DD66C9" w:rsidP="00DD66C9">
            <w:pPr>
              <w:pStyle w:val="List"/>
            </w:pPr>
            <w:r w:rsidRPr="00DD66C9">
              <w:t>1.2</w:t>
            </w:r>
            <w:r w:rsidRPr="00DD66C9">
              <w:tab/>
              <w:t>Action plans are included in case management plans as required, and identify the full range of short- , medium- and long-term goals that focus on the achievement of the best possible outcome for claim resolution.</w:t>
            </w:r>
          </w:p>
          <w:p w:rsidR="00000000" w:rsidRPr="00DD66C9" w:rsidP="00DD66C9">
            <w:pPr>
              <w:pStyle w:val="List"/>
            </w:pPr>
            <w:r w:rsidRPr="00DD66C9">
              <w:t>1.3</w:t>
            </w:r>
            <w:r w:rsidRPr="00DD66C9">
              <w:tab/>
              <w:t>Avenues for appeal and procedures f</w:t>
            </w:r>
            <w:r w:rsidRPr="00DD66C9">
              <w:t>or grievances/complaints are contained in plans.</w:t>
            </w:r>
          </w:p>
          <w:p w:rsidR="00000000" w:rsidRPr="00DD66C9" w:rsidP="00DD66C9">
            <w:pPr>
              <w:pStyle w:val="List"/>
            </w:pPr>
            <w:r w:rsidRPr="00DD66C9">
              <w:t>1.4</w:t>
            </w:r>
            <w:r w:rsidRPr="00DD66C9">
              <w:tab/>
              <w:t>Strategies for monitoring and changing plans are established and included.</w:t>
            </w:r>
          </w:p>
          <w:p w:rsidR="00000000" w:rsidRPr="00DD66C9" w:rsidP="00DD66C9">
            <w:pPr>
              <w:pStyle w:val="List"/>
            </w:pPr>
            <w:r w:rsidRPr="00DD66C9">
              <w:t>1.5</w:t>
            </w:r>
            <w:r w:rsidRPr="00DD66C9">
              <w:tab/>
              <w:t>Cultural considerations are integrated into all aspects of case management plans.</w:t>
            </w:r>
          </w:p>
          <w:p w:rsidR="00000000" w:rsidP="00DD66C9">
            <w:pPr>
              <w:pStyle w:val="List"/>
              <w:rPr>
                <w:lang w:val="en-NZ"/>
              </w:rPr>
            </w:pPr>
            <w:r w:rsidRPr="00DD66C9">
              <w:t>1.6</w:t>
            </w:r>
            <w:r w:rsidRPr="00DD66C9">
              <w:tab/>
              <w:t>Strategies for obtaining and monitorin</w:t>
            </w:r>
            <w:r w:rsidRPr="00DD66C9">
              <w:t>g</w:t>
            </w:r>
            <w:r w:rsidRPr="00DD66C9">
              <w:rPr>
                <w:rStyle w:val="BoldandItalics"/>
              </w:rPr>
              <w:t xml:space="preserve"> service providers </w:t>
            </w:r>
            <w:r w:rsidRPr="00DD66C9">
              <w:t>are established and implemented.</w:t>
            </w:r>
          </w:p>
        </w:tc>
      </w:tr>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66C9">
            <w:pPr>
              <w:pStyle w:val="List"/>
              <w:rPr>
                <w:lang w:val="en-NZ"/>
              </w:rPr>
            </w:pPr>
            <w:r w:rsidRPr="00DD66C9">
              <w:rPr>
                <w:rStyle w:val="SpecialBold"/>
              </w:rPr>
              <w:t>2</w:t>
            </w:r>
            <w:r w:rsidRPr="00DD66C9">
              <w:t xml:space="preserve">.  </w:t>
            </w:r>
            <w:r w:rsidRPr="00DD66C9">
              <w:tab/>
            </w:r>
            <w:r w:rsidRPr="00DD66C9">
              <w:rPr>
                <w:rStyle w:val="SpecialBold"/>
              </w:rPr>
              <w:t>Manage case directions and outcomes</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List"/>
            </w:pPr>
            <w:r w:rsidRPr="00DD66C9">
              <w:t>2.1</w:t>
            </w:r>
            <w:r w:rsidRPr="00DD66C9">
              <w:tab/>
              <w:t xml:space="preserve">Strategies are implemented to continually </w:t>
            </w:r>
            <w:r w:rsidRPr="00DD66C9">
              <w:rPr>
                <w:rStyle w:val="BoldandItalics"/>
              </w:rPr>
              <w:t xml:space="preserve">monitor </w:t>
            </w:r>
            <w:r w:rsidRPr="00DD66C9">
              <w:t>the effectiveness of case management processes against agreed goals, relevant services and programs, and cl</w:t>
            </w:r>
            <w:r w:rsidRPr="00DD66C9">
              <w:t xml:space="preserve">ient and </w:t>
            </w:r>
            <w:r w:rsidRPr="00DD66C9">
              <w:rPr>
                <w:rStyle w:val="BoldandItalics"/>
              </w:rPr>
              <w:t xml:space="preserve">stakeholder </w:t>
            </w:r>
            <w:r w:rsidRPr="00DD66C9">
              <w:t>satisfaction.</w:t>
            </w:r>
          </w:p>
          <w:p w:rsidR="00000000" w:rsidRPr="00DD66C9" w:rsidP="00DD66C9">
            <w:pPr>
              <w:pStyle w:val="List"/>
            </w:pPr>
            <w:r w:rsidRPr="00DD66C9">
              <w:t>2.2</w:t>
            </w:r>
            <w:r w:rsidRPr="00DD66C9">
              <w:tab/>
              <w:t>Rehabilitation and</w:t>
            </w:r>
            <w:r w:rsidRPr="00DD66C9">
              <w:rPr>
                <w:rStyle w:val="BoldandItalics"/>
              </w:rPr>
              <w:t xml:space="preserve"> return to work plans</w:t>
            </w:r>
            <w:r w:rsidRPr="00DD66C9">
              <w:t xml:space="preserve"> are monitored to ensure they remain consistent with the determined strategic direction of case.</w:t>
            </w:r>
          </w:p>
          <w:p w:rsidR="00000000" w:rsidRPr="00DD66C9" w:rsidP="00DD66C9">
            <w:pPr>
              <w:pStyle w:val="List"/>
            </w:pPr>
            <w:r w:rsidRPr="00DD66C9">
              <w:t>2.3</w:t>
            </w:r>
            <w:r w:rsidRPr="00DD66C9">
              <w:tab/>
              <w:t>The need for changes in case plans, including the need for continued interven</w:t>
            </w:r>
            <w:r w:rsidRPr="00DD66C9">
              <w:t>tion, is assessed and strategies for alternative action are developed as required.</w:t>
            </w:r>
          </w:p>
          <w:p w:rsidR="00000000" w:rsidRPr="00DD66C9" w:rsidP="00DD66C9">
            <w:pPr>
              <w:pStyle w:val="List"/>
            </w:pPr>
            <w:r w:rsidRPr="00DD66C9">
              <w:t>2.4</w:t>
            </w:r>
            <w:r w:rsidRPr="00DD66C9">
              <w:tab/>
              <w:t xml:space="preserve">Payments to injured workers are monitored and </w:t>
            </w:r>
            <w:r w:rsidRPr="00DD66C9">
              <w:rPr>
                <w:rStyle w:val="BoldandItalics"/>
              </w:rPr>
              <w:t xml:space="preserve">adjusted </w:t>
            </w:r>
            <w:r w:rsidRPr="00DD66C9">
              <w:t>as required in accordance with legislation, policy and procedures.</w:t>
            </w:r>
          </w:p>
          <w:p w:rsidR="00000000" w:rsidRPr="00DD66C9" w:rsidP="00DD66C9">
            <w:pPr>
              <w:pStyle w:val="List"/>
            </w:pPr>
            <w:r w:rsidRPr="00DD66C9">
              <w:t>2.5</w:t>
            </w:r>
            <w:r w:rsidRPr="00DD66C9">
              <w:tab/>
            </w:r>
            <w:r w:rsidRPr="00DD66C9">
              <w:rPr>
                <w:rStyle w:val="BoldandItalics"/>
              </w:rPr>
              <w:t xml:space="preserve">Alternatives </w:t>
            </w:r>
            <w:r w:rsidRPr="00DD66C9">
              <w:t>are considered and recommended</w:t>
            </w:r>
            <w:r w:rsidRPr="00DD66C9">
              <w:t xml:space="preserve"> if required, should the rehabilitation and return to work process fail.</w:t>
            </w:r>
          </w:p>
          <w:p w:rsidR="00000000" w:rsidP="00DD66C9">
            <w:pPr>
              <w:pStyle w:val="List"/>
              <w:rPr>
                <w:lang w:val="en-NZ"/>
              </w:rPr>
            </w:pPr>
            <w:r w:rsidRPr="00DD66C9">
              <w:t>2.6</w:t>
            </w:r>
            <w:r w:rsidRPr="00DD66C9">
              <w:tab/>
              <w:t>Advice on all aspects of case management is provided including advice on legislative and risk management issues.</w:t>
            </w:r>
          </w:p>
        </w:tc>
      </w:tr>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66C9">
            <w:pPr>
              <w:pStyle w:val="List"/>
              <w:rPr>
                <w:lang w:val="en-NZ"/>
              </w:rPr>
            </w:pPr>
            <w:r w:rsidRPr="00DD66C9">
              <w:rPr>
                <w:rStyle w:val="SpecialBold"/>
              </w:rPr>
              <w:t>3</w:t>
            </w:r>
            <w:r w:rsidRPr="00DD66C9">
              <w:t xml:space="preserve">.  </w:t>
            </w:r>
            <w:r w:rsidRPr="00DD66C9">
              <w:tab/>
            </w:r>
            <w:r w:rsidRPr="00DD66C9">
              <w:rPr>
                <w:rStyle w:val="SpecialBold"/>
              </w:rPr>
              <w:t>Manage complex cases</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List"/>
            </w:pPr>
            <w:r w:rsidRPr="00DD66C9">
              <w:t>3.1</w:t>
            </w:r>
            <w:r w:rsidRPr="00DD66C9">
              <w:tab/>
            </w:r>
            <w:r w:rsidRPr="00DD66C9">
              <w:t>Case management and return to work plans are tailored to the specific needs of</w:t>
            </w:r>
            <w:r w:rsidRPr="00DD66C9">
              <w:rPr>
                <w:rStyle w:val="BoldandItalics"/>
              </w:rPr>
              <w:t xml:space="preserve"> complex cases </w:t>
            </w:r>
            <w:r w:rsidRPr="00DD66C9">
              <w:t>in accordance with legislation, policy and procedures.</w:t>
            </w:r>
          </w:p>
          <w:p w:rsidR="00000000" w:rsidRPr="00DD66C9" w:rsidP="00DD66C9">
            <w:pPr>
              <w:pStyle w:val="List"/>
            </w:pPr>
            <w:r w:rsidRPr="00DD66C9">
              <w:t>3.2</w:t>
            </w:r>
            <w:r w:rsidRPr="00DD66C9">
              <w:tab/>
              <w:t>High-level negotiation, mediation and conflict management skills are used to manage objectives and outco</w:t>
            </w:r>
            <w:r w:rsidRPr="00DD66C9">
              <w:t>mes in complex cases.</w:t>
            </w:r>
          </w:p>
          <w:p w:rsidR="00000000" w:rsidRPr="00DD66C9" w:rsidP="00DD66C9">
            <w:pPr>
              <w:pStyle w:val="List"/>
            </w:pPr>
            <w:r w:rsidRPr="00DD66C9">
              <w:t>3.3</w:t>
            </w:r>
            <w:r w:rsidRPr="00DD66C9">
              <w:tab/>
              <w:t>Expert assistance is obtained as required and case conferences are facilitated to ensure the best outcome for complex case management.</w:t>
            </w:r>
          </w:p>
          <w:p w:rsidR="00000000" w:rsidRPr="00DD66C9" w:rsidP="00DD66C9">
            <w:pPr>
              <w:pStyle w:val="List"/>
            </w:pPr>
            <w:r w:rsidRPr="00DD66C9">
              <w:t>3.4</w:t>
            </w:r>
            <w:r w:rsidRPr="00DD66C9">
              <w:tab/>
              <w:t>A risk management approach is taken in the allocation of additional resources to complex ca</w:t>
            </w:r>
            <w:r w:rsidRPr="00DD66C9">
              <w:t>ses to ensure value for money in the rehabilitation process.</w:t>
            </w:r>
          </w:p>
        </w:tc>
      </w:tr>
    </w:tbl>
    <w:p w:rsidR="00000000" w:rsidRPr="00DD66C9" w:rsidP="00DD66C9">
      <w:pPr>
        <w:pStyle w:val="BodyText"/>
      </w:pPr>
    </w:p>
    <w:p w:rsidR="00000000" w:rsidRPr="00DD66C9" w:rsidP="00DD66C9">
      <w:pPr>
        <w:pStyle w:val="AllowPageBreak"/>
      </w:pPr>
    </w:p>
    <w:p w:rsidR="00000000" w:rsidRPr="00DD66C9" w:rsidP="00DD66C9">
      <w:pPr>
        <w:pStyle w:val="Heading1"/>
      </w:pPr>
      <w:bookmarkStart w:id="9" w:name="O_496514"/>
      <w:bookmarkEnd w:id="9"/>
      <w:r w:rsidRPr="00DD66C9">
        <w:t>Required Skills and Knowledge</w:t>
      </w:r>
    </w:p>
    <w:tbl>
      <w:tblPr>
        <w:tblW w:w="0" w:type="auto"/>
        <w:tblLayout w:type="fixed"/>
        <w:tblCellMar>
          <w:left w:w="62" w:type="dxa"/>
          <w:right w:w="62" w:type="dxa"/>
        </w:tblCellMar>
        <w:tblLook w:val="0000"/>
      </w:tblPr>
      <w:tblGrid>
        <w:gridCol w:w="8512"/>
        <w:gridCol w:w="41"/>
      </w:tblGrid>
      <w:tr w:rsidTr="009C66AB">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t>This section describes the essential skills and knowledge and their level, required for this unit.</w:t>
            </w:r>
          </w:p>
        </w:tc>
      </w:tr>
      <w:tr w:rsidTr="009C66AB">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D66C9" w:rsidP="00DD66C9">
            <w:pPr>
              <w:pStyle w:val="BodyText"/>
            </w:pPr>
            <w:r w:rsidRPr="00DD66C9">
              <w:rPr>
                <w:rStyle w:val="SpecialBold"/>
              </w:rPr>
              <w:t>Skill requirements</w:t>
            </w:r>
          </w:p>
          <w:p w:rsidR="00000000" w:rsidRPr="00DD66C9" w:rsidP="00DD66C9">
            <w:pPr>
              <w:pStyle w:val="BodyText"/>
            </w:pPr>
            <w:r w:rsidRPr="00DD66C9">
              <w:t>Look for evidence that conf</w:t>
            </w:r>
            <w:r w:rsidRPr="00DD66C9">
              <w:t>irms skills in:</w:t>
            </w:r>
          </w:p>
          <w:p w:rsidR="00000000" w:rsidRPr="00DD66C9" w:rsidP="00DD66C9">
            <w:pPr>
              <w:pStyle w:val="ListBullet2"/>
            </w:pPr>
            <w:r w:rsidRPr="00DD66C9">
              <w:t>applying legislation, regulations and policies relating to managing case direction and outcomes</w:t>
            </w:r>
          </w:p>
          <w:p w:rsidR="00000000" w:rsidRPr="00DD66C9" w:rsidP="00DD66C9">
            <w:pPr>
              <w:pStyle w:val="ListBullet2"/>
            </w:pPr>
            <w:r w:rsidRPr="00DD66C9">
              <w:t>applying case management principles to injury management</w:t>
            </w:r>
          </w:p>
          <w:p w:rsidR="00000000" w:rsidRPr="00DD66C9" w:rsidP="00DD66C9">
            <w:pPr>
              <w:pStyle w:val="ListBullet2"/>
            </w:pPr>
            <w:r w:rsidRPr="00DD66C9">
              <w:t>using communication with diverse stakeholders including negotiation and problem solving</w:t>
            </w:r>
          </w:p>
          <w:p w:rsidR="00000000" w:rsidRPr="00DD66C9" w:rsidP="00DD66C9">
            <w:pPr>
              <w:pStyle w:val="ListBullet2"/>
            </w:pPr>
            <w:r w:rsidRPr="00DD66C9">
              <w:t>dealing with/managing difficult people</w:t>
            </w:r>
          </w:p>
          <w:p w:rsidR="00000000" w:rsidRPr="00DD66C9" w:rsidP="00DD66C9">
            <w:pPr>
              <w:pStyle w:val="ListBullet2"/>
            </w:pPr>
            <w:r w:rsidRPr="00DD66C9">
              <w:t>responding to diversity, including gender and disability</w:t>
            </w:r>
          </w:p>
          <w:p w:rsidR="00000000" w:rsidP="00DD66C9">
            <w:pPr>
              <w:pStyle w:val="ListBullet2"/>
              <w:rPr>
                <w:lang w:val="en-NZ"/>
              </w:rPr>
            </w:pPr>
            <w:r w:rsidRPr="00DD66C9">
              <w:t>applying procedures relating to occupational health and safety and envir</w:t>
            </w:r>
            <w:r w:rsidRPr="00DD66C9">
              <w:t>onment in the context of injury management</w:t>
            </w:r>
          </w:p>
        </w:tc>
      </w:tr>
      <w:tr w:rsidTr="009C66AB">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D66C9" w:rsidP="00DD66C9">
            <w:pPr>
              <w:pStyle w:val="BodyText"/>
            </w:pPr>
            <w:r w:rsidRPr="00DD66C9">
              <w:rPr>
                <w:rStyle w:val="SpecialBold"/>
              </w:rPr>
              <w:t>Knowledge requirements</w:t>
            </w:r>
          </w:p>
          <w:p w:rsidR="00000000" w:rsidRPr="00DD66C9" w:rsidP="00DD66C9">
            <w:pPr>
              <w:pStyle w:val="BodyText"/>
            </w:pPr>
            <w:r w:rsidRPr="00DD66C9">
              <w:t xml:space="preserve"> Look for evidence that confirms knowledge and understanding of:</w:t>
            </w:r>
          </w:p>
          <w:p w:rsidR="00000000" w:rsidRPr="00DD66C9" w:rsidP="00DD66C9">
            <w:pPr>
              <w:pStyle w:val="ListBullet2"/>
            </w:pPr>
            <w:r w:rsidRPr="00DD66C9">
              <w:t>legislation, regulations, policies, procedures and guidelines relating to injury management</w:t>
            </w:r>
          </w:p>
          <w:p w:rsidR="00000000" w:rsidRPr="00DD66C9" w:rsidP="00DD66C9">
            <w:pPr>
              <w:pStyle w:val="ListBullet2"/>
            </w:pPr>
            <w:r w:rsidRPr="00DD66C9">
              <w:t>privacy legislation</w:t>
            </w:r>
          </w:p>
          <w:p w:rsidR="00000000" w:rsidRPr="00DD66C9" w:rsidP="00DD66C9">
            <w:pPr>
              <w:pStyle w:val="ListBullet2"/>
            </w:pPr>
            <w:r w:rsidRPr="00DD66C9">
              <w:t xml:space="preserve">procedures </w:t>
            </w:r>
            <w:r w:rsidRPr="00DD66C9">
              <w:t>to ensure confidentiality and security of information</w:t>
            </w:r>
          </w:p>
          <w:p w:rsidR="00000000" w:rsidRPr="00DD66C9" w:rsidP="00DD66C9">
            <w:pPr>
              <w:pStyle w:val="ListBullet2"/>
            </w:pPr>
            <w:r w:rsidRPr="00DD66C9">
              <w:t>public sector management acts</w:t>
            </w:r>
          </w:p>
          <w:p w:rsidR="00000000" w:rsidRPr="00DD66C9" w:rsidP="00DD66C9">
            <w:pPr>
              <w:pStyle w:val="ListBullet2"/>
            </w:pPr>
            <w:r w:rsidRPr="00DD66C9">
              <w:t>industrial law/industrial relations practice</w:t>
            </w:r>
          </w:p>
          <w:p w:rsidR="00000000" w:rsidRPr="00DD66C9" w:rsidP="00DD66C9">
            <w:pPr>
              <w:pStyle w:val="ListBullet2"/>
            </w:pPr>
            <w:r w:rsidRPr="00DD66C9">
              <w:t>reporting requirements</w:t>
            </w:r>
          </w:p>
          <w:p w:rsidR="00000000" w:rsidRPr="00DD66C9" w:rsidP="00DD66C9">
            <w:pPr>
              <w:pStyle w:val="ListBullet2"/>
            </w:pPr>
            <w:r w:rsidRPr="00DD66C9">
              <w:t>case management principles and practices relating to injury management</w:t>
            </w:r>
          </w:p>
          <w:p w:rsidR="00000000" w:rsidRPr="00DD66C9" w:rsidP="00DD66C9">
            <w:pPr>
              <w:pStyle w:val="ListBullet2"/>
            </w:pPr>
            <w:r w:rsidRPr="00DD66C9">
              <w:t>equal employment opportunity, equity and diversity principles</w:t>
            </w:r>
          </w:p>
          <w:p w:rsidR="00000000" w:rsidRPr="00DD66C9" w:rsidP="00DD66C9">
            <w:pPr>
              <w:pStyle w:val="ListBullet2"/>
            </w:pPr>
            <w:r w:rsidRPr="00DD66C9">
              <w:t>public sector legislation such as occupational health and safety and environment in the context of injury management</w:t>
            </w:r>
          </w:p>
        </w:tc>
      </w:tr>
    </w:tbl>
    <w:p w:rsidR="00000000" w:rsidRPr="00DD66C9" w:rsidP="00DD66C9">
      <w:pPr>
        <w:pStyle w:val="BodyText"/>
      </w:pPr>
    </w:p>
    <w:p w:rsidR="00000000" w:rsidRPr="00DD66C9" w:rsidP="00DD66C9">
      <w:pPr>
        <w:pStyle w:val="AllowPageBreak"/>
      </w:pPr>
    </w:p>
    <w:p w:rsidR="00000000" w:rsidRPr="00DD66C9" w:rsidP="00DD66C9">
      <w:pPr>
        <w:pStyle w:val="Heading1"/>
      </w:pPr>
      <w:bookmarkStart w:id="10" w:name="O_496511"/>
      <w:bookmarkEnd w:id="10"/>
      <w:r w:rsidRPr="00DD66C9">
        <w:t>Evidence Guide</w:t>
      </w:r>
    </w:p>
    <w:tbl>
      <w:tblPr>
        <w:tblW w:w="9322" w:type="dxa"/>
        <w:tblLayout w:type="fixed"/>
        <w:tblCellMar>
          <w:left w:w="62" w:type="dxa"/>
          <w:right w:w="62" w:type="dxa"/>
        </w:tblCellMar>
        <w:tblLook w:val="0000"/>
      </w:tblPr>
      <w:tblGrid>
        <w:gridCol w:w="2660"/>
        <w:gridCol w:w="6662"/>
      </w:tblGrid>
      <w:tr w:rsidTr="009C66A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t>The Evidence Guide specifies the evidence r</w:t>
            </w:r>
            <w:r w:rsidRPr="00DD66C9">
              <w:t>equired to demonstrate achievement in the unit of competency as a whole. It must be read in conjunction with the Unit descriptor, Performance Criteria, the Range Statement and the Assessment Guidelines for the Public Sector Training Package.</w:t>
            </w:r>
          </w:p>
        </w:tc>
      </w:tr>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DD66C9" w:rsidP="00DD66C9">
            <w:pPr>
              <w:pStyle w:val="BodyText"/>
            </w:pPr>
            <w:r w:rsidRPr="00DD66C9">
              <w:rPr>
                <w:rStyle w:val="SpecialBold"/>
              </w:rPr>
              <w:t>Units to be assessed together</w:t>
            </w:r>
            <w:r w:rsidRPr="00DD66C9">
              <w:t xml:space="preserve"> </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ListBullet2"/>
            </w:pPr>
            <w:r w:rsidRPr="00DD66C9">
              <w:rPr>
                <w:rStyle w:val="Emphasis"/>
              </w:rPr>
              <w:t>Pre</w:t>
            </w:r>
            <w:r w:rsidRPr="00DD66C9">
              <w:t>-</w:t>
            </w:r>
            <w:r w:rsidRPr="00DD66C9">
              <w:rPr>
                <w:rStyle w:val="Emphasis"/>
              </w:rPr>
              <w:t>requisite</w:t>
            </w:r>
            <w:r w:rsidRPr="00DD66C9">
              <w:t xml:space="preserve"> units that must be achieved prior to this unit:</w:t>
            </w:r>
            <w:r w:rsidRPr="00DD66C9">
              <w:rPr>
                <w:rStyle w:val="Emphasis"/>
              </w:rPr>
              <w:t>Nil</w:t>
            </w:r>
          </w:p>
          <w:p w:rsidR="00000000" w:rsidRPr="00DD66C9" w:rsidP="00DD66C9">
            <w:pPr>
              <w:pStyle w:val="ListBullet2"/>
            </w:pPr>
            <w:r w:rsidRPr="00DD66C9">
              <w:rPr>
                <w:rStyle w:val="Emphasis"/>
              </w:rPr>
              <w:t>Co</w:t>
            </w:r>
            <w:r w:rsidRPr="00DD66C9">
              <w:t>-</w:t>
            </w:r>
            <w:r w:rsidRPr="00DD66C9">
              <w:rPr>
                <w:rStyle w:val="Emphasis"/>
              </w:rPr>
              <w:t>requisite</w:t>
            </w:r>
            <w:r w:rsidRPr="00DD66C9">
              <w:t xml:space="preserve"> units that must be assessed with this unit:</w:t>
            </w:r>
            <w:r w:rsidRPr="00DD66C9">
              <w:rPr>
                <w:rStyle w:val="Emphasis"/>
              </w:rPr>
              <w:t>Nil</w:t>
            </w:r>
          </w:p>
          <w:p w:rsidR="00000000" w:rsidRPr="00DD66C9" w:rsidP="00DD66C9">
            <w:pPr>
              <w:pStyle w:val="ListBullet2"/>
            </w:pPr>
            <w:r w:rsidRPr="00DD66C9">
              <w:rPr>
                <w:rStyle w:val="Emphasis"/>
              </w:rPr>
              <w:t>Co</w:t>
            </w:r>
            <w:r w:rsidRPr="00DD66C9">
              <w:t>-</w:t>
            </w:r>
            <w:r w:rsidRPr="00DD66C9">
              <w:rPr>
                <w:rStyle w:val="Emphasis"/>
              </w:rPr>
              <w:t>assessed units</w:t>
            </w:r>
            <w:r w:rsidRPr="00DD66C9">
              <w:t xml:space="preserve"> that may be assessed with this unit to increase the efficiency and realism of the assessment process include, but are not limited to:</w:t>
            </w:r>
          </w:p>
          <w:p w:rsidR="00000000" w:rsidRPr="00DD66C9" w:rsidP="00DD66C9">
            <w:pPr>
              <w:pStyle w:val="ListBullet3"/>
            </w:pPr>
            <w:r w:rsidRPr="00DD66C9">
              <w:t xml:space="preserve">PSPETHC501B Promote the values and ethos of public service </w:t>
            </w:r>
          </w:p>
          <w:p w:rsidR="00000000" w:rsidRPr="00DD66C9" w:rsidP="00DD66C9">
            <w:pPr>
              <w:pStyle w:val="ListBullet3"/>
            </w:pPr>
            <w:r w:rsidRPr="00DD66C9">
              <w:t>PSPGOV502B Develop client services</w:t>
            </w:r>
          </w:p>
          <w:p w:rsidR="00000000" w:rsidRPr="00DD66C9" w:rsidP="00DD66C9">
            <w:pPr>
              <w:pStyle w:val="ListBullet3"/>
            </w:pPr>
            <w:r w:rsidRPr="00DD66C9">
              <w:t>PSPGOV503B Coordinate resource allocation and usage</w:t>
            </w:r>
          </w:p>
          <w:p w:rsidR="00000000" w:rsidRPr="00DD66C9" w:rsidP="00DD66C9">
            <w:pPr>
              <w:pStyle w:val="ListBullet3"/>
            </w:pPr>
            <w:r w:rsidRPr="00DD66C9">
              <w:t>PSPGOV504B Undertake research and analysis</w:t>
            </w:r>
          </w:p>
          <w:p w:rsidR="00000000" w:rsidRPr="00DD66C9" w:rsidP="00DD66C9">
            <w:pPr>
              <w:pStyle w:val="ListBullet3"/>
            </w:pPr>
            <w:r w:rsidRPr="00DD66C9">
              <w:t>PSPGOV505A Promote diversity</w:t>
            </w:r>
          </w:p>
          <w:p w:rsidR="00000000" w:rsidRPr="00DD66C9" w:rsidP="00DD66C9">
            <w:pPr>
              <w:pStyle w:val="ListBullet3"/>
            </w:pPr>
            <w:r w:rsidRPr="00DD66C9">
              <w:t>PSPLEGN501B Promote compliance with legislation in the public sector</w:t>
            </w:r>
          </w:p>
          <w:p w:rsidR="00000000" w:rsidP="00DD66C9">
            <w:pPr>
              <w:pStyle w:val="ListBullet3"/>
              <w:rPr>
                <w:lang w:val="en-NZ"/>
              </w:rPr>
            </w:pPr>
            <w:r w:rsidRPr="00DD66C9">
              <w:t xml:space="preserve">PSPPM502B Manage complex projects </w:t>
            </w:r>
          </w:p>
        </w:tc>
      </w:tr>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rPr>
                <w:rStyle w:val="SpecialBold"/>
              </w:rPr>
              <w:t>Overview of evidence requir</w:t>
            </w:r>
            <w:r w:rsidRPr="00DD66C9">
              <w:rPr>
                <w:rStyle w:val="SpecialBold"/>
              </w:rPr>
              <w:t>ements</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BodyText"/>
            </w:pPr>
            <w:r w:rsidRPr="00DD66C9">
              <w:t>In addition to integrated demonstration of the elements and their related performance criteria, look for evidence that confirms:</w:t>
            </w:r>
          </w:p>
          <w:p w:rsidR="00000000" w:rsidRPr="00DD66C9" w:rsidP="00DD66C9">
            <w:pPr>
              <w:pStyle w:val="ListBullet2"/>
            </w:pPr>
            <w:r w:rsidRPr="00DD66C9">
              <w:t xml:space="preserve">the knowledge requirements of this unit </w:t>
            </w:r>
          </w:p>
          <w:p w:rsidR="00000000" w:rsidRPr="00DD66C9" w:rsidP="00DD66C9">
            <w:pPr>
              <w:pStyle w:val="ListBullet2"/>
            </w:pPr>
            <w:r w:rsidRPr="00DD66C9">
              <w:t>the skill requirements of this unit</w:t>
            </w:r>
          </w:p>
          <w:p w:rsidR="00000000" w:rsidRPr="00DD66C9" w:rsidP="00DD66C9">
            <w:pPr>
              <w:pStyle w:val="ListBullet2"/>
            </w:pPr>
            <w:r w:rsidRPr="00DD66C9">
              <w:t>application of the Employability Skills as they relate to this unit (see Employability Summaries in Qualifications Framework)</w:t>
            </w:r>
          </w:p>
          <w:p w:rsidR="00000000" w:rsidP="00DD66C9">
            <w:pPr>
              <w:pStyle w:val="ListBullet2"/>
              <w:rPr>
                <w:lang w:val="en-NZ"/>
              </w:rPr>
            </w:pPr>
            <w:r w:rsidRPr="00DD66C9">
              <w:t>case management related to injured workers in a range of (3 or more) contexts (or occasions, over time)</w:t>
            </w:r>
          </w:p>
        </w:tc>
      </w:tr>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rPr>
                <w:rStyle w:val="SpecialBold"/>
              </w:rPr>
              <w:t>Resources required to car</w:t>
            </w:r>
            <w:r w:rsidRPr="00DD66C9">
              <w:rPr>
                <w:rStyle w:val="SpecialBold"/>
              </w:rPr>
              <w:t>ry out assessment</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BodyText"/>
            </w:pPr>
            <w:r w:rsidRPr="00DD66C9">
              <w:t>These resources include:</w:t>
            </w:r>
          </w:p>
          <w:p w:rsidR="00000000" w:rsidRPr="00DD66C9" w:rsidP="00DD66C9">
            <w:pPr>
              <w:pStyle w:val="ListBullet2"/>
            </w:pPr>
            <w:r w:rsidRPr="00DD66C9">
              <w:t>legislation, policy, procedures and protocols relating to injury management</w:t>
            </w:r>
          </w:p>
          <w:p w:rsidR="00000000" w:rsidP="00DD66C9">
            <w:pPr>
              <w:pStyle w:val="ListBullet2"/>
              <w:rPr>
                <w:lang w:val="en-NZ"/>
              </w:rPr>
            </w:pPr>
            <w:r w:rsidRPr="00DD66C9">
              <w:t>case studies and workplace scenarios to capture the range of situations likely to be encountered when undertaking case management relate</w:t>
            </w:r>
            <w:r w:rsidRPr="00DD66C9">
              <w:t>d to injured workers</w:t>
            </w:r>
          </w:p>
        </w:tc>
      </w:tr>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BodyText"/>
            </w:pPr>
            <w:r w:rsidRPr="00DD66C9">
              <w:t xml:space="preserve">Valid assessment of this unit requires: </w:t>
            </w:r>
          </w:p>
          <w:p w:rsidR="00000000" w:rsidRPr="00DD66C9" w:rsidP="00DD66C9">
            <w:pPr>
              <w:pStyle w:val="ListBullet2"/>
            </w:pPr>
            <w:r w:rsidRPr="00DD66C9">
              <w:t>a workplace environment or one that closely resembles normal work practice and replicates the range of conditions likely to be encountered when managing case d</w:t>
            </w:r>
            <w:r w:rsidRPr="00DD66C9">
              <w:t>irection and outcomes for injured workers, including coping with difficulties, irregularities and breakdowns in routine</w:t>
            </w:r>
          </w:p>
          <w:p w:rsidR="00000000" w:rsidRPr="00DD66C9" w:rsidP="00DD66C9">
            <w:pPr>
              <w:pStyle w:val="ListBullet2"/>
            </w:pPr>
            <w:r w:rsidRPr="00DD66C9">
              <w:t>case management related to injured workers in a range of (3 or more) contexts (or occasions, over time)</w:t>
            </w:r>
          </w:p>
          <w:p w:rsidR="00000000" w:rsidRPr="00DD66C9" w:rsidP="00DD66C9">
            <w:pPr>
              <w:pStyle w:val="BodyText"/>
            </w:pPr>
            <w:r w:rsidRPr="00DD66C9">
              <w:t>Assessment methods should reflec</w:t>
            </w:r>
            <w:r w:rsidRPr="00DD66C9">
              <w:t>t workplace demands, such as literacy, and the needs of particular groups, such as:</w:t>
            </w:r>
          </w:p>
          <w:p w:rsidR="00000000" w:rsidRPr="00DD66C9" w:rsidP="00DD66C9">
            <w:pPr>
              <w:pStyle w:val="ListBullet2"/>
            </w:pPr>
            <w:r w:rsidRPr="00DD66C9">
              <w:t>people with disabilities</w:t>
            </w:r>
          </w:p>
          <w:p w:rsidR="00000000" w:rsidRPr="00DD66C9" w:rsidP="00DD66C9">
            <w:pPr>
              <w:pStyle w:val="ListBullet2"/>
            </w:pPr>
            <w:r w:rsidRPr="00DD66C9">
              <w:t>people from culturally and linguistically diverse backgrounds</w:t>
            </w:r>
          </w:p>
          <w:p w:rsidR="00000000" w:rsidRPr="00DD66C9" w:rsidP="00DD66C9">
            <w:pPr>
              <w:pStyle w:val="ListBullet2"/>
            </w:pPr>
            <w:r w:rsidRPr="00DD66C9">
              <w:t>Aboriginal and Torres Strait Islander people</w:t>
            </w:r>
          </w:p>
          <w:p w:rsidR="00000000" w:rsidRPr="00DD66C9" w:rsidP="00DD66C9">
            <w:pPr>
              <w:pStyle w:val="ListBullet2"/>
            </w:pPr>
            <w:r w:rsidRPr="00DD66C9">
              <w:t>women</w:t>
            </w:r>
          </w:p>
          <w:p w:rsidR="00000000" w:rsidRPr="00DD66C9" w:rsidP="00DD66C9">
            <w:pPr>
              <w:pStyle w:val="ListBullet2"/>
            </w:pPr>
            <w:r w:rsidRPr="00DD66C9">
              <w:t>young people</w:t>
            </w:r>
          </w:p>
          <w:p w:rsidR="00000000" w:rsidRPr="00DD66C9" w:rsidP="00DD66C9">
            <w:pPr>
              <w:pStyle w:val="ListBullet2"/>
            </w:pPr>
            <w:r w:rsidRPr="00DD66C9">
              <w:t>older people</w:t>
            </w:r>
          </w:p>
          <w:p w:rsidR="00000000" w:rsidRPr="00DD66C9" w:rsidP="00DD66C9">
            <w:pPr>
              <w:pStyle w:val="ListBullet2"/>
            </w:pPr>
            <w:r w:rsidRPr="00DD66C9">
              <w:t>people in rural and remote locations</w:t>
            </w:r>
          </w:p>
          <w:p w:rsidR="00000000" w:rsidRPr="00DD66C9" w:rsidP="00DD66C9">
            <w:pPr>
              <w:pStyle w:val="BodyText"/>
            </w:pPr>
            <w:r w:rsidRPr="00DD66C9">
              <w:t xml:space="preserve">Assessment methods suitable for valid and reliable assessment of this competency may include, but are not limited to, a combination of 2 or more of: </w:t>
            </w:r>
          </w:p>
          <w:p w:rsidR="00000000" w:rsidRPr="00DD66C9" w:rsidP="00DD66C9">
            <w:pPr>
              <w:pStyle w:val="ListBullet2"/>
            </w:pPr>
            <w:r w:rsidRPr="00DD66C9">
              <w:t>case studies</w:t>
            </w:r>
          </w:p>
          <w:p w:rsidR="00000000" w:rsidRPr="00DD66C9" w:rsidP="00DD66C9">
            <w:pPr>
              <w:pStyle w:val="ListBullet2"/>
            </w:pPr>
            <w:r w:rsidRPr="00DD66C9">
              <w:t xml:space="preserve">portfolios </w:t>
            </w:r>
          </w:p>
          <w:p w:rsidR="00000000" w:rsidRPr="00DD66C9" w:rsidP="00DD66C9">
            <w:pPr>
              <w:pStyle w:val="ListBullet2"/>
            </w:pPr>
            <w:r w:rsidRPr="00DD66C9">
              <w:t>questioning</w:t>
            </w:r>
          </w:p>
          <w:p w:rsidR="00000000" w:rsidRPr="00DD66C9" w:rsidP="00DD66C9">
            <w:pPr>
              <w:pStyle w:val="ListBullet2"/>
            </w:pPr>
            <w:r w:rsidRPr="00DD66C9">
              <w:t>scenarios</w:t>
            </w:r>
          </w:p>
          <w:p w:rsidR="00000000" w:rsidP="00DD66C9">
            <w:pPr>
              <w:pStyle w:val="ListBullet2"/>
              <w:rPr>
                <w:lang w:val="en-NZ"/>
              </w:rPr>
            </w:pPr>
            <w:r w:rsidRPr="00DD66C9">
              <w:t>authenticated evidenc</w:t>
            </w:r>
            <w:r w:rsidRPr="00DD66C9">
              <w:t xml:space="preserve">e from the workplace and/or training courses  </w:t>
            </w:r>
          </w:p>
        </w:tc>
      </w:tr>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BodyText"/>
            </w:pPr>
            <w:r w:rsidRPr="00DD66C9">
              <w:t>Evidence must be gathered over time in a range of contexts to ensure the person can achieve the unit outcome and apply the competency in different situations or environments</w:t>
            </w:r>
          </w:p>
        </w:tc>
      </w:tr>
    </w:tbl>
    <w:p w:rsidR="00000000" w:rsidRPr="00DD66C9" w:rsidP="00DD66C9">
      <w:pPr>
        <w:pStyle w:val="BodyText"/>
      </w:pPr>
    </w:p>
    <w:p w:rsidR="00000000" w:rsidRPr="00DD66C9" w:rsidP="00DD66C9">
      <w:pPr>
        <w:pStyle w:val="AllowPageBreak"/>
      </w:pPr>
    </w:p>
    <w:p w:rsidR="00000000" w:rsidRPr="00DD66C9" w:rsidP="00DD66C9">
      <w:pPr>
        <w:pStyle w:val="Heading1"/>
      </w:pPr>
      <w:bookmarkStart w:id="11" w:name="O_496512"/>
      <w:bookmarkEnd w:id="11"/>
      <w:r w:rsidRPr="00DD66C9">
        <w:t>Range Statement</w:t>
      </w:r>
    </w:p>
    <w:tbl>
      <w:tblPr>
        <w:tblW w:w="9322" w:type="dxa"/>
        <w:tblLayout w:type="fixed"/>
        <w:tblCellMar>
          <w:left w:w="62" w:type="dxa"/>
          <w:right w:w="62" w:type="dxa"/>
        </w:tblCellMar>
        <w:tblLook w:val="0000"/>
      </w:tblPr>
      <w:tblGrid>
        <w:gridCol w:w="2660"/>
        <w:gridCol w:w="6662"/>
      </w:tblGrid>
      <w:tr w:rsidTr="009C66AB">
        <w:tblPrEx>
          <w:tblW w:w="9322" w:type="dxa"/>
          <w:tblLayout w:type="fixed"/>
          <w:tblCellMar>
            <w:left w:w="62" w:type="dxa"/>
            <w:right w:w="62" w:type="dxa"/>
          </w:tblCellMar>
          <w:tblLook w:val="0000"/>
        </w:tblPrEx>
        <w:trPr>
          <w:tblHeader/>
        </w:trPr>
        <w:tc>
          <w:tcPr>
            <w:tcW w:w="9322" w:type="dxa"/>
            <w:gridSpan w:val="2"/>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rPr>
                <w:rStyle w:val="SpecialBold"/>
              </w:rPr>
              <w:t>RANGE STATEMENT</w:t>
            </w:r>
          </w:p>
        </w:tc>
      </w:tr>
      <w:tr w:rsidTr="009C66A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t>The Range Statement provides information about the context in which the unit of competency is carried out. The variables cater for differences between States and Territories and the Commonwealth, and betwee</w:t>
            </w:r>
            <w:r w:rsidRPr="00DD66C9">
              <w:t xml:space="preserve">n organisations and workplaces. They allow for different work requirements, work practices and knowledge. The Range Statement also provides a focus for assessment. It relates to the unit as a whole. Text in </w:t>
            </w:r>
            <w:r w:rsidRPr="00DD66C9">
              <w:rPr>
                <w:rStyle w:val="BoldandItalics"/>
              </w:rPr>
              <w:t xml:space="preserve">bold italics </w:t>
            </w:r>
            <w:r w:rsidRPr="00DD66C9">
              <w:t>in the Performance Criteria is expla</w:t>
            </w:r>
            <w:r w:rsidRPr="00DD66C9">
              <w:t>ined here.</w:t>
            </w:r>
          </w:p>
        </w:tc>
      </w:tr>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rPr>
                <w:rStyle w:val="BoldandItalics"/>
              </w:rPr>
              <w:t>Legislation, policy and procedures</w:t>
            </w:r>
            <w:r w:rsidRPr="00DD66C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ListBullet2"/>
            </w:pPr>
            <w:r w:rsidRPr="00DD66C9">
              <w:t>workers rehabilitation/compensation legislation</w:t>
            </w:r>
          </w:p>
          <w:p w:rsidR="00000000" w:rsidRPr="00DD66C9" w:rsidP="00DD66C9">
            <w:pPr>
              <w:pStyle w:val="ListBullet2"/>
            </w:pPr>
            <w:r w:rsidRPr="00DD66C9">
              <w:t xml:space="preserve">allied legislation such as occupational health and safety acts, regulations and associated standards </w:t>
            </w:r>
          </w:p>
          <w:p w:rsidR="00000000" w:rsidRPr="00DD66C9" w:rsidP="00DD66C9">
            <w:pPr>
              <w:pStyle w:val="ListBullet2"/>
            </w:pPr>
            <w:r w:rsidRPr="00DD66C9">
              <w:t>privacy legislation</w:t>
            </w:r>
          </w:p>
          <w:p w:rsidR="00000000" w:rsidRPr="00DD66C9" w:rsidP="00DD66C9">
            <w:pPr>
              <w:pStyle w:val="ListBullet2"/>
            </w:pPr>
            <w:r w:rsidRPr="00DD66C9">
              <w:t>legislation and standards to ensure confidentiality and security of information</w:t>
            </w:r>
          </w:p>
          <w:p w:rsidR="00000000" w:rsidRPr="00DD66C9" w:rsidP="00DD66C9">
            <w:pPr>
              <w:pStyle w:val="ListBullet2"/>
            </w:pPr>
            <w:r w:rsidRPr="00DD66C9">
              <w:t>performance standards</w:t>
            </w:r>
          </w:p>
          <w:p w:rsidR="00000000" w:rsidRPr="00DD66C9" w:rsidP="00DD66C9">
            <w:pPr>
              <w:pStyle w:val="ListBullet2"/>
            </w:pPr>
            <w:r w:rsidRPr="00DD66C9">
              <w:t>rehabilitation and return to work manual</w:t>
            </w:r>
          </w:p>
          <w:p w:rsidR="00000000" w:rsidRPr="00DD66C9" w:rsidP="00DD66C9">
            <w:pPr>
              <w:pStyle w:val="ListBullet2"/>
            </w:pPr>
            <w:r w:rsidRPr="00DD66C9">
              <w:t>public sector legislation and standards</w:t>
            </w:r>
          </w:p>
          <w:p w:rsidR="00000000" w:rsidRPr="00DD66C9" w:rsidP="00DD66C9">
            <w:pPr>
              <w:pStyle w:val="ListBullet2"/>
            </w:pPr>
            <w:r w:rsidRPr="00DD66C9">
              <w:t>codes of conduct</w:t>
            </w:r>
          </w:p>
          <w:p w:rsidR="00000000" w:rsidP="00DD66C9">
            <w:pPr>
              <w:pStyle w:val="ListBullet2"/>
              <w:rPr>
                <w:lang w:val="en-NZ"/>
              </w:rPr>
            </w:pPr>
            <w:r w:rsidRPr="00DD66C9">
              <w:t xml:space="preserve">codes of ethics </w:t>
            </w:r>
          </w:p>
        </w:tc>
      </w:tr>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rPr>
                <w:rStyle w:val="BoldandItalics"/>
              </w:rPr>
              <w:t>Service providers</w:t>
            </w:r>
            <w:r w:rsidRPr="00DD66C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ListBullet2"/>
            </w:pPr>
            <w:r w:rsidRPr="00DD66C9">
              <w:t>approved/accredited rehabilitation providers</w:t>
            </w:r>
          </w:p>
          <w:p w:rsidR="00000000" w:rsidRPr="00DD66C9" w:rsidP="00DD66C9">
            <w:pPr>
              <w:pStyle w:val="ListBullet2"/>
            </w:pPr>
            <w:r w:rsidRPr="00DD66C9">
              <w:t>occupational therapists</w:t>
            </w:r>
          </w:p>
          <w:p w:rsidR="00000000" w:rsidRPr="00DD66C9" w:rsidP="00DD66C9">
            <w:pPr>
              <w:pStyle w:val="ListBullet2"/>
            </w:pPr>
            <w:r w:rsidRPr="00DD66C9">
              <w:t>physiotherapists</w:t>
            </w:r>
          </w:p>
          <w:p w:rsidR="00000000" w:rsidRPr="00DD66C9" w:rsidP="00DD66C9">
            <w:pPr>
              <w:pStyle w:val="ListBullet2"/>
            </w:pPr>
            <w:r w:rsidRPr="00DD66C9">
              <w:t>rehabilitation counsellors</w:t>
            </w:r>
          </w:p>
          <w:p w:rsidR="00000000" w:rsidRPr="00DD66C9" w:rsidP="00DD66C9">
            <w:pPr>
              <w:pStyle w:val="ListBullet2"/>
            </w:pPr>
            <w:r w:rsidRPr="00DD66C9">
              <w:t>psychologists</w:t>
            </w:r>
          </w:p>
          <w:p w:rsidR="00000000" w:rsidP="00DD66C9">
            <w:pPr>
              <w:pStyle w:val="ListBullet2"/>
              <w:rPr>
                <w:lang w:val="en-NZ"/>
              </w:rPr>
            </w:pPr>
            <w:r w:rsidRPr="00DD66C9">
              <w:t>ergonomists</w:t>
            </w:r>
          </w:p>
        </w:tc>
      </w:tr>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rPr>
                <w:rStyle w:val="BoldandItalics"/>
              </w:rPr>
              <w:t xml:space="preserve">Monitoring effectiveness </w:t>
            </w:r>
            <w:r w:rsidRPr="00DD66C9">
              <w:t>may include:</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ListBullet2"/>
            </w:pPr>
            <w:r w:rsidRPr="00DD66C9">
              <w:t>facilitating review activities</w:t>
            </w:r>
          </w:p>
          <w:p w:rsidR="00000000" w:rsidRPr="00DD66C9" w:rsidP="00DD66C9">
            <w:pPr>
              <w:pStyle w:val="ListBullet2"/>
            </w:pPr>
            <w:r w:rsidRPr="00DD66C9">
              <w:t>obtaining feedback from stakeholders</w:t>
            </w:r>
          </w:p>
          <w:p w:rsidR="00000000" w:rsidRPr="00DD66C9" w:rsidP="00DD66C9">
            <w:pPr>
              <w:pStyle w:val="ListBullet2"/>
            </w:pPr>
            <w:r w:rsidRPr="00DD66C9">
              <w:t>liaison w</w:t>
            </w:r>
            <w:r w:rsidRPr="00DD66C9">
              <w:t>ith service providers</w:t>
            </w:r>
          </w:p>
          <w:p w:rsidR="00000000" w:rsidRPr="00DD66C9" w:rsidP="00DD66C9">
            <w:pPr>
              <w:pStyle w:val="ListBullet2"/>
            </w:pPr>
            <w:r w:rsidRPr="00DD66C9">
              <w:t>feedback from injured worker</w:t>
            </w:r>
          </w:p>
          <w:p w:rsidR="00000000" w:rsidP="00DD66C9">
            <w:pPr>
              <w:pStyle w:val="ListBullet2"/>
              <w:rPr>
                <w:lang w:val="en-NZ"/>
              </w:rPr>
            </w:pPr>
            <w:r w:rsidRPr="00DD66C9">
              <w:t>providing advice on return to work plans</w:t>
            </w:r>
          </w:p>
        </w:tc>
      </w:tr>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rPr>
                <w:rStyle w:val="BoldandItalics"/>
              </w:rPr>
              <w:t xml:space="preserve">Stakeholders </w:t>
            </w:r>
            <w:r w:rsidRPr="00DD66C9">
              <w:t>may be:</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ListBullet2"/>
            </w:pPr>
            <w:r w:rsidRPr="00DD66C9">
              <w:t>supervisor/manager</w:t>
            </w:r>
          </w:p>
          <w:p w:rsidR="00000000" w:rsidRPr="00DD66C9" w:rsidP="00DD66C9">
            <w:pPr>
              <w:pStyle w:val="ListBullet2"/>
            </w:pPr>
            <w:r w:rsidRPr="00DD66C9">
              <w:t>doctor/specialist</w:t>
            </w:r>
          </w:p>
          <w:p w:rsidR="00000000" w:rsidRPr="00DD66C9" w:rsidP="00DD66C9">
            <w:pPr>
              <w:pStyle w:val="ListBullet2"/>
            </w:pPr>
            <w:r w:rsidRPr="00DD66C9">
              <w:t>claims management</w:t>
            </w:r>
          </w:p>
          <w:p w:rsidR="00000000" w:rsidRPr="00DD66C9" w:rsidP="00DD66C9">
            <w:pPr>
              <w:pStyle w:val="ListBullet2"/>
            </w:pPr>
            <w:r w:rsidRPr="00DD66C9">
              <w:t>Comcare</w:t>
            </w:r>
          </w:p>
          <w:p w:rsidR="00000000" w:rsidRPr="00DD66C9" w:rsidP="00DD66C9">
            <w:pPr>
              <w:pStyle w:val="ListBullet2"/>
            </w:pPr>
            <w:r w:rsidRPr="00DD66C9">
              <w:t>case manager</w:t>
            </w:r>
          </w:p>
          <w:p w:rsidR="00000000" w:rsidRPr="00DD66C9" w:rsidP="00DD66C9">
            <w:pPr>
              <w:pStyle w:val="ListBullet2"/>
            </w:pPr>
            <w:r w:rsidRPr="00DD66C9">
              <w:t>return to work coordinator</w:t>
            </w:r>
          </w:p>
          <w:p w:rsidR="00000000" w:rsidRPr="00DD66C9" w:rsidP="00DD66C9">
            <w:pPr>
              <w:pStyle w:val="ListBullet2"/>
            </w:pPr>
            <w:r w:rsidRPr="00DD66C9">
              <w:t>approved rehabilitation provider</w:t>
            </w:r>
          </w:p>
          <w:p w:rsidR="00000000" w:rsidRPr="00DD66C9" w:rsidP="00DD66C9">
            <w:pPr>
              <w:pStyle w:val="ListBullet2"/>
            </w:pPr>
            <w:r w:rsidRPr="00DD66C9">
              <w:t>union</w:t>
            </w:r>
          </w:p>
          <w:p w:rsidR="00000000" w:rsidP="00DD66C9">
            <w:pPr>
              <w:pStyle w:val="ListBullet2"/>
              <w:rPr>
                <w:lang w:val="en-NZ"/>
              </w:rPr>
            </w:pPr>
            <w:r w:rsidRPr="00DD66C9">
              <w:t>family/partner</w:t>
            </w:r>
          </w:p>
        </w:tc>
      </w:tr>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rPr>
                <w:rStyle w:val="BoldandItalics"/>
              </w:rPr>
              <w:t>Return to work plan</w:t>
            </w:r>
            <w:r w:rsidRPr="00DD66C9">
              <w:t xml:space="preserve"> is:</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ListBullet2"/>
            </w:pPr>
            <w:r w:rsidRPr="00DD66C9">
              <w:t>agreed blueprint for injured worker to return to work with:</w:t>
            </w:r>
          </w:p>
          <w:p w:rsidR="00000000" w:rsidRPr="00DD66C9" w:rsidP="00DD66C9">
            <w:pPr>
              <w:pStyle w:val="ListBullet3"/>
            </w:pPr>
            <w:r w:rsidRPr="00DD66C9">
              <w:t>suitable duties</w:t>
            </w:r>
          </w:p>
          <w:p w:rsidR="00000000" w:rsidRPr="00DD66C9" w:rsidP="00DD66C9">
            <w:pPr>
              <w:pStyle w:val="ListBullet3"/>
            </w:pPr>
            <w:r w:rsidRPr="00DD66C9">
              <w:t xml:space="preserve">physical restrictions </w:t>
            </w:r>
          </w:p>
          <w:p w:rsidR="00000000" w:rsidRPr="00DD66C9" w:rsidP="00DD66C9">
            <w:pPr>
              <w:pStyle w:val="ListBullet3"/>
            </w:pPr>
            <w:r w:rsidRPr="00DD66C9">
              <w:t>agreed hours</w:t>
            </w:r>
          </w:p>
          <w:p w:rsidR="00000000" w:rsidP="00DD66C9">
            <w:pPr>
              <w:pStyle w:val="ListBullet3"/>
              <w:rPr>
                <w:lang w:val="en-NZ"/>
              </w:rPr>
            </w:pPr>
            <w:r w:rsidRPr="00DD66C9">
              <w:t>supervision arrangements</w:t>
            </w:r>
          </w:p>
        </w:tc>
      </w:tr>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rPr>
                <w:rStyle w:val="BoldandItalics"/>
              </w:rPr>
              <w:t>Adjustment of payments</w:t>
            </w:r>
            <w:r w:rsidRPr="00DD66C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ListBullet2"/>
            </w:pPr>
            <w:r w:rsidRPr="00DD66C9">
              <w:t>increasing payments</w:t>
            </w:r>
          </w:p>
          <w:p w:rsidR="00000000" w:rsidRPr="00DD66C9" w:rsidP="00DD66C9">
            <w:pPr>
              <w:pStyle w:val="ListBullet2"/>
            </w:pPr>
            <w:r w:rsidRPr="00DD66C9">
              <w:t>decreasing payments</w:t>
            </w:r>
          </w:p>
          <w:p w:rsidR="00000000" w:rsidP="00DD66C9">
            <w:pPr>
              <w:pStyle w:val="ListBullet2"/>
              <w:rPr>
                <w:lang w:val="en-NZ"/>
              </w:rPr>
            </w:pPr>
            <w:r w:rsidRPr="00DD66C9">
              <w:t>discontinuing payments</w:t>
            </w:r>
          </w:p>
        </w:tc>
      </w:tr>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rPr>
                <w:rStyle w:val="BoldandItalics"/>
              </w:rPr>
              <w:t xml:space="preserve">Alternatives </w:t>
            </w:r>
            <w:r w:rsidRPr="00DD66C9">
              <w:t>may include:</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ListBullet2"/>
            </w:pPr>
            <w:r w:rsidRPr="00DD66C9">
              <w:t>termination on grounds of invalidity</w:t>
            </w:r>
          </w:p>
          <w:p w:rsidR="00000000" w:rsidP="00DD66C9">
            <w:pPr>
              <w:pStyle w:val="ListBullet2"/>
              <w:rPr>
                <w:lang w:val="en-NZ"/>
              </w:rPr>
            </w:pPr>
            <w:r w:rsidRPr="00DD66C9">
              <w:t>redemption of/capital payment for liability</w:t>
            </w:r>
          </w:p>
        </w:tc>
      </w:tr>
      <w:tr w:rsidTr="009C66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66C9">
            <w:pPr>
              <w:pStyle w:val="BodyText"/>
              <w:rPr>
                <w:lang w:val="en-NZ"/>
              </w:rPr>
            </w:pPr>
            <w:r w:rsidRPr="00DD66C9">
              <w:rPr>
                <w:rStyle w:val="BoldandItalics"/>
              </w:rPr>
              <w:t>Complex cases</w:t>
            </w:r>
            <w:r w:rsidRPr="00DD66C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D66C9" w:rsidP="00DD66C9">
            <w:pPr>
              <w:pStyle w:val="ListBullet2"/>
            </w:pPr>
            <w:r w:rsidRPr="00DD66C9">
              <w:t>multiple injuries/illness</w:t>
            </w:r>
          </w:p>
          <w:p w:rsidR="00000000" w:rsidRPr="00DD66C9" w:rsidP="00DD66C9">
            <w:pPr>
              <w:pStyle w:val="ListBullet2"/>
            </w:pPr>
            <w:r w:rsidRPr="00DD66C9">
              <w:t>psychiatric illness</w:t>
            </w:r>
          </w:p>
          <w:p w:rsidR="00000000" w:rsidRPr="00DD66C9" w:rsidP="00DD66C9">
            <w:pPr>
              <w:pStyle w:val="ListBullet2"/>
            </w:pPr>
            <w:r w:rsidRPr="00DD66C9">
              <w:t>psychological injury claims</w:t>
            </w:r>
          </w:p>
          <w:p w:rsidR="00000000" w:rsidRPr="00DD66C9" w:rsidP="00DD66C9">
            <w:pPr>
              <w:pStyle w:val="ListBullet2"/>
            </w:pPr>
            <w:r w:rsidRPr="00DD66C9">
              <w:t>i</w:t>
            </w:r>
            <w:r w:rsidRPr="00DD66C9">
              <w:t>nvolvement of a wide range of other agencies</w:t>
            </w:r>
          </w:p>
          <w:p w:rsidR="00000000" w:rsidRPr="00DD66C9" w:rsidP="00DD66C9">
            <w:pPr>
              <w:pStyle w:val="ListBullet2"/>
            </w:pPr>
            <w:r w:rsidRPr="00DD66C9">
              <w:t>cases with high public/political sensitivity</w:t>
            </w:r>
          </w:p>
          <w:p w:rsidR="00000000" w:rsidRPr="00DD66C9" w:rsidP="00DD66C9">
            <w:pPr>
              <w:pStyle w:val="ListBullet2"/>
            </w:pPr>
            <w:r w:rsidRPr="00DD66C9">
              <w:t>cases where there are fraud indicators</w:t>
            </w:r>
          </w:p>
          <w:p w:rsidR="00000000" w:rsidRPr="00DD66C9" w:rsidP="00DD66C9">
            <w:pPr>
              <w:pStyle w:val="ListBullet2"/>
            </w:pPr>
            <w:r w:rsidRPr="00DD66C9">
              <w:t>industrial/human resource issues</w:t>
            </w:r>
          </w:p>
          <w:p w:rsidR="00000000" w:rsidRPr="00DD66C9" w:rsidP="00DD66C9">
            <w:pPr>
              <w:pStyle w:val="ListBullet2"/>
            </w:pPr>
            <w:r w:rsidRPr="00DD66C9">
              <w:t>loss of skills</w:t>
            </w:r>
          </w:p>
          <w:p w:rsidR="00000000" w:rsidRPr="00DD66C9" w:rsidP="00DD66C9">
            <w:pPr>
              <w:pStyle w:val="ListBullet2"/>
            </w:pPr>
            <w:r w:rsidRPr="00DD66C9">
              <w:t>performance issues</w:t>
            </w:r>
          </w:p>
          <w:p w:rsidR="00000000" w:rsidRPr="00DD66C9" w:rsidP="00DD66C9">
            <w:pPr>
              <w:pStyle w:val="ListBullet2"/>
            </w:pPr>
            <w:r w:rsidRPr="00DD66C9">
              <w:t>stuck cases</w:t>
            </w:r>
          </w:p>
        </w:tc>
      </w:tr>
    </w:tbl>
    <w:p w:rsidR="009C66AB" w:rsidP="00DD66C9">
      <w:pPr>
        <w:pStyle w:val="BodyText"/>
      </w:pPr>
    </w:p>
    <w:p w:rsidR="009C66AB" w:rsidP="00DD66C9">
      <w:pPr>
        <w:pStyle w:val="BodyText"/>
      </w:pPr>
    </w:p>
    <w:p w:rsidR="00000000" w:rsidRPr="00DD66C9" w:rsidP="00DD66C9">
      <w:pPr>
        <w:pStyle w:val="Heading1"/>
      </w:pPr>
      <w:bookmarkStart w:id="12" w:name="O_496508"/>
      <w:bookmarkEnd w:id="12"/>
      <w:r w:rsidRPr="00DD66C9">
        <w:t>Unit Sector(s)</w:t>
      </w:r>
    </w:p>
    <w:p w:rsidR="00000000" w:rsidRPr="00DD66C9" w:rsidP="00DD66C9">
      <w:pPr>
        <w:pStyle w:val="BodyText"/>
      </w:pPr>
      <w:r w:rsidRPr="00DD66C9">
        <w:t>Not applicable.</w:t>
      </w:r>
    </w:p>
    <w:p w:rsidR="00000000" w:rsidRPr="00DD66C9" w:rsidP="00DD66C9">
      <w:pPr>
        <w:pStyle w:val="AllowPageBreak"/>
      </w:pPr>
    </w:p>
    <w:p w:rsidR="00000000" w:rsidRPr="00DD66C9" w:rsidP="00DD66C9">
      <w:pPr>
        <w:pStyle w:val="Heading1"/>
      </w:pPr>
      <w:bookmarkStart w:id="13" w:name="O_496520"/>
      <w:bookmarkEnd w:id="13"/>
      <w:r w:rsidRPr="00DD66C9">
        <w:t>Competency field</w:t>
      </w:r>
    </w:p>
    <w:p w:rsidR="00000000" w:rsidRPr="00DD66C9" w:rsidP="00DD66C9">
      <w:pPr>
        <w:pStyle w:val="BodyText"/>
      </w:pPr>
      <w:r w:rsidRPr="00DD66C9">
        <w:t>Injury Management.</w:t>
      </w:r>
    </w:p>
    <w:p w:rsidR="00000000" w:rsidRPr="00DD66C9" w:rsidP="00DD66C9"/>
    <w:sectPr w:rsidSect="00DD66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6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66AB" w:rsidP="009C66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6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AB" w:rsidP="00DD66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C66AB" w:rsidP="00DD66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C66AB" w:rsidP="00DD66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6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6C9" w:rsidRPr="009C66AB" w:rsidP="009C66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6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AB" w:rsidRPr="002D2AF8" w:rsidP="00DD66C9">
    <w:pPr>
      <w:pStyle w:val="Header"/>
      <w:framePr w:wrap="around"/>
    </w:pPr>
    <w:r>
      <w:fldChar w:fldCharType="begin"/>
    </w:r>
    <w:r>
      <w:instrText xml:space="preserve"> TITLE   \* MERGEFORMAT </w:instrText>
    </w:r>
    <w:r>
      <w:fldChar w:fldCharType="separate"/>
    </w:r>
    <w:r>
      <w:t>PSPIM502A Manage case direction and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C66AB" w:rsidP="00DD66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DA1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39AE6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6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6C9"/>
    <w:pPr>
      <w:spacing w:before="360" w:after="60"/>
      <w:outlineLvl w:val="0"/>
    </w:pPr>
    <w:rPr>
      <w:sz w:val="32"/>
    </w:rPr>
  </w:style>
  <w:style w:type="paragraph" w:styleId="Heading2">
    <w:name w:val="heading 2"/>
    <w:basedOn w:val="HeadingBase"/>
    <w:next w:val="BodyText"/>
    <w:link w:val="Heading2Char"/>
    <w:qFormat/>
    <w:rsid w:val="00DD66C9"/>
    <w:pPr>
      <w:keepLines/>
      <w:spacing w:before="240" w:after="120"/>
      <w:outlineLvl w:val="1"/>
    </w:pPr>
    <w:rPr>
      <w:sz w:val="28"/>
      <w:szCs w:val="40"/>
    </w:rPr>
  </w:style>
  <w:style w:type="paragraph" w:styleId="Heading3">
    <w:name w:val="heading 3"/>
    <w:basedOn w:val="HeadingBase"/>
    <w:next w:val="BodyText"/>
    <w:link w:val="Heading3Char"/>
    <w:qFormat/>
    <w:rsid w:val="00DD66C9"/>
    <w:pPr>
      <w:spacing w:before="180" w:after="120"/>
      <w:outlineLvl w:val="2"/>
    </w:pPr>
    <w:rPr>
      <w:spacing w:val="-10"/>
      <w:kern w:val="32"/>
    </w:rPr>
  </w:style>
  <w:style w:type="paragraph" w:styleId="Heading4">
    <w:name w:val="heading 4"/>
    <w:basedOn w:val="HeadingBase"/>
    <w:next w:val="BodyText"/>
    <w:link w:val="Heading4Char"/>
    <w:qFormat/>
    <w:rsid w:val="00DD66C9"/>
    <w:pPr>
      <w:spacing w:before="160" w:after="120"/>
      <w:outlineLvl w:val="3"/>
    </w:pPr>
    <w:rPr>
      <w:sz w:val="22"/>
    </w:rPr>
  </w:style>
  <w:style w:type="paragraph" w:styleId="Heading5">
    <w:name w:val="heading 5"/>
    <w:basedOn w:val="HeadingBase"/>
    <w:next w:val="Normal"/>
    <w:link w:val="Heading5Char"/>
    <w:qFormat/>
    <w:rsid w:val="00DD66C9"/>
    <w:pPr>
      <w:spacing w:before="80"/>
      <w:outlineLvl w:val="4"/>
    </w:pPr>
    <w:rPr>
      <w:color w:val="918585"/>
      <w:sz w:val="20"/>
    </w:rPr>
  </w:style>
  <w:style w:type="paragraph" w:styleId="Heading6">
    <w:name w:val="heading 6"/>
    <w:basedOn w:val="HeadingBase"/>
    <w:next w:val="Normal"/>
    <w:link w:val="Heading6Char"/>
    <w:qFormat/>
    <w:rsid w:val="00DD66C9"/>
    <w:pPr>
      <w:spacing w:before="60"/>
      <w:outlineLvl w:val="5"/>
    </w:pPr>
    <w:rPr>
      <w:color w:val="918585"/>
      <w:sz w:val="20"/>
    </w:rPr>
  </w:style>
  <w:style w:type="paragraph" w:styleId="Heading7">
    <w:name w:val="heading 7"/>
    <w:basedOn w:val="Normal"/>
    <w:next w:val="Normal"/>
    <w:link w:val="Heading7Char"/>
    <w:qFormat/>
    <w:rsid w:val="00DD66C9"/>
    <w:pPr>
      <w:ind w:left="720"/>
      <w:outlineLvl w:val="6"/>
    </w:pPr>
    <w:rPr>
      <w:i/>
    </w:rPr>
  </w:style>
  <w:style w:type="paragraph" w:styleId="Heading8">
    <w:name w:val="heading 8"/>
    <w:basedOn w:val="Normal"/>
    <w:next w:val="Normal"/>
    <w:link w:val="Heading8Char"/>
    <w:qFormat/>
    <w:rsid w:val="00DD66C9"/>
    <w:pPr>
      <w:ind w:left="720"/>
      <w:outlineLvl w:val="7"/>
    </w:pPr>
    <w:rPr>
      <w:i/>
    </w:rPr>
  </w:style>
  <w:style w:type="paragraph" w:styleId="Heading9">
    <w:name w:val="heading 9"/>
    <w:basedOn w:val="Normal"/>
    <w:next w:val="Normal"/>
    <w:link w:val="Heading9Char"/>
    <w:qFormat/>
    <w:rsid w:val="00DD66C9"/>
    <w:pPr>
      <w:ind w:left="720"/>
      <w:outlineLvl w:val="8"/>
    </w:pPr>
    <w:rPr>
      <w:i/>
    </w:rPr>
  </w:style>
  <w:style w:type="character" w:default="1" w:styleId="DefaultParagraphFont">
    <w:name w:val="Default Paragraph Font"/>
    <w:uiPriority w:val="1"/>
    <w:unhideWhenUsed/>
    <w:rsid w:val="00DD66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6C9"/>
  </w:style>
  <w:style w:type="character" w:customStyle="1" w:styleId="Heading1Char">
    <w:name w:val="Heading 1 Char"/>
    <w:basedOn w:val="DefaultParagraphFont"/>
    <w:link w:val="Heading1"/>
    <w:rsid w:val="00DD66C9"/>
    <w:rPr>
      <w:rFonts w:ascii="Times New Roman" w:eastAsia="Times New Roman" w:hAnsi="Times New Roman" w:cs="Times New Roman"/>
      <w:b/>
      <w:sz w:val="32"/>
      <w:szCs w:val="20"/>
      <w:lang w:eastAsia="en-US"/>
    </w:rPr>
  </w:style>
  <w:style w:type="paragraph" w:styleId="BodyText">
    <w:name w:val="Body Text"/>
    <w:basedOn w:val="Normal"/>
    <w:link w:val="BodyTextChar"/>
    <w:rsid w:val="00DD66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66C9"/>
    <w:rPr>
      <w:rFonts w:ascii="Times New Roman" w:eastAsia="Times New Roman" w:hAnsi="Times New Roman" w:cs="Times New Roman"/>
      <w:sz w:val="24"/>
      <w:lang w:eastAsia="en-US"/>
    </w:rPr>
  </w:style>
  <w:style w:type="paragraph" w:styleId="Footer">
    <w:name w:val="footer"/>
    <w:basedOn w:val="Normal"/>
    <w:link w:val="FooterChar"/>
    <w:rsid w:val="00DD66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6C9"/>
    <w:rPr>
      <w:rFonts w:ascii="Times New Roman" w:eastAsia="Times New Roman" w:hAnsi="Times New Roman" w:cs="Times New Roman"/>
      <w:sz w:val="16"/>
      <w:lang w:eastAsia="en-US"/>
    </w:rPr>
  </w:style>
  <w:style w:type="paragraph" w:styleId="List">
    <w:name w:val="List"/>
    <w:basedOn w:val="BodyText"/>
    <w:next w:val="BodyText"/>
    <w:rsid w:val="00DD66C9"/>
    <w:pPr>
      <w:tabs>
        <w:tab w:val="left" w:pos="340"/>
      </w:tabs>
      <w:spacing w:before="60" w:after="60"/>
      <w:ind w:left="340" w:hanging="340"/>
    </w:pPr>
  </w:style>
  <w:style w:type="character" w:customStyle="1" w:styleId="SpecialBold">
    <w:name w:val="Special Bold"/>
    <w:basedOn w:val="DefaultParagraphFont"/>
    <w:rsid w:val="00DD66C9"/>
    <w:rPr>
      <w:b/>
      <w:spacing w:val="0"/>
    </w:rPr>
  </w:style>
  <w:style w:type="paragraph" w:styleId="ListBullet2">
    <w:name w:val="List Bullet 2"/>
    <w:basedOn w:val="List2"/>
    <w:rsid w:val="00DD66C9"/>
    <w:pPr>
      <w:numPr>
        <w:numId w:val="14"/>
      </w:numPr>
      <w:tabs>
        <w:tab w:val="clear" w:pos="680"/>
      </w:tabs>
    </w:pPr>
  </w:style>
  <w:style w:type="character" w:styleId="Emphasis">
    <w:name w:val="Emphasis"/>
    <w:basedOn w:val="DefaultParagraphFont"/>
    <w:qFormat/>
    <w:rsid w:val="00DD66C9"/>
    <w:rPr>
      <w:i/>
    </w:rPr>
  </w:style>
  <w:style w:type="paragraph" w:customStyle="1" w:styleId="SuperHeading">
    <w:name w:val="SuperHeading"/>
    <w:basedOn w:val="Normal"/>
    <w:rsid w:val="00DD66C9"/>
    <w:pPr>
      <w:spacing w:before="240" w:after="120"/>
      <w:outlineLvl w:val="0"/>
    </w:pPr>
    <w:rPr>
      <w:rFonts w:ascii="Times New Roman" w:hAnsi="Times New Roman"/>
      <w:b/>
      <w:sz w:val="28"/>
    </w:rPr>
  </w:style>
  <w:style w:type="paragraph" w:customStyle="1" w:styleId="AllowPageBreak">
    <w:name w:val="AllowPageBreak"/>
    <w:rsid w:val="00DD66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66C9"/>
    <w:pPr>
      <w:numPr>
        <w:numId w:val="2"/>
      </w:numPr>
      <w:tabs>
        <w:tab w:val="clear" w:pos="1021"/>
      </w:tabs>
      <w:ind w:left="1037" w:hanging="357"/>
    </w:pPr>
  </w:style>
  <w:style w:type="character" w:customStyle="1" w:styleId="BoldandItalics">
    <w:name w:val="Bold and Italics"/>
    <w:qFormat/>
    <w:rsid w:val="00DD66C9"/>
    <w:rPr>
      <w:b/>
      <w:i/>
      <w:u w:val="none"/>
    </w:rPr>
  </w:style>
  <w:style w:type="character" w:customStyle="1" w:styleId="Heading2Char">
    <w:name w:val="Heading 2 Char"/>
    <w:basedOn w:val="DefaultParagraphFont"/>
    <w:link w:val="Heading2"/>
    <w:rsid w:val="00DD66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6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6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6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6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6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6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6C9"/>
    <w:rPr>
      <w:rFonts w:ascii="Courier New" w:eastAsia="Times New Roman" w:hAnsi="Courier New" w:cs="Times New Roman"/>
      <w:i/>
      <w:szCs w:val="20"/>
      <w:lang w:eastAsia="en-US"/>
    </w:rPr>
  </w:style>
  <w:style w:type="paragraph" w:customStyle="1" w:styleId="HeadingBase">
    <w:name w:val="Heading Base"/>
    <w:rsid w:val="00DD66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6C9"/>
    <w:pPr>
      <w:tabs>
        <w:tab w:val="right" w:leader="dot" w:pos="9072"/>
      </w:tabs>
      <w:ind w:left="567"/>
    </w:pPr>
    <w:rPr>
      <w:szCs w:val="22"/>
    </w:rPr>
  </w:style>
  <w:style w:type="paragraph" w:customStyle="1" w:styleId="TOCBase">
    <w:name w:val="TOC Base"/>
    <w:rsid w:val="00DD66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6C9"/>
    <w:pPr>
      <w:tabs>
        <w:tab w:val="right" w:leader="dot" w:pos="9072"/>
      </w:tabs>
      <w:spacing w:before="40" w:after="40"/>
      <w:ind w:left="284"/>
    </w:pPr>
    <w:rPr>
      <w:rFonts w:ascii="Times New Roman" w:hAnsi="Times New Roman"/>
    </w:rPr>
  </w:style>
  <w:style w:type="paragraph" w:styleId="TOC1">
    <w:name w:val="toc 1"/>
    <w:basedOn w:val="TOCBase"/>
    <w:next w:val="Normal"/>
    <w:rsid w:val="00DD66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66C9"/>
    <w:pPr>
      <w:spacing w:before="5040"/>
      <w:jc w:val="center"/>
    </w:pPr>
    <w:rPr>
      <w:sz w:val="48"/>
      <w:szCs w:val="72"/>
      <w:lang w:val="en-US"/>
    </w:rPr>
  </w:style>
  <w:style w:type="character" w:customStyle="1" w:styleId="TitleChar">
    <w:name w:val="Title Char"/>
    <w:basedOn w:val="DefaultParagraphFont"/>
    <w:link w:val="Title"/>
    <w:rsid w:val="00DD66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6C9"/>
    <w:pPr>
      <w:tabs>
        <w:tab w:val="left" w:pos="3600"/>
        <w:tab w:val="left" w:pos="3958"/>
      </w:tabs>
    </w:pPr>
  </w:style>
  <w:style w:type="paragraph" w:styleId="ListBullet">
    <w:name w:val="List Bullet"/>
    <w:basedOn w:val="List"/>
    <w:rsid w:val="00DD66C9"/>
    <w:pPr>
      <w:numPr>
        <w:numId w:val="13"/>
      </w:numPr>
      <w:tabs>
        <w:tab w:val="clear" w:pos="340"/>
      </w:tabs>
      <w:spacing w:before="40" w:after="40"/>
    </w:pPr>
  </w:style>
  <w:style w:type="paragraph" w:customStyle="1" w:styleId="Note">
    <w:name w:val="Note"/>
    <w:basedOn w:val="BodyText"/>
    <w:rsid w:val="00DD66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6C9"/>
    <w:pPr>
      <w:framePr w:wrap="auto" w:hAnchor="text" w:y="6049"/>
    </w:pPr>
    <w:rPr>
      <w:color w:val="000000"/>
      <w:sz w:val="40"/>
    </w:rPr>
  </w:style>
  <w:style w:type="paragraph" w:customStyle="1" w:styleId="TOCTitle">
    <w:name w:val="TOCTitle"/>
    <w:basedOn w:val="Heading1"/>
    <w:rsid w:val="00DD66C9"/>
    <w:pPr>
      <w:spacing w:after="240"/>
      <w:jc w:val="center"/>
      <w:outlineLvl w:val="9"/>
    </w:pPr>
    <w:rPr>
      <w:caps/>
    </w:rPr>
  </w:style>
  <w:style w:type="paragraph" w:customStyle="1" w:styleId="Version">
    <w:name w:val="Version"/>
    <w:rsid w:val="00DD66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6C9"/>
    <w:pPr>
      <w:keepNext w:val="0"/>
      <w:tabs>
        <w:tab w:val="right" w:pos="4176"/>
      </w:tabs>
      <w:ind w:left="198" w:hanging="198"/>
    </w:pPr>
    <w:rPr>
      <w:rFonts w:ascii="Garamond" w:hAnsi="Garamond"/>
    </w:rPr>
  </w:style>
  <w:style w:type="paragraph" w:styleId="IndexHeading">
    <w:name w:val="index heading"/>
    <w:basedOn w:val="Normal"/>
    <w:next w:val="Index1"/>
    <w:semiHidden/>
    <w:rsid w:val="00DD66C9"/>
    <w:pPr>
      <w:spacing w:before="120" w:after="120"/>
    </w:pPr>
    <w:rPr>
      <w:rFonts w:ascii="Arial" w:hAnsi="Arial"/>
      <w:b/>
      <w:color w:val="918585"/>
      <w:sz w:val="24"/>
    </w:rPr>
  </w:style>
  <w:style w:type="paragraph" w:styleId="Header">
    <w:name w:val="header"/>
    <w:basedOn w:val="Normal"/>
    <w:link w:val="HeaderChar"/>
    <w:rsid w:val="00DD66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6C9"/>
    <w:rPr>
      <w:rFonts w:ascii="Times New Roman" w:eastAsia="Times New Roman" w:hAnsi="Times New Roman" w:cs="Times New Roman"/>
      <w:sz w:val="16"/>
      <w:szCs w:val="20"/>
      <w:lang w:val="en-GB" w:eastAsia="en-US"/>
    </w:rPr>
  </w:style>
  <w:style w:type="paragraph" w:customStyle="1" w:styleId="Chapter">
    <w:name w:val="Chapter"/>
    <w:basedOn w:val="Normal"/>
    <w:rsid w:val="00DD66C9"/>
    <w:pPr>
      <w:spacing w:before="240"/>
    </w:pPr>
    <w:rPr>
      <w:rFonts w:ascii="Times New Roman" w:hAnsi="Times New Roman"/>
      <w:smallCaps/>
      <w:spacing w:val="80"/>
      <w:sz w:val="28"/>
    </w:rPr>
  </w:style>
  <w:style w:type="paragraph" w:customStyle="1" w:styleId="InChapter">
    <w:name w:val="InChapter"/>
    <w:basedOn w:val="Heading3"/>
    <w:rsid w:val="00DD66C9"/>
    <w:pPr>
      <w:spacing w:after="240"/>
      <w:outlineLvl w:val="9"/>
    </w:pPr>
    <w:rPr>
      <w:noProof/>
    </w:rPr>
  </w:style>
  <w:style w:type="paragraph" w:styleId="Index2">
    <w:name w:val="index 2"/>
    <w:basedOn w:val="Normal"/>
    <w:next w:val="Normal"/>
    <w:semiHidden/>
    <w:rsid w:val="00DD66C9"/>
    <w:pPr>
      <w:tabs>
        <w:tab w:val="right" w:pos="4176"/>
      </w:tabs>
      <w:ind w:left="568" w:hanging="284"/>
    </w:pPr>
    <w:rPr>
      <w:rFonts w:ascii="Garamond" w:hAnsi="Garamond"/>
    </w:rPr>
  </w:style>
  <w:style w:type="paragraph" w:customStyle="1" w:styleId="Byline">
    <w:name w:val="Byline"/>
    <w:rsid w:val="00DD66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6C9"/>
    <w:pPr>
      <w:tabs>
        <w:tab w:val="clear" w:pos="3600"/>
        <w:tab w:val="clear" w:pos="3958"/>
      </w:tabs>
      <w:jc w:val="right"/>
    </w:pPr>
  </w:style>
  <w:style w:type="paragraph" w:styleId="Caption">
    <w:name w:val="caption"/>
    <w:basedOn w:val="BodyText"/>
    <w:next w:val="Normal"/>
    <w:qFormat/>
    <w:rsid w:val="00DD66C9"/>
    <w:pPr>
      <w:framePr w:w="2268" w:hSpace="181" w:vSpace="181" w:wrap="around" w:vAnchor="text" w:hAnchor="page" w:x="1135" w:y="285" w:anchorLock="1"/>
    </w:pPr>
    <w:rPr>
      <w:i/>
    </w:rPr>
  </w:style>
  <w:style w:type="paragraph" w:customStyle="1" w:styleId="MiniTOCTitle">
    <w:name w:val="MiniTOCTitle"/>
    <w:basedOn w:val="Heading4"/>
    <w:rsid w:val="00DD66C9"/>
    <w:pPr>
      <w:spacing w:before="240"/>
      <w:outlineLvl w:val="9"/>
    </w:pPr>
    <w:rPr>
      <w:noProof/>
      <w:sz w:val="24"/>
    </w:rPr>
  </w:style>
  <w:style w:type="paragraph" w:customStyle="1" w:styleId="MiniTOCItem">
    <w:name w:val="MiniTOCItem"/>
    <w:basedOn w:val="ListBullet"/>
    <w:rsid w:val="00DD66C9"/>
    <w:pPr>
      <w:numPr>
        <w:numId w:val="0"/>
      </w:numPr>
      <w:tabs>
        <w:tab w:val="right" w:leader="dot" w:pos="6521"/>
      </w:tabs>
      <w:spacing w:before="0" w:after="0"/>
    </w:pPr>
  </w:style>
  <w:style w:type="paragraph" w:customStyle="1" w:styleId="TOFTitle">
    <w:name w:val="TOFTitle"/>
    <w:basedOn w:val="TOCTitle"/>
    <w:rsid w:val="00DD66C9"/>
  </w:style>
  <w:style w:type="paragraph" w:styleId="TableofFigures">
    <w:name w:val="table of figures"/>
    <w:basedOn w:val="Normal"/>
    <w:next w:val="Normal"/>
    <w:semiHidden/>
    <w:rsid w:val="00DD66C9"/>
    <w:pPr>
      <w:tabs>
        <w:tab w:val="right" w:leader="dot" w:pos="9072"/>
      </w:tabs>
      <w:ind w:left="970" w:hanging="403"/>
    </w:pPr>
    <w:rPr>
      <w:rFonts w:ascii="Times New Roman" w:hAnsi="Times New Roman"/>
      <w:b/>
    </w:rPr>
  </w:style>
  <w:style w:type="paragraph" w:styleId="ListNumber">
    <w:name w:val="List Number"/>
    <w:basedOn w:val="List"/>
    <w:rsid w:val="00DD66C9"/>
    <w:pPr>
      <w:numPr>
        <w:numId w:val="11"/>
      </w:numPr>
    </w:pPr>
  </w:style>
  <w:style w:type="character" w:customStyle="1" w:styleId="WingdingSymbols">
    <w:name w:val="Wingding Symbols"/>
    <w:rsid w:val="00DD66C9"/>
    <w:rPr>
      <w:rFonts w:ascii="Wingdings" w:hAnsi="Wingdings"/>
    </w:rPr>
  </w:style>
  <w:style w:type="paragraph" w:customStyle="1" w:styleId="TableHeading">
    <w:name w:val="Table Heading"/>
    <w:basedOn w:val="HeadingBase"/>
    <w:rsid w:val="00DD66C9"/>
    <w:pPr>
      <w:keepLines/>
      <w:pBdr>
        <w:bottom w:val="single" w:sz="6" w:space="1" w:color="918585"/>
      </w:pBdr>
      <w:spacing w:before="240"/>
    </w:pPr>
  </w:style>
  <w:style w:type="character" w:customStyle="1" w:styleId="HotSpot">
    <w:name w:val="HotSpot"/>
    <w:rsid w:val="00DD66C9"/>
    <w:rPr>
      <w:color w:val="0033CC"/>
      <w:u w:val="none"/>
    </w:rPr>
  </w:style>
  <w:style w:type="paragraph" w:customStyle="1" w:styleId="BodyTextRight">
    <w:name w:val="Body Text Right"/>
    <w:basedOn w:val="BodyText"/>
    <w:rsid w:val="00DD66C9"/>
    <w:pPr>
      <w:spacing w:before="0" w:after="0"/>
      <w:jc w:val="right"/>
    </w:pPr>
  </w:style>
  <w:style w:type="paragraph" w:styleId="Index3">
    <w:name w:val="index 3"/>
    <w:basedOn w:val="ListNumber2"/>
    <w:next w:val="Normal"/>
    <w:semiHidden/>
    <w:rsid w:val="00DD66C9"/>
    <w:pPr>
      <w:numPr>
        <w:numId w:val="0"/>
      </w:numPr>
      <w:tabs>
        <w:tab w:val="right" w:leader="dot" w:pos="4176"/>
      </w:tabs>
    </w:pPr>
  </w:style>
  <w:style w:type="paragraph" w:styleId="ListNumber2">
    <w:name w:val="List Number 2"/>
    <w:basedOn w:val="List2"/>
    <w:rsid w:val="00DD66C9"/>
    <w:pPr>
      <w:numPr>
        <w:numId w:val="10"/>
      </w:numPr>
      <w:tabs>
        <w:tab w:val="clear" w:pos="1060"/>
      </w:tabs>
    </w:pPr>
  </w:style>
  <w:style w:type="paragraph" w:customStyle="1" w:styleId="MarginNote">
    <w:name w:val="Margin Note"/>
    <w:basedOn w:val="BodyText"/>
    <w:rsid w:val="00DD66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6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6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6C9"/>
    <w:rPr>
      <w:sz w:val="32"/>
    </w:rPr>
  </w:style>
  <w:style w:type="paragraph" w:customStyle="1" w:styleId="HeadingProcedure">
    <w:name w:val="Heading Procedure"/>
    <w:basedOn w:val="HeadingBase"/>
    <w:next w:val="Normal"/>
    <w:rsid w:val="00DD66C9"/>
    <w:pPr>
      <w:tabs>
        <w:tab w:val="left" w:pos="0"/>
      </w:tabs>
      <w:spacing w:before="120" w:after="60"/>
    </w:pPr>
    <w:rPr>
      <w:i/>
      <w:color w:val="918585"/>
      <w:sz w:val="22"/>
    </w:rPr>
  </w:style>
  <w:style w:type="paragraph" w:customStyle="1" w:styleId="TableBodyText">
    <w:name w:val="Table Body Text"/>
    <w:basedOn w:val="BodyText"/>
    <w:rsid w:val="00DD66C9"/>
    <w:pPr>
      <w:spacing w:before="60" w:after="60"/>
    </w:pPr>
  </w:style>
  <w:style w:type="paragraph" w:styleId="ListContinue">
    <w:name w:val="List Continue"/>
    <w:basedOn w:val="List"/>
    <w:rsid w:val="00DD66C9"/>
    <w:pPr>
      <w:ind w:firstLine="0"/>
    </w:pPr>
  </w:style>
  <w:style w:type="paragraph" w:customStyle="1" w:styleId="ListNote">
    <w:name w:val="List Note"/>
    <w:basedOn w:val="List"/>
    <w:rsid w:val="00DD66C9"/>
    <w:pPr>
      <w:pBdr>
        <w:top w:val="single" w:sz="6" w:space="2" w:color="918585"/>
        <w:bottom w:val="single" w:sz="6" w:space="2" w:color="918585"/>
      </w:pBdr>
      <w:tabs>
        <w:tab w:val="left" w:pos="1021"/>
      </w:tabs>
      <w:ind w:firstLine="0"/>
    </w:pPr>
  </w:style>
  <w:style w:type="paragraph" w:customStyle="1" w:styleId="Warning">
    <w:name w:val="Warning"/>
    <w:basedOn w:val="BodyText"/>
    <w:rsid w:val="00DD66C9"/>
    <w:pPr>
      <w:shd w:val="clear" w:color="auto" w:fill="D9D9D9"/>
      <w:tabs>
        <w:tab w:val="left" w:pos="992"/>
      </w:tabs>
      <w:ind w:left="119" w:right="119"/>
    </w:pPr>
    <w:rPr>
      <w:sz w:val="20"/>
    </w:rPr>
  </w:style>
  <w:style w:type="paragraph" w:customStyle="1" w:styleId="MarginIcons">
    <w:name w:val="Margin Icons"/>
    <w:basedOn w:val="BodyText"/>
    <w:rsid w:val="00DD66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6C9"/>
    <w:rPr>
      <w:rFonts w:ascii="Courier New" w:hAnsi="Courier New"/>
    </w:rPr>
  </w:style>
  <w:style w:type="paragraph" w:customStyle="1" w:styleId="NoteBullet">
    <w:name w:val="Note Bullet"/>
    <w:basedOn w:val="Note"/>
    <w:rsid w:val="00DD66C9"/>
    <w:pPr>
      <w:tabs>
        <w:tab w:val="clear" w:pos="680"/>
      </w:tabs>
      <w:spacing w:before="60" w:after="60"/>
    </w:pPr>
  </w:style>
  <w:style w:type="paragraph" w:customStyle="1" w:styleId="SubHeading2">
    <w:name w:val="SubHeading2"/>
    <w:basedOn w:val="HeadingBase"/>
    <w:rsid w:val="00DD66C9"/>
    <w:pPr>
      <w:spacing w:before="240" w:after="60"/>
    </w:pPr>
    <w:rPr>
      <w:sz w:val="20"/>
    </w:rPr>
  </w:style>
  <w:style w:type="paragraph" w:customStyle="1" w:styleId="SubHeading1">
    <w:name w:val="SubHeading1"/>
    <w:basedOn w:val="HeadingBase"/>
    <w:rsid w:val="00DD66C9"/>
    <w:pPr>
      <w:spacing w:before="240" w:after="60"/>
    </w:pPr>
    <w:rPr>
      <w:color w:val="918585"/>
      <w:sz w:val="22"/>
    </w:rPr>
  </w:style>
  <w:style w:type="paragraph" w:customStyle="1" w:styleId="SideHeading">
    <w:name w:val="Side Heading"/>
    <w:basedOn w:val="HeadingBase"/>
    <w:rsid w:val="00DD66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6C9"/>
    <w:pPr>
      <w:numPr>
        <w:numId w:val="12"/>
      </w:numPr>
    </w:pPr>
  </w:style>
  <w:style w:type="paragraph" w:styleId="PlainText">
    <w:name w:val="Plain Text"/>
    <w:basedOn w:val="Normal"/>
    <w:link w:val="PlainTextChar"/>
    <w:rsid w:val="00DD66C9"/>
    <w:rPr>
      <w:sz w:val="20"/>
    </w:rPr>
  </w:style>
  <w:style w:type="character" w:customStyle="1" w:styleId="PlainTextChar">
    <w:name w:val="Plain Text Char"/>
    <w:basedOn w:val="DefaultParagraphFont"/>
    <w:link w:val="PlainText"/>
    <w:rsid w:val="00DD66C9"/>
    <w:rPr>
      <w:rFonts w:ascii="Courier New" w:eastAsia="Times New Roman" w:hAnsi="Courier New" w:cs="Times New Roman"/>
      <w:sz w:val="20"/>
      <w:szCs w:val="20"/>
      <w:lang w:eastAsia="en-US"/>
    </w:rPr>
  </w:style>
  <w:style w:type="character" w:customStyle="1" w:styleId="MenuOption">
    <w:name w:val="Menu Option"/>
    <w:basedOn w:val="DefaultParagraphFont"/>
    <w:rsid w:val="00DD66C9"/>
    <w:rPr>
      <w:b/>
      <w:smallCaps/>
    </w:rPr>
  </w:style>
  <w:style w:type="paragraph" w:customStyle="1" w:styleId="TableListNumber">
    <w:name w:val="Table List Number"/>
    <w:basedOn w:val="ListNumber"/>
    <w:rsid w:val="00DD66C9"/>
    <w:pPr>
      <w:numPr>
        <w:numId w:val="0"/>
      </w:numPr>
    </w:pPr>
  </w:style>
  <w:style w:type="paragraph" w:styleId="TOC4">
    <w:name w:val="toc 4"/>
    <w:basedOn w:val="TOCBase"/>
    <w:next w:val="Normal"/>
    <w:semiHidden/>
    <w:rsid w:val="00DD66C9"/>
    <w:pPr>
      <w:tabs>
        <w:tab w:val="right" w:leader="dot" w:pos="9071"/>
      </w:tabs>
      <w:ind w:left="1701"/>
    </w:pPr>
  </w:style>
  <w:style w:type="paragraph" w:customStyle="1" w:styleId="ListAlpha">
    <w:name w:val="List Alpha"/>
    <w:basedOn w:val="List"/>
    <w:rsid w:val="00DD66C9"/>
    <w:pPr>
      <w:numPr>
        <w:numId w:val="9"/>
      </w:numPr>
    </w:pPr>
  </w:style>
  <w:style w:type="paragraph" w:customStyle="1" w:styleId="ListAlpha2">
    <w:name w:val="List Alpha 2"/>
    <w:basedOn w:val="List2"/>
    <w:rsid w:val="00DD66C9"/>
    <w:pPr>
      <w:numPr>
        <w:numId w:val="8"/>
      </w:numPr>
    </w:pPr>
  </w:style>
  <w:style w:type="paragraph" w:styleId="List2">
    <w:name w:val="List 2"/>
    <w:basedOn w:val="BodyText"/>
    <w:rsid w:val="00DD66C9"/>
    <w:pPr>
      <w:tabs>
        <w:tab w:val="left" w:pos="680"/>
      </w:tabs>
      <w:spacing w:before="60" w:after="60"/>
      <w:ind w:left="680" w:hanging="340"/>
    </w:pPr>
  </w:style>
  <w:style w:type="paragraph" w:styleId="List3">
    <w:name w:val="List 3"/>
    <w:basedOn w:val="BodyText"/>
    <w:rsid w:val="00DD66C9"/>
    <w:pPr>
      <w:tabs>
        <w:tab w:val="left" w:pos="1021"/>
      </w:tabs>
      <w:spacing w:before="60" w:after="60"/>
      <w:ind w:left="1020" w:hanging="340"/>
    </w:pPr>
  </w:style>
  <w:style w:type="paragraph" w:styleId="List4">
    <w:name w:val="List 4"/>
    <w:basedOn w:val="BodyText"/>
    <w:rsid w:val="00DD66C9"/>
    <w:pPr>
      <w:tabs>
        <w:tab w:val="left" w:pos="1361"/>
      </w:tabs>
      <w:spacing w:before="60" w:after="60"/>
      <w:ind w:left="1361" w:hanging="340"/>
    </w:pPr>
  </w:style>
  <w:style w:type="paragraph" w:styleId="List5">
    <w:name w:val="List 5"/>
    <w:basedOn w:val="BodyText"/>
    <w:rsid w:val="00DD66C9"/>
    <w:pPr>
      <w:tabs>
        <w:tab w:val="left" w:pos="1701"/>
      </w:tabs>
      <w:spacing w:before="60" w:after="60"/>
      <w:ind w:left="1701" w:hanging="340"/>
    </w:pPr>
  </w:style>
  <w:style w:type="paragraph" w:styleId="ListBullet4">
    <w:name w:val="List Bullet 4"/>
    <w:basedOn w:val="List4"/>
    <w:rsid w:val="00DD66C9"/>
    <w:pPr>
      <w:numPr>
        <w:numId w:val="3"/>
      </w:numPr>
    </w:pPr>
  </w:style>
  <w:style w:type="paragraph" w:styleId="ListBullet5">
    <w:name w:val="List Bullet 5"/>
    <w:basedOn w:val="List5"/>
    <w:rsid w:val="00DD66C9"/>
    <w:pPr>
      <w:numPr>
        <w:numId w:val="4"/>
      </w:numPr>
    </w:pPr>
  </w:style>
  <w:style w:type="paragraph" w:styleId="ListContinue2">
    <w:name w:val="List Continue 2"/>
    <w:basedOn w:val="List2"/>
    <w:rsid w:val="00DD66C9"/>
    <w:pPr>
      <w:ind w:firstLine="0"/>
    </w:pPr>
  </w:style>
  <w:style w:type="paragraph" w:styleId="ListContinue3">
    <w:name w:val="List Continue 3"/>
    <w:basedOn w:val="List3"/>
    <w:rsid w:val="00DD66C9"/>
    <w:pPr>
      <w:ind w:left="1021" w:firstLine="0"/>
    </w:pPr>
  </w:style>
  <w:style w:type="paragraph" w:styleId="ListContinue4">
    <w:name w:val="List Continue 4"/>
    <w:basedOn w:val="List4"/>
    <w:rsid w:val="00DD66C9"/>
    <w:pPr>
      <w:ind w:firstLine="0"/>
    </w:pPr>
  </w:style>
  <w:style w:type="paragraph" w:styleId="ListContinue5">
    <w:name w:val="List Continue 5"/>
    <w:basedOn w:val="List5"/>
    <w:rsid w:val="00DD66C9"/>
    <w:pPr>
      <w:ind w:firstLine="0"/>
    </w:pPr>
  </w:style>
  <w:style w:type="paragraph" w:styleId="ListNumber3">
    <w:name w:val="List Number 3"/>
    <w:basedOn w:val="List3"/>
    <w:rsid w:val="00DD66C9"/>
    <w:pPr>
      <w:numPr>
        <w:numId w:val="5"/>
      </w:numPr>
    </w:pPr>
  </w:style>
  <w:style w:type="paragraph" w:styleId="ListNumber4">
    <w:name w:val="List Number 4"/>
    <w:basedOn w:val="List4"/>
    <w:rsid w:val="00DD66C9"/>
    <w:pPr>
      <w:numPr>
        <w:numId w:val="6"/>
      </w:numPr>
    </w:pPr>
  </w:style>
  <w:style w:type="paragraph" w:styleId="ListNumber5">
    <w:name w:val="List Number 5"/>
    <w:basedOn w:val="List5"/>
    <w:rsid w:val="00DD66C9"/>
    <w:pPr>
      <w:numPr>
        <w:numId w:val="7"/>
      </w:numPr>
    </w:pPr>
  </w:style>
  <w:style w:type="paragraph" w:styleId="BlockText">
    <w:name w:val="Block Text"/>
    <w:basedOn w:val="Normal"/>
    <w:rsid w:val="00DD66C9"/>
    <w:pPr>
      <w:spacing w:after="120"/>
      <w:ind w:left="1440" w:right="1440"/>
    </w:pPr>
  </w:style>
  <w:style w:type="character" w:customStyle="1" w:styleId="Subscript">
    <w:name w:val="Subscript"/>
    <w:basedOn w:val="DefaultParagraphFont"/>
    <w:rsid w:val="00DD66C9"/>
    <w:rPr>
      <w:sz w:val="16"/>
      <w:vertAlign w:val="subscript"/>
    </w:rPr>
  </w:style>
  <w:style w:type="character" w:customStyle="1" w:styleId="Superscript">
    <w:name w:val="Superscript"/>
    <w:basedOn w:val="DefaultParagraphFont"/>
    <w:rsid w:val="00DD66C9"/>
    <w:rPr>
      <w:sz w:val="16"/>
      <w:vertAlign w:val="superscript"/>
    </w:rPr>
  </w:style>
  <w:style w:type="character" w:customStyle="1" w:styleId="Symbols">
    <w:name w:val="Symbols"/>
    <w:basedOn w:val="DefaultParagraphFont"/>
    <w:rsid w:val="00DD66C9"/>
    <w:rPr>
      <w:rFonts w:ascii="Symbol" w:hAnsi="Symbol"/>
    </w:rPr>
  </w:style>
  <w:style w:type="character" w:customStyle="1" w:styleId="MenuOptions">
    <w:name w:val="Menu Options"/>
    <w:basedOn w:val="DefaultParagraphFont"/>
    <w:rsid w:val="00DD66C9"/>
    <w:rPr>
      <w:rFonts w:ascii="Arial Narrow" w:hAnsi="Arial Narrow"/>
      <w:smallCaps/>
    </w:rPr>
  </w:style>
  <w:style w:type="character" w:customStyle="1" w:styleId="Buttons">
    <w:name w:val="Buttons"/>
    <w:basedOn w:val="DefaultParagraphFont"/>
    <w:rsid w:val="00DD66C9"/>
    <w:rPr>
      <w:b/>
    </w:rPr>
  </w:style>
  <w:style w:type="character" w:customStyle="1" w:styleId="Underlined">
    <w:name w:val="Underlined"/>
    <w:basedOn w:val="DefaultParagraphFont"/>
    <w:rsid w:val="00DD66C9"/>
    <w:rPr>
      <w:u w:val="single"/>
    </w:rPr>
  </w:style>
  <w:style w:type="paragraph" w:customStyle="1" w:styleId="TableBodyTextRight">
    <w:name w:val="Table Body Text Right"/>
    <w:basedOn w:val="TableBodyText"/>
    <w:rsid w:val="00DD66C9"/>
    <w:pPr>
      <w:widowControl w:val="0"/>
      <w:autoSpaceDE w:val="0"/>
      <w:autoSpaceDN w:val="0"/>
      <w:adjustRightInd w:val="0"/>
      <w:jc w:val="right"/>
    </w:pPr>
    <w:rPr>
      <w:rFonts w:cs="Arial"/>
      <w:szCs w:val="18"/>
    </w:rPr>
  </w:style>
  <w:style w:type="paragraph" w:customStyle="1" w:styleId="CopyrightText">
    <w:name w:val="Copyright Text"/>
    <w:basedOn w:val="BodyText"/>
    <w:rsid w:val="00DD66C9"/>
    <w:rPr>
      <w:sz w:val="18"/>
    </w:rPr>
  </w:style>
  <w:style w:type="paragraph" w:customStyle="1" w:styleId="BodySmallRight">
    <w:name w:val="Body Small Right"/>
    <w:basedOn w:val="BodyTextRight"/>
    <w:rsid w:val="00DD66C9"/>
    <w:rPr>
      <w:sz w:val="18"/>
      <w:szCs w:val="18"/>
    </w:rPr>
  </w:style>
  <w:style w:type="paragraph" w:customStyle="1" w:styleId="MarginEdition">
    <w:name w:val="Margin Edition"/>
    <w:basedOn w:val="MarginNote"/>
    <w:rsid w:val="00DD66C9"/>
    <w:pPr>
      <w:spacing w:before="0" w:after="0"/>
    </w:pPr>
    <w:rPr>
      <w:rFonts w:ascii="Times New Roman" w:hAnsi="Times New Roman"/>
      <w:color w:val="999999"/>
    </w:rPr>
  </w:style>
  <w:style w:type="paragraph" w:customStyle="1" w:styleId="Spacer">
    <w:name w:val="Spacer"/>
    <w:basedOn w:val="Normal"/>
    <w:rsid w:val="00DD66C9"/>
    <w:rPr>
      <w:sz w:val="2"/>
      <w:szCs w:val="2"/>
    </w:rPr>
  </w:style>
  <w:style w:type="character" w:customStyle="1" w:styleId="Small">
    <w:name w:val="Small"/>
    <w:basedOn w:val="DefaultParagraphFont"/>
    <w:rsid w:val="00DD66C9"/>
    <w:rPr>
      <w:sz w:val="16"/>
    </w:rPr>
  </w:style>
  <w:style w:type="paragraph" w:customStyle="1" w:styleId="WideTable">
    <w:name w:val="Wide Table"/>
    <w:basedOn w:val="Normal"/>
    <w:rsid w:val="00DD66C9"/>
    <w:pPr>
      <w:ind w:left="-1418"/>
    </w:pPr>
    <w:rPr>
      <w:sz w:val="2"/>
      <w:szCs w:val="2"/>
    </w:rPr>
  </w:style>
  <w:style w:type="character" w:styleId="PageNumber">
    <w:name w:val="page number"/>
    <w:basedOn w:val="DefaultParagraphFont"/>
    <w:rsid w:val="00DD66C9"/>
  </w:style>
  <w:style w:type="paragraph" w:styleId="Quote">
    <w:name w:val="Quote"/>
    <w:basedOn w:val="Heading1"/>
    <w:link w:val="QuoteChar"/>
    <w:qFormat/>
    <w:rsid w:val="00DD66C9"/>
    <w:rPr>
      <w:b w:val="0"/>
      <w:sz w:val="72"/>
      <w:szCs w:val="72"/>
      <w:lang w:val="en-NZ"/>
    </w:rPr>
  </w:style>
  <w:style w:type="character" w:customStyle="1" w:styleId="QuoteChar">
    <w:name w:val="Quote Char"/>
    <w:basedOn w:val="DefaultParagraphFont"/>
    <w:link w:val="Quote"/>
    <w:rsid w:val="00DD66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6C9"/>
    <w:pPr>
      <w:pageBreakBefore/>
    </w:pPr>
  </w:style>
  <w:style w:type="paragraph" w:customStyle="1" w:styleId="Border">
    <w:name w:val="Border"/>
    <w:basedOn w:val="Normal"/>
    <w:qFormat/>
    <w:rsid w:val="00DD66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6C9"/>
    <w:rPr>
      <w:b/>
      <w:bCs/>
      <w:i/>
      <w:iCs/>
      <w:color w:val="auto"/>
    </w:rPr>
  </w:style>
  <w:style w:type="paragraph" w:styleId="IntenseQuote">
    <w:name w:val="Intense Quote"/>
    <w:basedOn w:val="Normal"/>
    <w:next w:val="Normal"/>
    <w:link w:val="IntenseQuoteChar"/>
    <w:uiPriority w:val="30"/>
    <w:qFormat/>
    <w:rsid w:val="00DD66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6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6C9"/>
    <w:rPr>
      <w:smallCaps/>
      <w:color w:val="auto"/>
      <w:u w:val="single"/>
    </w:rPr>
  </w:style>
  <w:style w:type="character" w:styleId="IntenseReference">
    <w:name w:val="Intense Reference"/>
    <w:basedOn w:val="DefaultParagraphFont"/>
    <w:uiPriority w:val="32"/>
    <w:qFormat/>
    <w:rsid w:val="00DD66C9"/>
    <w:rPr>
      <w:b/>
      <w:bCs/>
      <w:smallCaps/>
      <w:color w:val="auto"/>
      <w:spacing w:val="5"/>
      <w:u w:val="single"/>
    </w:rPr>
  </w:style>
  <w:style w:type="paragraph" w:customStyle="1" w:styleId="2ColumnHeading">
    <w:name w:val="2Column Heading"/>
    <w:basedOn w:val="BodyText"/>
    <w:qFormat/>
    <w:rsid w:val="00DD66C9"/>
    <w:pPr>
      <w:spacing w:after="60"/>
      <w:ind w:left="-2268"/>
    </w:pPr>
    <w:rPr>
      <w:b/>
    </w:rPr>
  </w:style>
  <w:style w:type="paragraph" w:customStyle="1" w:styleId="Heading1TOC">
    <w:name w:val="Heading1 TOC"/>
    <w:basedOn w:val="Normal"/>
    <w:qFormat/>
    <w:rsid w:val="00DD66C9"/>
    <w:pPr>
      <w:spacing w:before="240" w:after="120"/>
    </w:pPr>
    <w:rPr>
      <w:rFonts w:ascii="Times New Roman" w:hAnsi="Times New Roman"/>
      <w:b/>
      <w:sz w:val="32"/>
    </w:rPr>
  </w:style>
  <w:style w:type="paragraph" w:customStyle="1" w:styleId="Heading2TOC">
    <w:name w:val="Heading2 TOC"/>
    <w:basedOn w:val="Normal"/>
    <w:qFormat/>
    <w:rsid w:val="00DD66C9"/>
    <w:pPr>
      <w:spacing w:before="240" w:after="60"/>
    </w:pPr>
    <w:rPr>
      <w:rFonts w:ascii="Times New Roman" w:hAnsi="Times New Roman"/>
      <w:b/>
      <w:sz w:val="28"/>
    </w:rPr>
  </w:style>
  <w:style w:type="character" w:customStyle="1" w:styleId="Underline">
    <w:name w:val="Underline"/>
    <w:basedOn w:val="DefaultParagraphFont"/>
    <w:qFormat/>
    <w:rsid w:val="00DD66C9"/>
    <w:rPr>
      <w:u w:val="single"/>
    </w:rPr>
  </w:style>
  <w:style w:type="paragraph" w:styleId="BalloonText">
    <w:name w:val="Balloon Text"/>
    <w:basedOn w:val="Normal"/>
    <w:link w:val="BalloonTextChar"/>
    <w:rsid w:val="00DD66C9"/>
    <w:rPr>
      <w:rFonts w:ascii="Tahoma" w:hAnsi="Tahoma" w:cs="Tahoma"/>
      <w:sz w:val="16"/>
      <w:szCs w:val="16"/>
    </w:rPr>
  </w:style>
  <w:style w:type="character" w:customStyle="1" w:styleId="BalloonTextChar">
    <w:name w:val="Balloon Text Char"/>
    <w:basedOn w:val="DefaultParagraphFont"/>
    <w:link w:val="BalloonText"/>
    <w:rsid w:val="00DD66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6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66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6C9"/>
    <w:rPr>
      <w:b/>
      <w:color w:val="660033"/>
      <w:spacing w:val="0"/>
    </w:rPr>
  </w:style>
  <w:style w:type="paragraph" w:customStyle="1" w:styleId="Nameditemlist">
    <w:name w:val="Named item list"/>
    <w:basedOn w:val="BodyText"/>
    <w:qFormat/>
    <w:rsid w:val="00DD66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1386</Words>
  <Characters>8809</Characters>
  <Application>Microsoft Office Word</Application>
  <DocSecurity>0</DocSecurity>
  <Lines>295</Lines>
  <Paragraphs>181</Paragraphs>
  <ScaleCrop>false</ScaleCrop>
  <Company>Author-it Software Corporation Ltd.</Company>
  <LinksUpToDate>false</LinksUpToDate>
  <CharactersWithSpaces>10128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PSPIM502A Manage case direction and outcomes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2012-11-01T17:05:00Z</dcterms:created>
  <dcterms:modified xsi:type="dcterms:W3CDTF">2012-11-01T17:05:00Z</dcterms:modified>
</cp:coreProperties>
</file>