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CD8" w:rsidP="00174CD8">
      <w:pPr>
        <w:pStyle w:val="Title"/>
      </w:pPr>
      <w:bookmarkStart w:id="0" w:name="_GoBack"/>
      <w:bookmarkEnd w:id="0"/>
      <w:r>
        <w:fldChar w:fldCharType="begin"/>
      </w:r>
      <w:r>
        <w:instrText xml:space="preserve"> TITLE   \* MERGEFORMAT </w:instrText>
      </w:r>
      <w:r>
        <w:fldChar w:fldCharType="separate"/>
      </w:r>
      <w:r>
        <w:t>PSPHR506A Coordinate employment relations</w:t>
      </w:r>
      <w:r>
        <w:fldChar w:fldCharType="end"/>
      </w:r>
    </w:p>
    <w:p w:rsidR="00174CD8" w:rsidP="00174CD8">
      <w:pPr>
        <w:pStyle w:val="Version"/>
        <w:sectPr w:rsidSect="002F1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F177C" w:rsidP="002F177C">
      <w:pPr>
        <w:pStyle w:val="SuperHeading"/>
      </w:pPr>
      <w:r w:rsidRPr="002F177C">
        <w:t xml:space="preserve">PSPHR506A Coordinate employment relations </w:t>
      </w:r>
    </w:p>
    <w:p w:rsidR="00000000" w:rsidRPr="002F177C" w:rsidP="002F177C">
      <w:pPr>
        <w:pStyle w:val="SuperHeading"/>
      </w:pPr>
    </w:p>
    <w:p w:rsidR="00000000" w:rsidRPr="002F177C" w:rsidP="002F177C">
      <w:pPr>
        <w:pStyle w:val="Heading1"/>
      </w:pPr>
      <w:bookmarkStart w:id="1" w:name="O_495990"/>
      <w:bookmarkEnd w:id="1"/>
      <w:r w:rsidRPr="002F177C">
        <w:t>Modification History</w:t>
      </w:r>
    </w:p>
    <w:tbl>
      <w:tblPr>
        <w:tblW w:w="0" w:type="auto"/>
        <w:tblLayout w:type="fixed"/>
        <w:tblCellMar>
          <w:left w:w="62" w:type="dxa"/>
          <w:right w:w="62" w:type="dxa"/>
        </w:tblCellMar>
        <w:tblLook w:val="0000"/>
      </w:tblPr>
      <w:tblGrid>
        <w:gridCol w:w="3052"/>
        <w:gridCol w:w="3052"/>
        <w:gridCol w:w="3052"/>
      </w:tblGrid>
      <w:tr w:rsidTr="00174C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7C" w:rsidP="002F177C">
            <w:pPr>
              <w:pStyle w:val="BodyText"/>
            </w:pPr>
            <w:r w:rsidRPr="002F177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7C" w:rsidP="002F177C">
            <w:pPr>
              <w:pStyle w:val="BodyText"/>
            </w:pPr>
            <w:r w:rsidRPr="002F177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rPr>
                <w:rStyle w:val="SpecialBold"/>
              </w:rPr>
              <w:t>Comments</w:t>
            </w:r>
          </w:p>
        </w:tc>
      </w:tr>
      <w:tr w:rsidTr="00174C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Unit descriptor edited.</w:t>
            </w:r>
          </w:p>
        </w:tc>
      </w:tr>
      <w:tr w:rsidTr="00174C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Layout adjusted. No changes to content.</w:t>
            </w:r>
          </w:p>
        </w:tc>
      </w:tr>
      <w:tr w:rsidTr="00174CD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77C">
            <w:pPr>
              <w:pStyle w:val="BodyText"/>
              <w:rPr>
                <w:lang w:val="en-NZ"/>
              </w:rPr>
            </w:pPr>
            <w:r w:rsidRPr="002F177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77C" w:rsidP="002F177C">
            <w:pPr>
              <w:pStyle w:val="BodyText"/>
            </w:pPr>
            <w:r w:rsidRPr="002F177C">
              <w:t>Primary release.</w:t>
            </w:r>
          </w:p>
        </w:tc>
      </w:tr>
    </w:tbl>
    <w:p w:rsidR="00174CD8" w:rsidP="002F177C">
      <w:pPr>
        <w:pStyle w:val="BodyText"/>
      </w:pPr>
    </w:p>
    <w:p w:rsidR="00174CD8" w:rsidP="002F177C">
      <w:pPr>
        <w:pStyle w:val="BodyText"/>
      </w:pPr>
    </w:p>
    <w:p w:rsidR="00000000" w:rsidRPr="002F177C" w:rsidP="002F177C">
      <w:pPr>
        <w:pStyle w:val="Heading1"/>
      </w:pPr>
      <w:bookmarkStart w:id="2" w:name="O_495991"/>
      <w:bookmarkEnd w:id="2"/>
      <w:r w:rsidRPr="002F177C">
        <w:t>Unit Descriptor</w:t>
      </w:r>
    </w:p>
    <w:p w:rsidR="00000000" w:rsidRPr="002F177C" w:rsidP="002F177C">
      <w:pPr>
        <w:pStyle w:val="BodyText"/>
      </w:pPr>
      <w:r w:rsidRPr="002F177C">
        <w:t xml:space="preserve">This unit covers the implementation of strategies for employment relations </w:t>
      </w:r>
      <w:r w:rsidRPr="002F177C">
        <w:t>to underpin an effective and harmonious working environment. It includes contributing to employment arrangements, advising on employment matters and coordinating grievance procedures.</w:t>
      </w:r>
    </w:p>
    <w:p w:rsidR="00000000" w:rsidRPr="002F177C" w:rsidP="002F177C">
      <w:pPr>
        <w:pStyle w:val="BodyText"/>
      </w:pPr>
      <w:r w:rsidRPr="002F177C">
        <w:t>In practice, coordinating employment relations overlaps with other gener</w:t>
      </w:r>
      <w:r w:rsidRPr="002F177C">
        <w:t>alist and specialist work activities in the public sector such as working ethically, complying with legislation, promoting diversity, coordinating resources.</w:t>
      </w:r>
    </w:p>
    <w:p w:rsidR="00174CD8" w:rsidP="002F177C">
      <w:pPr>
        <w:pStyle w:val="BodyText"/>
      </w:pPr>
      <w:r w:rsidRPr="002F177C">
        <w:t>No licensing, legislative, regulatory or certification requirements apply to this unit at the time</w:t>
      </w:r>
      <w:r w:rsidRPr="002F177C">
        <w:t xml:space="preserve"> of publication</w:t>
      </w:r>
    </w:p>
    <w:p w:rsidR="00174CD8" w:rsidP="002F177C">
      <w:pPr>
        <w:pStyle w:val="BodyText"/>
      </w:pPr>
    </w:p>
    <w:p w:rsidR="00000000" w:rsidRPr="002F177C" w:rsidP="002F177C">
      <w:pPr>
        <w:pStyle w:val="Heading1"/>
      </w:pPr>
      <w:bookmarkStart w:id="3" w:name="O_496000"/>
      <w:bookmarkEnd w:id="3"/>
      <w:r w:rsidRPr="002F177C">
        <w:t>Application of the Unit</w:t>
      </w:r>
    </w:p>
    <w:p w:rsidR="00000000" w:rsidRPr="002F177C" w:rsidP="002F177C">
      <w:pPr>
        <w:pStyle w:val="BodyText"/>
      </w:pPr>
      <w:r w:rsidRPr="002F177C">
        <w:t>Not applicable.</w:t>
      </w:r>
    </w:p>
    <w:p w:rsidR="00000000" w:rsidRPr="002F177C" w:rsidP="002F177C">
      <w:pPr>
        <w:pStyle w:val="AllowPageBreak"/>
      </w:pPr>
    </w:p>
    <w:p w:rsidR="00000000" w:rsidRPr="002F177C" w:rsidP="002F177C">
      <w:pPr>
        <w:pStyle w:val="Heading1"/>
      </w:pPr>
      <w:bookmarkStart w:id="4" w:name="O_495992"/>
      <w:bookmarkEnd w:id="4"/>
      <w:r w:rsidRPr="002F177C">
        <w:t>Licensing/Regulatory Information</w:t>
      </w:r>
    </w:p>
    <w:p w:rsidR="00000000" w:rsidRPr="002F177C" w:rsidP="002F177C">
      <w:pPr>
        <w:pStyle w:val="BodyText"/>
      </w:pPr>
      <w:r w:rsidRPr="002F177C">
        <w:t>Not applicable.</w:t>
      </w:r>
    </w:p>
    <w:p w:rsidR="00000000" w:rsidRPr="002F177C" w:rsidP="002F177C">
      <w:pPr>
        <w:pStyle w:val="AllowPageBreak"/>
      </w:pPr>
    </w:p>
    <w:p w:rsidR="00000000" w:rsidRPr="002F177C" w:rsidP="002F177C">
      <w:pPr>
        <w:pStyle w:val="Heading1"/>
      </w:pPr>
      <w:bookmarkStart w:id="5" w:name="O_495987"/>
      <w:bookmarkEnd w:id="5"/>
      <w:r w:rsidRPr="002F177C">
        <w:t>Pre-Requisites</w:t>
      </w:r>
    </w:p>
    <w:p w:rsidR="00000000" w:rsidRPr="002F177C" w:rsidP="002F177C">
      <w:pPr>
        <w:pStyle w:val="BodyText"/>
      </w:pPr>
      <w:r w:rsidRPr="002F177C">
        <w:t>Not applicable.</w:t>
      </w:r>
    </w:p>
    <w:p w:rsidR="00000000" w:rsidRPr="002F177C" w:rsidP="002F177C">
      <w:pPr>
        <w:pStyle w:val="AllowPageBreak"/>
      </w:pPr>
    </w:p>
    <w:p w:rsidR="00000000" w:rsidRPr="002F177C" w:rsidP="002F177C">
      <w:pPr>
        <w:pStyle w:val="Heading1"/>
      </w:pPr>
      <w:bookmarkStart w:id="6" w:name="O_495996"/>
      <w:bookmarkEnd w:id="6"/>
      <w:r w:rsidRPr="002F177C">
        <w:t>Employability Skills Information</w:t>
      </w:r>
    </w:p>
    <w:p w:rsidR="00000000" w:rsidRPr="002F177C" w:rsidP="002F177C">
      <w:pPr>
        <w:pStyle w:val="BodyText"/>
      </w:pPr>
      <w:r w:rsidRPr="002F177C">
        <w:t>This unit contains</w:t>
      </w:r>
      <w:r w:rsidRPr="002F177C">
        <w:t xml:space="preserve"> employability skills.</w:t>
      </w:r>
    </w:p>
    <w:p w:rsidR="00000000" w:rsidRPr="002F177C" w:rsidP="002F177C">
      <w:pPr>
        <w:pStyle w:val="AllowPageBreak"/>
      </w:pPr>
    </w:p>
    <w:p w:rsidR="00000000" w:rsidRPr="002F177C" w:rsidP="002F177C">
      <w:pPr>
        <w:pStyle w:val="Heading1"/>
      </w:pPr>
      <w:bookmarkStart w:id="7" w:name="O_495997"/>
      <w:bookmarkEnd w:id="7"/>
      <w:r w:rsidRPr="002F177C">
        <w:t>Elements and Performance Criteria Pre-Content</w:t>
      </w:r>
    </w:p>
    <w:tbl>
      <w:tblPr>
        <w:tblW w:w="9322" w:type="dxa"/>
        <w:tblLayout w:type="fixed"/>
        <w:tblCellMar>
          <w:left w:w="62" w:type="dxa"/>
          <w:right w:w="62" w:type="dxa"/>
        </w:tblCellMar>
        <w:tblLook w:val="0000"/>
      </w:tblPr>
      <w:tblGrid>
        <w:gridCol w:w="2660"/>
        <w:gridCol w:w="6662"/>
      </w:tblGrid>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t xml:space="preserve">Together, performance criteria specify the requirements for competent performance. Text in </w:t>
            </w:r>
            <w:r w:rsidRPr="002F177C">
              <w:rPr>
                <w:rStyle w:val="BoldandItalics"/>
              </w:rPr>
              <w:t>bold italics</w:t>
            </w:r>
            <w:r w:rsidRPr="002F177C">
              <w:rPr>
                <w:rStyle w:val="Emphasis"/>
              </w:rPr>
              <w:t xml:space="preserve"> </w:t>
            </w:r>
            <w:r w:rsidRPr="002F177C">
              <w:t>is explained in the Range Statement following.</w:t>
            </w:r>
          </w:p>
        </w:tc>
      </w:tr>
    </w:tbl>
    <w:p w:rsidR="00000000" w:rsidRPr="002F177C" w:rsidP="002F177C">
      <w:pPr>
        <w:pStyle w:val="BodyText"/>
      </w:pPr>
    </w:p>
    <w:p w:rsidR="00000000" w:rsidRPr="002F177C" w:rsidP="002F177C">
      <w:pPr>
        <w:pStyle w:val="AllowPageBreak"/>
      </w:pPr>
    </w:p>
    <w:p w:rsidR="00000000" w:rsidRPr="002F177C" w:rsidP="002F177C">
      <w:pPr>
        <w:pStyle w:val="Heading1"/>
      </w:pPr>
      <w:bookmarkStart w:id="8" w:name="O_495998"/>
      <w:bookmarkEnd w:id="8"/>
      <w:r w:rsidRPr="002F177C">
        <w:t>Elements and Performance Criteria</w:t>
      </w:r>
    </w:p>
    <w:tbl>
      <w:tblPr>
        <w:tblW w:w="9322" w:type="dxa"/>
        <w:tblLayout w:type="fixed"/>
        <w:tblCellMar>
          <w:left w:w="62" w:type="dxa"/>
          <w:right w:w="62" w:type="dxa"/>
        </w:tblCellMar>
        <w:tblLook w:val="0000"/>
      </w:tblPr>
      <w:tblGrid>
        <w:gridCol w:w="2660"/>
        <w:gridCol w:w="6662"/>
      </w:tblGrid>
      <w:tr w:rsidTr="00174CD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SpecialBold"/>
              </w:rPr>
              <w:t>PERFORMANCE CRITERIA</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List"/>
              <w:rPr>
                <w:lang w:val="en-NZ"/>
              </w:rPr>
            </w:pPr>
            <w:r w:rsidRPr="002F177C">
              <w:rPr>
                <w:rStyle w:val="SpecialBold"/>
              </w:rPr>
              <w:t>1</w:t>
            </w:r>
            <w:r w:rsidRPr="002F177C">
              <w:t xml:space="preserve">.  </w:t>
            </w:r>
            <w:r w:rsidRPr="002F177C">
              <w:tab/>
            </w:r>
            <w:r w:rsidRPr="002F177C">
              <w:rPr>
                <w:rStyle w:val="SpecialBold"/>
              </w:rPr>
              <w:t>Contribute to employment arrangements</w:t>
            </w:r>
            <w:r w:rsidRPr="002F177C">
              <w:t xml:space="preserve"> </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
            </w:pPr>
            <w:r w:rsidRPr="002F177C">
              <w:t>1.1</w:t>
            </w:r>
            <w:r w:rsidRPr="002F177C">
              <w:tab/>
              <w:t>Ongoing liaison with</w:t>
            </w:r>
            <w:r w:rsidRPr="002F177C">
              <w:rPr>
                <w:rStyle w:val="BoldandItalics"/>
              </w:rPr>
              <w:t xml:space="preserve"> industrial parties </w:t>
            </w:r>
            <w:r w:rsidRPr="002F177C">
              <w:t>is undertaken to</w:t>
            </w:r>
            <w:r w:rsidRPr="002F177C">
              <w:t xml:space="preserve"> identify employment related </w:t>
            </w:r>
            <w:r w:rsidRPr="002F177C">
              <w:rPr>
                <w:rStyle w:val="BoldandItalics"/>
              </w:rPr>
              <w:t>issues</w:t>
            </w:r>
            <w:r w:rsidRPr="002F177C">
              <w:t>, and action to respond is initiated in accordance with organisational policy and procedures.</w:t>
            </w:r>
          </w:p>
          <w:p w:rsidR="00000000" w:rsidRPr="002F177C" w:rsidP="002F177C">
            <w:pPr>
              <w:pStyle w:val="List"/>
            </w:pPr>
            <w:r w:rsidRPr="002F177C">
              <w:t>1.2</w:t>
            </w:r>
            <w:r w:rsidRPr="002F177C">
              <w:tab/>
              <w:t xml:space="preserve">Workforce data is analysed to identify strengths, weaknesses and </w:t>
            </w:r>
            <w:r w:rsidRPr="002F177C">
              <w:rPr>
                <w:rStyle w:val="BoldandItalics"/>
              </w:rPr>
              <w:t xml:space="preserve">trends </w:t>
            </w:r>
            <w:r w:rsidRPr="002F177C">
              <w:t>to inform negotiations on employment arrangements.</w:t>
            </w:r>
          </w:p>
          <w:p w:rsidR="00000000" w:rsidP="002F177C">
            <w:pPr>
              <w:pStyle w:val="List"/>
              <w:rPr>
                <w:lang w:val="en-NZ"/>
              </w:rPr>
            </w:pPr>
            <w:r w:rsidRPr="002F177C">
              <w:t>1.3</w:t>
            </w:r>
            <w:r w:rsidRPr="002F177C">
              <w:tab/>
            </w:r>
            <w:r w:rsidRPr="002F177C">
              <w:rPr>
                <w:rStyle w:val="BoldandItalics"/>
              </w:rPr>
              <w:t xml:space="preserve">Support </w:t>
            </w:r>
            <w:r w:rsidRPr="002F177C">
              <w:t xml:space="preserve">is provided as required for negotiations relating to </w:t>
            </w:r>
            <w:r w:rsidRPr="002F177C">
              <w:rPr>
                <w:rStyle w:val="BoldandItalics"/>
              </w:rPr>
              <w:t>employment arrangements</w:t>
            </w:r>
            <w:r w:rsidRPr="002F177C">
              <w:t>, and information is provided on the outcomes and implications for management and staff.</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List"/>
              <w:rPr>
                <w:lang w:val="en-NZ"/>
              </w:rPr>
            </w:pPr>
            <w:r w:rsidRPr="002F177C">
              <w:rPr>
                <w:rStyle w:val="SpecialBold"/>
              </w:rPr>
              <w:t>2</w:t>
            </w:r>
            <w:r w:rsidRPr="002F177C">
              <w:t xml:space="preserve">.  </w:t>
            </w:r>
            <w:r w:rsidRPr="002F177C">
              <w:tab/>
            </w:r>
            <w:r w:rsidRPr="002F177C">
              <w:rPr>
                <w:rStyle w:val="SpecialBold"/>
              </w:rPr>
              <w:t>Advise on employment matters</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
            </w:pPr>
            <w:r w:rsidRPr="002F177C">
              <w:t>2.1</w:t>
            </w:r>
            <w:r w:rsidRPr="002F177C">
              <w:tab/>
              <w:t>Employment structures are implemented an</w:t>
            </w:r>
            <w:r w:rsidRPr="002F177C">
              <w:t>d guidance on classification and re-classification is provided to managers and staff in accordance with</w:t>
            </w:r>
            <w:r w:rsidRPr="002F177C">
              <w:rPr>
                <w:rStyle w:val="BoldandItalics"/>
              </w:rPr>
              <w:t xml:space="preserve"> legislation, organisational policy and procedures</w:t>
            </w:r>
            <w:r w:rsidRPr="002F177C">
              <w:rPr>
                <w:rStyle w:val="Emphasis"/>
              </w:rPr>
              <w:t>.</w:t>
            </w:r>
          </w:p>
          <w:p w:rsidR="00000000" w:rsidRPr="002F177C" w:rsidP="002F177C">
            <w:pPr>
              <w:pStyle w:val="List"/>
            </w:pPr>
            <w:r w:rsidRPr="002F177C">
              <w:t>2.2</w:t>
            </w:r>
            <w:r w:rsidRPr="002F177C">
              <w:tab/>
              <w:t>Interpretation and ongoing advice is provided on individuals'</w:t>
            </w:r>
            <w:r w:rsidRPr="002F177C">
              <w:rPr>
                <w:rStyle w:val="BoldandItalics"/>
              </w:rPr>
              <w:t xml:space="preserve"> terms and conditions of employment</w:t>
            </w:r>
            <w:r w:rsidRPr="002F177C">
              <w:t xml:space="preserve"> in accordance with employment. arrangements.</w:t>
            </w:r>
          </w:p>
          <w:p w:rsidR="00000000" w:rsidRPr="002F177C" w:rsidP="002F177C">
            <w:pPr>
              <w:pStyle w:val="List"/>
            </w:pPr>
            <w:r w:rsidRPr="002F177C">
              <w:t>2.3</w:t>
            </w:r>
            <w:r w:rsidRPr="002F177C">
              <w:tab/>
            </w:r>
            <w:r w:rsidRPr="002F177C">
              <w:rPr>
                <w:rStyle w:val="BoldandItalics"/>
              </w:rPr>
              <w:t xml:space="preserve">Guidance on remuneration </w:t>
            </w:r>
            <w:r w:rsidRPr="002F177C">
              <w:t>arrangements is provided to managers and staff in accordance with jurisdictional guidelines and organisational policy and procedures.</w:t>
            </w:r>
          </w:p>
          <w:p w:rsidR="00000000" w:rsidRPr="002F177C" w:rsidP="002F177C">
            <w:pPr>
              <w:pStyle w:val="List"/>
            </w:pPr>
            <w:r w:rsidRPr="002F177C">
              <w:t>2.4</w:t>
            </w:r>
            <w:r w:rsidRPr="002F177C">
              <w:tab/>
              <w:t>Requirements of employment-related legislat</w:t>
            </w:r>
            <w:r w:rsidRPr="002F177C">
              <w:t>ion, industrial instruments, policies and procedures are identified and communicated to managers and staff to ensure compliance.</w:t>
            </w:r>
          </w:p>
          <w:p w:rsidR="00000000" w:rsidP="002F177C">
            <w:pPr>
              <w:pStyle w:val="List"/>
              <w:rPr>
                <w:lang w:val="en-NZ"/>
              </w:rPr>
            </w:pPr>
            <w:r w:rsidRPr="002F177C">
              <w:t>2.5</w:t>
            </w:r>
            <w:r w:rsidRPr="002F177C">
              <w:tab/>
              <w:t>Advice is provided and</w:t>
            </w:r>
            <w:r w:rsidRPr="002F177C">
              <w:rPr>
                <w:rStyle w:val="BoldandItalics"/>
              </w:rPr>
              <w:t xml:space="preserve"> disciplinary procedures</w:t>
            </w:r>
            <w:r w:rsidRPr="002F177C">
              <w:t xml:space="preserve"> are implemented as required in accordance with organisational policy and pro</w:t>
            </w:r>
            <w:r w:rsidRPr="002F177C">
              <w:t>cedures.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List"/>
              <w:rPr>
                <w:lang w:val="en-NZ"/>
              </w:rPr>
            </w:pPr>
            <w:r w:rsidRPr="002F177C">
              <w:rPr>
                <w:rStyle w:val="SpecialBold"/>
              </w:rPr>
              <w:t>3</w:t>
            </w:r>
            <w:r w:rsidRPr="002F177C">
              <w:t xml:space="preserve">.  </w:t>
            </w:r>
            <w:r w:rsidRPr="002F177C">
              <w:tab/>
            </w:r>
            <w:r w:rsidRPr="002F177C">
              <w:rPr>
                <w:rStyle w:val="SpecialBold"/>
              </w:rPr>
              <w:t>Coordinate grievance procedures</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
            </w:pPr>
            <w:r w:rsidRPr="002F177C">
              <w:t>3.1</w:t>
            </w:r>
            <w:r w:rsidRPr="002F177C">
              <w:tab/>
              <w:t xml:space="preserve">Information, explanation and advice are provided to stakeholders about the organisation's </w:t>
            </w:r>
            <w:r w:rsidRPr="002F177C">
              <w:rPr>
                <w:rStyle w:val="BoldandItalics"/>
              </w:rPr>
              <w:t xml:space="preserve">procedures </w:t>
            </w:r>
            <w:r w:rsidRPr="002F177C">
              <w:t>for appeals, grievances and dispute resolution.</w:t>
            </w:r>
          </w:p>
          <w:p w:rsidR="00000000" w:rsidRPr="002F177C" w:rsidP="002F177C">
            <w:pPr>
              <w:pStyle w:val="List"/>
            </w:pPr>
            <w:r w:rsidRPr="002F177C">
              <w:t>3.2</w:t>
            </w:r>
            <w:r w:rsidRPr="002F177C">
              <w:tab/>
              <w:t>Employees are supported to use and comply with organ</w:t>
            </w:r>
            <w:r w:rsidRPr="002F177C">
              <w:t>isational dispute resolution processes in accordance with employment relations agreements, organisational policy and procedures.</w:t>
            </w:r>
          </w:p>
          <w:p w:rsidR="00000000" w:rsidRPr="002F177C" w:rsidP="002F177C">
            <w:pPr>
              <w:pStyle w:val="List"/>
            </w:pPr>
            <w:r w:rsidRPr="002F177C">
              <w:t>3.3</w:t>
            </w:r>
            <w:r w:rsidRPr="002F177C">
              <w:tab/>
              <w:t>Grievance procedures are coordinated and investigations are pursued in accordance with organisational policy and procedures</w:t>
            </w:r>
            <w:r w:rsidRPr="002F177C">
              <w:t xml:space="preserve"> to substantiate and act on/refer </w:t>
            </w:r>
            <w:r w:rsidRPr="002F177C">
              <w:rPr>
                <w:rStyle w:val="BoldandItalics"/>
              </w:rPr>
              <w:t>claims</w:t>
            </w:r>
            <w:r w:rsidRPr="002F177C">
              <w:rPr>
                <w:rStyle w:val="Emphasis"/>
              </w:rPr>
              <w:t>.</w:t>
            </w:r>
          </w:p>
          <w:p w:rsidR="00000000" w:rsidRPr="002F177C" w:rsidP="002F177C">
            <w:pPr>
              <w:pStyle w:val="List"/>
            </w:pPr>
            <w:r w:rsidRPr="002F177C">
              <w:t>3.4</w:t>
            </w:r>
            <w:r w:rsidRPr="002F177C">
              <w:tab/>
              <w:t>Grievances and disputes outside limits of authority/expertise are referred for resolution in accordance with organisational policy and procedures.</w:t>
            </w:r>
          </w:p>
        </w:tc>
      </w:tr>
    </w:tbl>
    <w:p w:rsidR="00000000" w:rsidRPr="002F177C" w:rsidP="002F177C">
      <w:pPr>
        <w:pStyle w:val="BodyText"/>
      </w:pPr>
    </w:p>
    <w:p w:rsidR="00000000" w:rsidRPr="002F177C" w:rsidP="002F177C">
      <w:pPr>
        <w:pStyle w:val="AllowPageBreak"/>
      </w:pPr>
    </w:p>
    <w:p w:rsidR="00000000" w:rsidRPr="002F177C" w:rsidP="002F177C">
      <w:pPr>
        <w:pStyle w:val="Heading1"/>
      </w:pPr>
      <w:bookmarkStart w:id="9" w:name="O_495994"/>
      <w:bookmarkEnd w:id="9"/>
      <w:r w:rsidRPr="002F177C">
        <w:t>Required Skills and Knowledge</w:t>
      </w:r>
    </w:p>
    <w:tbl>
      <w:tblPr>
        <w:tblW w:w="0" w:type="auto"/>
        <w:tblLayout w:type="fixed"/>
        <w:tblCellMar>
          <w:left w:w="62" w:type="dxa"/>
          <w:right w:w="62" w:type="dxa"/>
        </w:tblCellMar>
        <w:tblLook w:val="0000"/>
      </w:tblPr>
      <w:tblGrid>
        <w:gridCol w:w="8512"/>
        <w:gridCol w:w="41"/>
      </w:tblGrid>
      <w:tr w:rsidTr="00174CD8">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t>This section d</w:t>
            </w:r>
            <w:r w:rsidRPr="002F177C">
              <w:t>escribes the essential skills and knowledge and their level, required for this unit.</w:t>
            </w:r>
          </w:p>
        </w:tc>
      </w:tr>
      <w:tr w:rsidTr="00174CD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rPr>
                <w:rStyle w:val="SpecialBold"/>
              </w:rPr>
              <w:t>Knowledge requirements</w:t>
            </w:r>
          </w:p>
          <w:p w:rsidR="00000000" w:rsidRPr="002F177C" w:rsidP="002F177C">
            <w:pPr>
              <w:pStyle w:val="BodyText"/>
            </w:pPr>
            <w:r w:rsidRPr="002F177C">
              <w:t>Look for evidence that confirms knowledge and understanding of:</w:t>
            </w:r>
          </w:p>
          <w:p w:rsidR="00000000" w:rsidRPr="002F177C" w:rsidP="002F177C">
            <w:pPr>
              <w:pStyle w:val="ListBullet2"/>
            </w:pPr>
            <w:r w:rsidRPr="002F177C">
              <w:t>Australian industrial relations system/s, legislation and processes</w:t>
            </w:r>
          </w:p>
          <w:p w:rsidR="00000000" w:rsidRPr="002F177C" w:rsidP="002F177C">
            <w:pPr>
              <w:pStyle w:val="ListBullet2"/>
            </w:pPr>
            <w:r w:rsidRPr="002F177C">
              <w:t>unions and tribunals</w:t>
            </w:r>
          </w:p>
          <w:p w:rsidR="00000000" w:rsidRPr="002F177C" w:rsidP="002F177C">
            <w:pPr>
              <w:pStyle w:val="ListBullet2"/>
            </w:pPr>
            <w:r w:rsidRPr="002F177C">
              <w:t>industrial instruments: awards, agreements, enterprise bargaining arrangements relevant to the organisation</w:t>
            </w:r>
          </w:p>
          <w:p w:rsidR="00000000" w:rsidRPr="002F177C" w:rsidP="002F177C">
            <w:pPr>
              <w:pStyle w:val="ListBullet2"/>
            </w:pPr>
            <w:r w:rsidRPr="002F177C">
              <w:t>range of possible employee entitlements and conditions</w:t>
            </w:r>
          </w:p>
          <w:p w:rsidR="00000000" w:rsidRPr="002F177C" w:rsidP="002F177C">
            <w:pPr>
              <w:pStyle w:val="ListBullet2"/>
            </w:pPr>
            <w:r w:rsidRPr="002F177C">
              <w:t>workforce development as an employee entitlement</w:t>
            </w:r>
          </w:p>
          <w:p w:rsidR="00000000" w:rsidRPr="002F177C" w:rsidP="002F177C">
            <w:pPr>
              <w:pStyle w:val="ListBullet2"/>
            </w:pPr>
            <w:r w:rsidRPr="002F177C">
              <w:t>human resource policies</w:t>
            </w:r>
            <w:r w:rsidRPr="002F177C">
              <w:t xml:space="preserve"> and practices relating to employment relations </w:t>
            </w:r>
          </w:p>
          <w:p w:rsidR="00000000" w:rsidRPr="002F177C" w:rsidP="002F177C">
            <w:pPr>
              <w:pStyle w:val="ListBullet2"/>
            </w:pPr>
            <w:r w:rsidRPr="002F177C">
              <w:t>privacy legislation and its application</w:t>
            </w:r>
          </w:p>
          <w:p w:rsidR="00000000" w:rsidRPr="002F177C" w:rsidP="002F177C">
            <w:pPr>
              <w:pStyle w:val="ListBullet2"/>
            </w:pPr>
            <w:r w:rsidRPr="002F177C">
              <w:t>jurisdictional legislation applying to human resources including occupational health and safety and environment</w:t>
            </w:r>
          </w:p>
          <w:p w:rsidR="00000000" w:rsidRPr="002F177C" w:rsidP="002F177C">
            <w:pPr>
              <w:pStyle w:val="ListBullet2"/>
            </w:pPr>
            <w:r w:rsidRPr="002F177C">
              <w:t>equal employment opportunity, equity and diversity prin</w:t>
            </w:r>
            <w:r w:rsidRPr="002F177C">
              <w:t>ciples</w:t>
            </w:r>
          </w:p>
          <w:p w:rsidR="00000000" w:rsidP="002F177C">
            <w:pPr>
              <w:pStyle w:val="ListBullet2"/>
              <w:rPr>
                <w:lang w:val="en-NZ"/>
              </w:rPr>
            </w:pPr>
            <w:r w:rsidRPr="002F177C">
              <w:t xml:space="preserve">national and/or international models of good practice in employment relations </w:t>
            </w:r>
          </w:p>
        </w:tc>
      </w:tr>
      <w:tr w:rsidTr="00174CD8">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rPr>
                <w:rStyle w:val="SpecialBold"/>
              </w:rPr>
              <w:t>Skill requirements</w:t>
            </w:r>
          </w:p>
          <w:p w:rsidR="00000000" w:rsidRPr="002F177C" w:rsidP="002F177C">
            <w:pPr>
              <w:pStyle w:val="BodyText"/>
            </w:pPr>
            <w:r w:rsidRPr="002F177C">
              <w:t>Look for evidence that confirms skills in:</w:t>
            </w:r>
          </w:p>
          <w:p w:rsidR="00000000" w:rsidRPr="002F177C" w:rsidP="002F177C">
            <w:pPr>
              <w:pStyle w:val="ListBullet2"/>
            </w:pPr>
            <w:r w:rsidRPr="002F177C">
              <w:t>undertaking effective liaison, negotiation and consultation with stakeholders</w:t>
            </w:r>
          </w:p>
          <w:p w:rsidR="00000000" w:rsidRPr="002F177C" w:rsidP="002F177C">
            <w:pPr>
              <w:pStyle w:val="ListBullet2"/>
            </w:pPr>
            <w:r w:rsidRPr="002F177C">
              <w:t>using a variety of words and language structures to explain ideas to different audiences</w:t>
            </w:r>
          </w:p>
          <w:p w:rsidR="00000000" w:rsidRPr="002F177C" w:rsidP="002F177C">
            <w:pPr>
              <w:pStyle w:val="ListBullet2"/>
            </w:pPr>
            <w:r w:rsidRPr="002F177C">
              <w:t>interpreting and explaining formal documents and assisting others to apply them in the workplace</w:t>
            </w:r>
          </w:p>
          <w:p w:rsidR="00000000" w:rsidRPr="002F177C" w:rsidP="002F177C">
            <w:pPr>
              <w:pStyle w:val="ListBullet2"/>
            </w:pPr>
            <w:r w:rsidRPr="002F177C">
              <w:t>preparing written advice and reports requiring reasoning and precision</w:t>
            </w:r>
            <w:r w:rsidRPr="002F177C">
              <w:t xml:space="preserve"> of expression</w:t>
            </w:r>
          </w:p>
          <w:p w:rsidR="00000000" w:rsidRPr="002F177C" w:rsidP="002F177C">
            <w:pPr>
              <w:pStyle w:val="ListBullet2"/>
            </w:pPr>
            <w:r w:rsidRPr="002F177C">
              <w:t>responding to diversity, including gender and disability</w:t>
            </w:r>
          </w:p>
        </w:tc>
      </w:tr>
    </w:tbl>
    <w:p w:rsidR="00000000" w:rsidRPr="002F177C" w:rsidP="002F177C">
      <w:pPr>
        <w:pStyle w:val="BodyText"/>
      </w:pPr>
    </w:p>
    <w:p w:rsidR="00000000" w:rsidRPr="002F177C" w:rsidP="002F177C">
      <w:pPr>
        <w:pStyle w:val="AllowPageBreak"/>
      </w:pPr>
    </w:p>
    <w:p w:rsidR="00000000" w:rsidRPr="002F177C" w:rsidP="002F177C">
      <w:pPr>
        <w:pStyle w:val="Heading1"/>
      </w:pPr>
      <w:bookmarkStart w:id="10" w:name="O_495995"/>
      <w:bookmarkEnd w:id="10"/>
      <w:r w:rsidRPr="002F177C">
        <w:t>Evidence Guide</w:t>
      </w:r>
    </w:p>
    <w:tbl>
      <w:tblPr>
        <w:tblW w:w="9322" w:type="dxa"/>
        <w:tblLayout w:type="fixed"/>
        <w:tblCellMar>
          <w:left w:w="62" w:type="dxa"/>
          <w:right w:w="62" w:type="dxa"/>
        </w:tblCellMar>
        <w:tblLook w:val="0000"/>
      </w:tblPr>
      <w:tblGrid>
        <w:gridCol w:w="2660"/>
        <w:gridCol w:w="6662"/>
      </w:tblGrid>
      <w:tr w:rsidTr="00174CD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t>The Evidence Guide specifies the evidence required to demonstrate achievement in the unit of competency as a whole. It must be read in conjunction wit</w:t>
            </w:r>
            <w:r w:rsidRPr="002F177C">
              <w:t>h the Unit descriptor, Performance Criteria, the Range Statement and the Assessment Guidelines for the Public Sector Training Package.</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rPr>
                <w:rStyle w:val="SpecialBold"/>
              </w:rPr>
              <w:t>Units to be assessed together</w:t>
            </w:r>
            <w:r w:rsidRPr="002F177C">
              <w:t xml:space="preserve"> </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rPr>
                <w:rStyle w:val="Emphasis"/>
              </w:rPr>
              <w:t>Pre</w:t>
            </w:r>
            <w:r w:rsidRPr="002F177C">
              <w:t>-</w:t>
            </w:r>
            <w:r w:rsidRPr="002F177C">
              <w:rPr>
                <w:rStyle w:val="Emphasis"/>
              </w:rPr>
              <w:t>requisite</w:t>
            </w:r>
            <w:r w:rsidRPr="002F177C">
              <w:t xml:space="preserve"> units that must be achieved prior to this unit:</w:t>
            </w:r>
            <w:r w:rsidRPr="002F177C">
              <w:rPr>
                <w:rStyle w:val="Emphasis"/>
              </w:rPr>
              <w:t>Nil</w:t>
            </w:r>
          </w:p>
          <w:p w:rsidR="00000000" w:rsidRPr="002F177C" w:rsidP="002F177C">
            <w:pPr>
              <w:pStyle w:val="ListBullet2"/>
            </w:pPr>
            <w:r w:rsidRPr="002F177C">
              <w:rPr>
                <w:rStyle w:val="Emphasis"/>
              </w:rPr>
              <w:t>Co</w:t>
            </w:r>
            <w:r w:rsidRPr="002F177C">
              <w:t>-</w:t>
            </w:r>
            <w:r w:rsidRPr="002F177C">
              <w:rPr>
                <w:rStyle w:val="Emphasis"/>
              </w:rPr>
              <w:t>requisite</w:t>
            </w:r>
            <w:r w:rsidRPr="002F177C">
              <w:t xml:space="preserve"> units that must be assessed with this unit:</w:t>
            </w:r>
            <w:r w:rsidRPr="002F177C">
              <w:rPr>
                <w:rStyle w:val="Emphasis"/>
              </w:rPr>
              <w:t>Nil</w:t>
            </w:r>
          </w:p>
          <w:p w:rsidR="00000000" w:rsidRPr="002F177C" w:rsidP="002F177C">
            <w:pPr>
              <w:pStyle w:val="ListBullet2"/>
            </w:pPr>
            <w:r w:rsidRPr="002F177C">
              <w:rPr>
                <w:rStyle w:val="Emphasis"/>
              </w:rPr>
              <w:t>Co</w:t>
            </w:r>
            <w:r w:rsidRPr="002F177C">
              <w:t>-</w:t>
            </w:r>
            <w:r w:rsidRPr="002F177C">
              <w:rPr>
                <w:rStyle w:val="Emphasis"/>
              </w:rPr>
              <w:t>assessed units</w:t>
            </w:r>
            <w:r w:rsidRPr="002F177C">
              <w:t xml:space="preserve"> that may be assessed with this unit to increase the efficiency and realism of the assessment process include, but are not limited to:</w:t>
            </w:r>
          </w:p>
          <w:p w:rsidR="00000000" w:rsidRPr="002F177C" w:rsidP="002F177C">
            <w:pPr>
              <w:pStyle w:val="ListBullet3"/>
            </w:pPr>
            <w:r w:rsidRPr="002F177C">
              <w:t>PSPETHC501B Promote the values and ethos of public serv</w:t>
            </w:r>
            <w:r w:rsidRPr="002F177C">
              <w:t>ice</w:t>
            </w:r>
          </w:p>
          <w:p w:rsidR="00000000" w:rsidRPr="002F177C" w:rsidP="002F177C">
            <w:pPr>
              <w:pStyle w:val="ListBullet3"/>
            </w:pPr>
            <w:r w:rsidRPr="002F177C">
              <w:t>PSPGOV503B Coordinate resource allocation and usage</w:t>
            </w:r>
          </w:p>
          <w:p w:rsidR="00000000" w:rsidRPr="002F177C" w:rsidP="002F177C">
            <w:pPr>
              <w:pStyle w:val="ListBullet3"/>
            </w:pPr>
            <w:r w:rsidRPr="002F177C">
              <w:t xml:space="preserve">PSPGOV505A Promote diversity </w:t>
            </w:r>
          </w:p>
          <w:p w:rsidR="00000000" w:rsidRPr="002F177C" w:rsidP="002F177C">
            <w:pPr>
              <w:pStyle w:val="ListBullet3"/>
            </w:pPr>
            <w:r w:rsidRPr="002F177C">
              <w:t>PSPGOV507A Undertake negotiations</w:t>
            </w:r>
          </w:p>
          <w:p w:rsidR="00000000" w:rsidRPr="002F177C" w:rsidP="002F177C">
            <w:pPr>
              <w:pStyle w:val="ListBullet3"/>
            </w:pPr>
            <w:r w:rsidRPr="002F177C">
              <w:t>PSPGOV509A Conduct evaluations</w:t>
            </w:r>
          </w:p>
          <w:p w:rsidR="00000000" w:rsidRPr="002F177C" w:rsidP="002F177C">
            <w:pPr>
              <w:pStyle w:val="ListBullet3"/>
            </w:pPr>
            <w:r w:rsidRPr="002F177C">
              <w:t>PSPGOV511A Provide leadership</w:t>
            </w:r>
          </w:p>
          <w:p w:rsidR="00000000" w:rsidRPr="002F177C" w:rsidP="002F177C">
            <w:pPr>
              <w:pStyle w:val="ListBullet3"/>
            </w:pPr>
            <w:r w:rsidRPr="002F177C">
              <w:t>PSPGOV512A Use complex workplace communication strategies</w:t>
            </w:r>
          </w:p>
          <w:p w:rsidR="00000000" w:rsidP="002F177C">
            <w:pPr>
              <w:pStyle w:val="ListBullet3"/>
              <w:rPr>
                <w:lang w:val="en-NZ"/>
              </w:rPr>
            </w:pPr>
            <w:r w:rsidRPr="002F177C">
              <w:t>PSLEGN501B Promote compliance with legislation in the public sector</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t>In addition to integrated demonstration of the elements and their related performance criteria, look for evidence that confirms:</w:t>
            </w:r>
          </w:p>
          <w:p w:rsidR="00000000" w:rsidRPr="002F177C" w:rsidP="002F177C">
            <w:pPr>
              <w:pStyle w:val="ListBullet2"/>
            </w:pPr>
            <w:r w:rsidRPr="002F177C">
              <w:t>the knowledge requireme</w:t>
            </w:r>
            <w:r w:rsidRPr="002F177C">
              <w:t xml:space="preserve">nts of this unit </w:t>
            </w:r>
          </w:p>
          <w:p w:rsidR="00000000" w:rsidRPr="002F177C" w:rsidP="002F177C">
            <w:pPr>
              <w:pStyle w:val="ListBullet2"/>
            </w:pPr>
            <w:r w:rsidRPr="002F177C">
              <w:t>the skill requirements of this unit</w:t>
            </w:r>
          </w:p>
          <w:p w:rsidR="00000000" w:rsidRPr="002F177C" w:rsidP="002F177C">
            <w:pPr>
              <w:pStyle w:val="ListBullet2"/>
            </w:pPr>
            <w:r w:rsidRPr="002F177C">
              <w:t>application of the Employability Skills as they relate to this unit (see Employability Summaries in Qualifications Framework)</w:t>
            </w:r>
          </w:p>
          <w:p w:rsidR="00000000" w:rsidP="002F177C">
            <w:pPr>
              <w:pStyle w:val="ListBullet2"/>
              <w:rPr>
                <w:lang w:val="en-NZ"/>
              </w:rPr>
            </w:pPr>
            <w:r w:rsidRPr="002F177C">
              <w:t xml:space="preserve">coordination of employment relations in a range of (3 or more) contexts (or occasions, over time) </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t>These resources include:</w:t>
            </w:r>
          </w:p>
          <w:p w:rsidR="00000000" w:rsidRPr="002F177C" w:rsidP="002F177C">
            <w:pPr>
              <w:pStyle w:val="ListBullet2"/>
            </w:pPr>
            <w:r w:rsidRPr="002F177C">
              <w:t>legislation policies, procedures and guidelines relating to employment relations</w:t>
            </w:r>
          </w:p>
          <w:p w:rsidR="00000000" w:rsidRPr="002F177C" w:rsidP="002F177C">
            <w:pPr>
              <w:pStyle w:val="ListBullet2"/>
            </w:pPr>
            <w:r w:rsidRPr="002F177C">
              <w:t>workpl</w:t>
            </w:r>
            <w:r w:rsidRPr="002F177C">
              <w:t>ace scenarios and case studies to capture the range of situations likely to be encountered when coordinating employment relations</w:t>
            </w:r>
          </w:p>
          <w:p w:rsidR="00000000" w:rsidRPr="002F177C" w:rsidP="002F177C">
            <w:pPr>
              <w:pStyle w:val="ListBullet2"/>
            </w:pPr>
            <w:r w:rsidRPr="002F177C">
              <w:t>industrial instruments</w:t>
            </w:r>
          </w:p>
          <w:p w:rsidR="00000000" w:rsidP="002F177C">
            <w:pPr>
              <w:pStyle w:val="ListBullet2"/>
              <w:rPr>
                <w:lang w:val="en-NZ"/>
              </w:rPr>
            </w:pPr>
            <w:r w:rsidRPr="002F177C">
              <w:t>materials relating to organisational employment arrangements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t>Valid as</w:t>
            </w:r>
            <w:r w:rsidRPr="002F177C">
              <w:t xml:space="preserve">sessment of this unit requires: </w:t>
            </w:r>
          </w:p>
          <w:p w:rsidR="00000000" w:rsidRPr="002F177C" w:rsidP="002F177C">
            <w:pPr>
              <w:pStyle w:val="ListBullet2"/>
            </w:pPr>
            <w:r w:rsidRPr="002F177C">
              <w:t>a workplace environment or one that closely resembles normal work practice and replicates the range of conditions likely to be encountered when coordinating employment relations, including coping with difficulties, irregul</w:t>
            </w:r>
            <w:r w:rsidRPr="002F177C">
              <w:t>arities and breakdowns in routine</w:t>
            </w:r>
          </w:p>
          <w:p w:rsidR="00000000" w:rsidRPr="002F177C" w:rsidP="002F177C">
            <w:pPr>
              <w:pStyle w:val="ListBullet2"/>
            </w:pPr>
            <w:r w:rsidRPr="002F177C">
              <w:t>coordination of employment relations in a range of (3 or more) contexts (or occasions, over time)</w:t>
            </w:r>
          </w:p>
          <w:p w:rsidR="00000000" w:rsidRPr="002F177C" w:rsidP="002F177C">
            <w:pPr>
              <w:pStyle w:val="BodyText"/>
            </w:pPr>
            <w:r w:rsidRPr="002F177C">
              <w:t>Assessment methods should reflect workplace demands, such as literacy, and the needs of particular groups, such as:</w:t>
            </w:r>
          </w:p>
          <w:p w:rsidR="00000000" w:rsidRPr="002F177C" w:rsidP="002F177C">
            <w:pPr>
              <w:pStyle w:val="ListBullet2"/>
            </w:pPr>
            <w:r w:rsidRPr="002F177C">
              <w:t>people with disabilities</w:t>
            </w:r>
          </w:p>
          <w:p w:rsidR="00000000" w:rsidRPr="002F177C" w:rsidP="002F177C">
            <w:pPr>
              <w:pStyle w:val="ListBullet2"/>
            </w:pPr>
            <w:r w:rsidRPr="002F177C">
              <w:t>people from culturally and linguistically diverse backgrounds</w:t>
            </w:r>
          </w:p>
          <w:p w:rsidR="00000000" w:rsidRPr="002F177C" w:rsidP="002F177C">
            <w:pPr>
              <w:pStyle w:val="ListBullet2"/>
            </w:pPr>
            <w:r w:rsidRPr="002F177C">
              <w:t>Aboriginal and Torres Strait Islander people</w:t>
            </w:r>
          </w:p>
          <w:p w:rsidR="00000000" w:rsidRPr="002F177C" w:rsidP="002F177C">
            <w:pPr>
              <w:pStyle w:val="ListBullet2"/>
            </w:pPr>
            <w:r w:rsidRPr="002F177C">
              <w:t>women</w:t>
            </w:r>
          </w:p>
          <w:p w:rsidR="00000000" w:rsidRPr="002F177C" w:rsidP="002F177C">
            <w:pPr>
              <w:pStyle w:val="ListBullet2"/>
            </w:pPr>
            <w:r w:rsidRPr="002F177C">
              <w:t>young people</w:t>
            </w:r>
          </w:p>
          <w:p w:rsidR="00000000" w:rsidRPr="002F177C" w:rsidP="002F177C">
            <w:pPr>
              <w:pStyle w:val="ListBullet2"/>
            </w:pPr>
            <w:r w:rsidRPr="002F177C">
              <w:t>older people</w:t>
            </w:r>
          </w:p>
          <w:p w:rsidR="00000000" w:rsidRPr="002F177C" w:rsidP="002F177C">
            <w:pPr>
              <w:pStyle w:val="ListBullet2"/>
            </w:pPr>
            <w:r w:rsidRPr="002F177C">
              <w:t>people in rural and remote locations</w:t>
            </w:r>
          </w:p>
          <w:p w:rsidR="00000000" w:rsidRPr="002F177C" w:rsidP="002F177C">
            <w:pPr>
              <w:pStyle w:val="BodyText"/>
            </w:pPr>
            <w:r w:rsidRPr="002F177C">
              <w:t>Assessment methods suitable for valid and reliable asse</w:t>
            </w:r>
            <w:r w:rsidRPr="002F177C">
              <w:t xml:space="preserve">ssment of this competency may include, but are not limited to, a combination of 2 or more of: </w:t>
            </w:r>
          </w:p>
          <w:p w:rsidR="00000000" w:rsidRPr="002F177C" w:rsidP="002F177C">
            <w:pPr>
              <w:pStyle w:val="ListBullet2"/>
            </w:pPr>
            <w:r w:rsidRPr="002F177C">
              <w:t>case studies</w:t>
            </w:r>
          </w:p>
          <w:p w:rsidR="00000000" w:rsidRPr="002F177C" w:rsidP="002F177C">
            <w:pPr>
              <w:pStyle w:val="ListBullet2"/>
            </w:pPr>
            <w:r w:rsidRPr="002F177C">
              <w:t xml:space="preserve">portfolios </w:t>
            </w:r>
          </w:p>
          <w:p w:rsidR="00000000" w:rsidRPr="002F177C" w:rsidP="002F177C">
            <w:pPr>
              <w:pStyle w:val="ListBullet2"/>
            </w:pPr>
            <w:r w:rsidRPr="002F177C">
              <w:t>projects</w:t>
            </w:r>
          </w:p>
          <w:p w:rsidR="00000000" w:rsidRPr="002F177C" w:rsidP="002F177C">
            <w:pPr>
              <w:pStyle w:val="ListBullet2"/>
            </w:pPr>
            <w:r w:rsidRPr="002F177C">
              <w:t>questioning</w:t>
            </w:r>
          </w:p>
          <w:p w:rsidR="00000000" w:rsidRPr="002F177C" w:rsidP="002F177C">
            <w:pPr>
              <w:pStyle w:val="ListBullet2"/>
            </w:pPr>
            <w:r w:rsidRPr="002F177C">
              <w:t>scenarios</w:t>
            </w:r>
          </w:p>
          <w:p w:rsidR="00000000" w:rsidP="002F177C">
            <w:pPr>
              <w:pStyle w:val="ListBullet2"/>
              <w:rPr>
                <w:lang w:val="en-NZ"/>
              </w:rPr>
            </w:pPr>
            <w:r w:rsidRPr="002F177C">
              <w:t xml:space="preserve">authenticated evidence from the workplace and/or training courses   </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BodyText"/>
            </w:pPr>
            <w:r w:rsidRPr="002F177C">
              <w:t>Evidence must be gathered over time in a range of contexts to ensure the person can achieve the unit outcome and apply the competency in different situations or environments</w:t>
            </w:r>
          </w:p>
        </w:tc>
      </w:tr>
    </w:tbl>
    <w:p w:rsidR="00000000" w:rsidRPr="002F177C" w:rsidP="002F177C">
      <w:pPr>
        <w:pStyle w:val="BodyText"/>
      </w:pPr>
    </w:p>
    <w:p w:rsidR="00000000" w:rsidRPr="002F177C" w:rsidP="002F177C">
      <w:pPr>
        <w:pStyle w:val="AllowPageBreak"/>
      </w:pPr>
    </w:p>
    <w:p w:rsidR="00000000" w:rsidRPr="002F177C" w:rsidP="002F177C">
      <w:pPr>
        <w:pStyle w:val="Heading1"/>
      </w:pPr>
      <w:bookmarkStart w:id="11" w:name="O_495989"/>
      <w:bookmarkEnd w:id="11"/>
      <w:r w:rsidRPr="002F177C">
        <w:t>Range Statement</w:t>
      </w:r>
    </w:p>
    <w:tbl>
      <w:tblPr>
        <w:tblW w:w="9322" w:type="dxa"/>
        <w:tblLayout w:type="fixed"/>
        <w:tblCellMar>
          <w:left w:w="62" w:type="dxa"/>
          <w:right w:w="62" w:type="dxa"/>
        </w:tblCellMar>
        <w:tblLook w:val="0000"/>
      </w:tblPr>
      <w:tblGrid>
        <w:gridCol w:w="2660"/>
        <w:gridCol w:w="6662"/>
      </w:tblGrid>
      <w:tr w:rsidTr="00174CD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t xml:space="preserve">The Range Statement provides information about </w:t>
            </w:r>
            <w:r w:rsidRPr="002F177C">
              <w:t>the context in which the unit of competency is carried out. The variables cater for differences between States and Territories and the Commonwealth, and between organisations and workplaces. They allow for different work requirements, work practices and kn</w:t>
            </w:r>
            <w:r w:rsidRPr="002F177C">
              <w:t>owledge. The Range Statement also provides a focus for assessment. It relates to the unit as a whole. Text in</w:t>
            </w:r>
            <w:r w:rsidRPr="002F177C">
              <w:rPr>
                <w:rStyle w:val="BoldandItalics"/>
              </w:rPr>
              <w:t xml:space="preserve"> bold italics </w:t>
            </w:r>
            <w:r w:rsidRPr="002F177C">
              <w:t>in the Performance Criteria is explained here.</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Industrial parties</w:t>
            </w:r>
            <w:r w:rsidRPr="002F177C">
              <w:rPr>
                <w:rStyle w:val="Emphasis"/>
              </w:rPr>
              <w:t xml:space="preserve">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employees</w:t>
            </w:r>
          </w:p>
          <w:p w:rsidR="00000000" w:rsidRPr="002F177C" w:rsidP="002F177C">
            <w:pPr>
              <w:pStyle w:val="ListBullet2"/>
            </w:pPr>
            <w:r w:rsidRPr="002F177C">
              <w:t xml:space="preserve">employee advocates or representatives </w:t>
            </w:r>
          </w:p>
          <w:p w:rsidR="00000000" w:rsidRPr="002F177C" w:rsidP="002F177C">
            <w:pPr>
              <w:pStyle w:val="ListBullet2"/>
            </w:pPr>
            <w:r w:rsidRPr="002F177C">
              <w:t>employers</w:t>
            </w:r>
          </w:p>
          <w:p w:rsidR="00000000" w:rsidRPr="002F177C" w:rsidP="002F177C">
            <w:pPr>
              <w:pStyle w:val="ListBullet2"/>
            </w:pPr>
            <w:r w:rsidRPr="002F177C">
              <w:t>unions</w:t>
            </w:r>
          </w:p>
          <w:p w:rsidR="00000000" w:rsidP="002F177C">
            <w:pPr>
              <w:pStyle w:val="ListBullet2"/>
              <w:rPr>
                <w:lang w:val="en-NZ"/>
              </w:rPr>
            </w:pPr>
            <w:r w:rsidRPr="002F177C">
              <w:t>legal advisers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Employment issues</w:t>
            </w:r>
            <w:r w:rsidRPr="002F177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terms and conditions of employment</w:t>
            </w:r>
          </w:p>
          <w:p w:rsidR="00000000" w:rsidRPr="002F177C" w:rsidP="002F177C">
            <w:pPr>
              <w:pStyle w:val="ListBullet2"/>
            </w:pPr>
            <w:r w:rsidRPr="002F177C">
              <w:t>national legislative and compliance requirements</w:t>
            </w:r>
          </w:p>
          <w:p w:rsidR="00000000" w:rsidRPr="002F177C" w:rsidP="002F177C">
            <w:pPr>
              <w:pStyle w:val="ListBullet2"/>
            </w:pPr>
            <w:r w:rsidRPr="002F177C">
              <w:t>awards</w:t>
            </w:r>
          </w:p>
          <w:p w:rsidR="00000000" w:rsidRPr="002F177C" w:rsidP="002F177C">
            <w:pPr>
              <w:pStyle w:val="ListBullet2"/>
            </w:pPr>
            <w:r w:rsidRPr="002F177C">
              <w:t>collective/workplace bargaining</w:t>
            </w:r>
          </w:p>
          <w:p w:rsidR="00000000" w:rsidRPr="002F177C" w:rsidP="002F177C">
            <w:pPr>
              <w:pStyle w:val="ListBullet2"/>
            </w:pPr>
            <w:r w:rsidRPr="002F177C">
              <w:t>enterprise bargaining</w:t>
            </w:r>
          </w:p>
          <w:p w:rsidR="00000000" w:rsidRPr="002F177C" w:rsidP="002F177C">
            <w:pPr>
              <w:pStyle w:val="ListBullet2"/>
            </w:pPr>
            <w:r w:rsidRPr="002F177C">
              <w:t>certified agreements</w:t>
            </w:r>
          </w:p>
          <w:p w:rsidR="00000000" w:rsidRPr="002F177C" w:rsidP="002F177C">
            <w:pPr>
              <w:pStyle w:val="ListBullet2"/>
            </w:pPr>
            <w:r w:rsidRPr="002F177C">
              <w:t>Australian workplace agre</w:t>
            </w:r>
            <w:r w:rsidRPr="002F177C">
              <w:t>ements</w:t>
            </w:r>
          </w:p>
          <w:p w:rsidR="00000000" w:rsidRPr="002F177C" w:rsidP="002F177C">
            <w:pPr>
              <w:pStyle w:val="ListBullet2"/>
            </w:pPr>
            <w:r w:rsidRPr="002F177C">
              <w:t>conciliation and arbitration</w:t>
            </w:r>
          </w:p>
          <w:p w:rsidR="00000000" w:rsidRPr="002F177C" w:rsidP="002F177C">
            <w:pPr>
              <w:pStyle w:val="ListBullet2"/>
            </w:pPr>
            <w:r w:rsidRPr="002F177C">
              <w:t>impact of labour market forces especially on equity and diversity</w:t>
            </w:r>
          </w:p>
          <w:p w:rsidR="00000000" w:rsidRPr="002F177C" w:rsidP="002F177C">
            <w:pPr>
              <w:pStyle w:val="ListBullet2"/>
            </w:pPr>
            <w:r w:rsidRPr="002F177C">
              <w:t>work value</w:t>
            </w:r>
          </w:p>
          <w:p w:rsidR="00000000" w:rsidRPr="002F177C" w:rsidP="002F177C">
            <w:pPr>
              <w:pStyle w:val="ListBullet2"/>
            </w:pPr>
            <w:r w:rsidRPr="002F177C">
              <w:t>classification of jobs, roles, levels</w:t>
            </w:r>
          </w:p>
          <w:p w:rsidR="00000000" w:rsidRPr="002F177C" w:rsidP="002F177C">
            <w:pPr>
              <w:pStyle w:val="ListBullet2"/>
            </w:pPr>
            <w:r w:rsidRPr="002F177C">
              <w:t>linking pay to performance</w:t>
            </w:r>
          </w:p>
          <w:p w:rsidR="00000000" w:rsidRPr="002F177C" w:rsidP="002F177C">
            <w:pPr>
              <w:pStyle w:val="ListBullet2"/>
            </w:pPr>
            <w:r w:rsidRPr="002F177C">
              <w:t>unfair dismissals</w:t>
            </w:r>
          </w:p>
          <w:p w:rsidR="00000000" w:rsidRPr="002F177C" w:rsidP="002F177C">
            <w:pPr>
              <w:pStyle w:val="ListBullet2"/>
            </w:pPr>
            <w:r w:rsidRPr="002F177C">
              <w:t>grievances</w:t>
            </w:r>
          </w:p>
          <w:p w:rsidR="00000000" w:rsidP="002F177C">
            <w:pPr>
              <w:pStyle w:val="ListBullet2"/>
              <w:rPr>
                <w:lang w:val="en-NZ"/>
              </w:rPr>
            </w:pPr>
            <w:r w:rsidRPr="002F177C">
              <w:t>disciplinary procedures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 xml:space="preserve">Trends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casualisation of the workforce</w:t>
            </w:r>
          </w:p>
          <w:p w:rsidR="00000000" w:rsidRPr="002F177C" w:rsidP="002F177C">
            <w:pPr>
              <w:pStyle w:val="ListBullet2"/>
            </w:pPr>
            <w:r w:rsidRPr="002F177C">
              <w:t xml:space="preserve">part-time/fractional-time workers </w:t>
            </w:r>
          </w:p>
          <w:p w:rsidR="00000000" w:rsidRPr="002F177C" w:rsidP="002F177C">
            <w:pPr>
              <w:pStyle w:val="ListBullet2"/>
            </w:pPr>
            <w:r w:rsidRPr="002F177C">
              <w:t>diversity issues</w:t>
            </w:r>
          </w:p>
          <w:p w:rsidR="00000000" w:rsidRPr="002F177C" w:rsidP="002F177C">
            <w:pPr>
              <w:pStyle w:val="ListBullet2"/>
            </w:pPr>
            <w:r w:rsidRPr="002F177C">
              <w:t>gender issues</w:t>
            </w:r>
          </w:p>
          <w:p w:rsidR="00000000" w:rsidP="002F177C">
            <w:pPr>
              <w:pStyle w:val="ListBullet2"/>
              <w:rPr>
                <w:lang w:val="en-NZ"/>
              </w:rPr>
            </w:pPr>
            <w:r w:rsidRPr="002F177C">
              <w:t>generational issues e.g. ageing of the workforce</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 xml:space="preserve">Support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research</w:t>
            </w:r>
          </w:p>
          <w:p w:rsidR="00000000" w:rsidRPr="002F177C" w:rsidP="002F177C">
            <w:pPr>
              <w:pStyle w:val="ListBullet2"/>
            </w:pPr>
            <w:r w:rsidRPr="002F177C">
              <w:t>administrative assistance</w:t>
            </w:r>
          </w:p>
          <w:p w:rsidR="00000000" w:rsidP="002F177C">
            <w:pPr>
              <w:pStyle w:val="ListBullet2"/>
              <w:rPr>
                <w:lang w:val="en-NZ"/>
              </w:rPr>
            </w:pPr>
            <w:r w:rsidRPr="002F177C">
              <w:t>advice</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Employment  arrangements</w:t>
            </w:r>
            <w:r w:rsidRPr="002F177C">
              <w:rPr>
                <w:rStyle w:val="Emphasis"/>
              </w:rPr>
              <w:t xml:space="preserve">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industrial instruments:</w:t>
            </w:r>
          </w:p>
          <w:p w:rsidR="00000000" w:rsidRPr="002F177C" w:rsidP="002F177C">
            <w:pPr>
              <w:pStyle w:val="ListBullet2"/>
            </w:pPr>
            <w:r w:rsidRPr="002F177C">
              <w:t>awards</w:t>
            </w:r>
          </w:p>
          <w:p w:rsidR="00000000" w:rsidRPr="002F177C" w:rsidP="002F177C">
            <w:pPr>
              <w:pStyle w:val="ListBullet2"/>
            </w:pPr>
            <w:r w:rsidRPr="002F177C">
              <w:t>workplace and enterprise bargains</w:t>
            </w:r>
          </w:p>
          <w:p w:rsidR="00000000" w:rsidRPr="002F177C" w:rsidP="002F177C">
            <w:pPr>
              <w:pStyle w:val="ListBullet2"/>
            </w:pPr>
            <w:r w:rsidRPr="002F177C">
              <w:t>certified agreements</w:t>
            </w:r>
          </w:p>
          <w:p w:rsidR="00000000" w:rsidRPr="002F177C" w:rsidP="002F177C">
            <w:pPr>
              <w:pStyle w:val="ListBullet2"/>
            </w:pPr>
            <w:r w:rsidRPr="002F177C">
              <w:t>Australian workplace agreements</w:t>
            </w:r>
          </w:p>
          <w:p w:rsidR="00000000" w:rsidP="002F177C">
            <w:pPr>
              <w:pStyle w:val="ListBullet2"/>
              <w:rPr>
                <w:lang w:val="en-NZ"/>
              </w:rPr>
            </w:pPr>
            <w:r w:rsidRPr="002F177C">
              <w:t>public service agreements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Legislation, organisational policy procedures</w:t>
            </w:r>
            <w:r w:rsidRPr="002F177C">
              <w:rPr>
                <w:rStyle w:val="Emphasis"/>
              </w:rPr>
              <w:t xml:space="preserve">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Commonwealth and State/Territory legislation including equal employment opportunity, privacy legislation, anti-discrimination and employment law</w:t>
            </w:r>
          </w:p>
          <w:p w:rsidR="00000000" w:rsidRPr="002F177C" w:rsidP="002F177C">
            <w:pPr>
              <w:pStyle w:val="ListBullet2"/>
            </w:pPr>
            <w:r w:rsidRPr="002F177C">
              <w:t>national and international codes of practice and standards</w:t>
            </w:r>
          </w:p>
          <w:p w:rsidR="00000000" w:rsidRPr="002F177C" w:rsidP="002F177C">
            <w:pPr>
              <w:pStyle w:val="ListBullet2"/>
            </w:pPr>
            <w:r w:rsidRPr="002F177C">
              <w:t>the organisation's policies and practices</w:t>
            </w:r>
          </w:p>
          <w:p w:rsidR="00000000" w:rsidRPr="002F177C" w:rsidP="002F177C">
            <w:pPr>
              <w:pStyle w:val="ListBullet2"/>
            </w:pPr>
            <w:r w:rsidRPr="002F177C">
              <w:t>government</w:t>
            </w:r>
            <w:r w:rsidRPr="002F177C">
              <w:t xml:space="preserve"> policy</w:t>
            </w:r>
          </w:p>
          <w:p w:rsidR="00000000" w:rsidRPr="002F177C" w:rsidP="002F177C">
            <w:pPr>
              <w:pStyle w:val="ListBullet2"/>
            </w:pPr>
            <w:r w:rsidRPr="002F177C">
              <w:t>codes of conduct</w:t>
            </w:r>
          </w:p>
          <w:p w:rsidR="00000000" w:rsidP="002F177C">
            <w:pPr>
              <w:pStyle w:val="ListBullet2"/>
              <w:rPr>
                <w:lang w:val="en-NZ"/>
              </w:rPr>
            </w:pPr>
            <w:r w:rsidRPr="002F177C">
              <w:t xml:space="preserve">codes of ethics </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Terms and conditions of employment</w:t>
            </w:r>
            <w:r w:rsidRPr="002F177C">
              <w:rPr>
                <w:rStyle w:val="Emphasis"/>
              </w:rPr>
              <w:t xml:space="preserve">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appeal procedures</w:t>
            </w:r>
          </w:p>
          <w:p w:rsidR="00000000" w:rsidRPr="002F177C" w:rsidP="002F177C">
            <w:pPr>
              <w:pStyle w:val="ListBullet2"/>
            </w:pPr>
            <w:r w:rsidRPr="002F177C">
              <w:t>casual work</w:t>
            </w:r>
          </w:p>
          <w:p w:rsidR="00000000" w:rsidRPr="002F177C" w:rsidP="002F177C">
            <w:pPr>
              <w:pStyle w:val="ListBullet2"/>
            </w:pPr>
            <w:r w:rsidRPr="002F177C">
              <w:t>classification/seniority-based remuneration</w:t>
            </w:r>
          </w:p>
          <w:p w:rsidR="00000000" w:rsidRPr="002F177C" w:rsidP="002F177C">
            <w:pPr>
              <w:pStyle w:val="ListBullet2"/>
            </w:pPr>
            <w:r w:rsidRPr="002F177C">
              <w:t>competency-based remuneration</w:t>
            </w:r>
          </w:p>
          <w:p w:rsidR="00000000" w:rsidRPr="002F177C" w:rsidP="002F177C">
            <w:pPr>
              <w:pStyle w:val="ListBullet2"/>
            </w:pPr>
            <w:r w:rsidRPr="002F177C">
              <w:t>contract work</w:t>
            </w:r>
          </w:p>
          <w:p w:rsidR="00000000" w:rsidRPr="002F177C" w:rsidP="002F177C">
            <w:pPr>
              <w:pStyle w:val="ListBullet2"/>
            </w:pPr>
            <w:r w:rsidRPr="002F177C">
              <w:t>displaced or excess employees</w:t>
            </w:r>
          </w:p>
          <w:p w:rsidR="00000000" w:rsidRPr="002F177C" w:rsidP="002F177C">
            <w:pPr>
              <w:pStyle w:val="ListBullet2"/>
            </w:pPr>
            <w:r w:rsidRPr="002F177C">
              <w:t xml:space="preserve">employment benefits to reward and recognise the performance of employees </w:t>
            </w:r>
          </w:p>
          <w:p w:rsidR="00000000" w:rsidRPr="002F177C" w:rsidP="002F177C">
            <w:pPr>
              <w:pStyle w:val="ListBullet2"/>
            </w:pPr>
            <w:r w:rsidRPr="002F177C">
              <w:t>flexible work arrangements</w:t>
            </w:r>
          </w:p>
          <w:p w:rsidR="00000000" w:rsidRPr="002F177C" w:rsidP="002F177C">
            <w:pPr>
              <w:pStyle w:val="ListBullet2"/>
            </w:pPr>
            <w:r w:rsidRPr="002F177C">
              <w:t>full-time work</w:t>
            </w:r>
          </w:p>
          <w:p w:rsidR="00000000" w:rsidRPr="002F177C" w:rsidP="002F177C">
            <w:pPr>
              <w:pStyle w:val="ListBullet2"/>
            </w:pPr>
            <w:r w:rsidRPr="002F177C">
              <w:t>incentive schemes</w:t>
            </w:r>
          </w:p>
          <w:p w:rsidR="00000000" w:rsidRPr="002F177C" w:rsidP="002F177C">
            <w:pPr>
              <w:pStyle w:val="ListBullet2"/>
            </w:pPr>
            <w:r w:rsidRPr="002F177C">
              <w:t>leave entitlements</w:t>
            </w:r>
          </w:p>
          <w:p w:rsidR="00000000" w:rsidRPr="002F177C" w:rsidP="002F177C">
            <w:pPr>
              <w:pStyle w:val="ListBullet2"/>
            </w:pPr>
            <w:r w:rsidRPr="002F177C">
              <w:t>non-financial rewards</w:t>
            </w:r>
          </w:p>
          <w:p w:rsidR="00000000" w:rsidRPr="002F177C" w:rsidP="002F177C">
            <w:pPr>
              <w:pStyle w:val="ListBullet2"/>
            </w:pPr>
            <w:r w:rsidRPr="002F177C">
              <w:t>part-time/ fractional-time</w:t>
            </w:r>
          </w:p>
          <w:p w:rsidR="00000000" w:rsidRPr="002F177C" w:rsidP="002F177C">
            <w:pPr>
              <w:pStyle w:val="ListBullet2"/>
            </w:pPr>
            <w:r w:rsidRPr="002F177C">
              <w:t>permanent positions</w:t>
            </w:r>
          </w:p>
          <w:p w:rsidR="00000000" w:rsidRPr="002F177C" w:rsidP="002F177C">
            <w:pPr>
              <w:pStyle w:val="ListBullet2"/>
            </w:pPr>
            <w:r w:rsidRPr="002F177C">
              <w:t>redundancy conditions and payment</w:t>
            </w:r>
          </w:p>
          <w:p w:rsidR="00000000" w:rsidRPr="002F177C" w:rsidP="002F177C">
            <w:pPr>
              <w:pStyle w:val="ListBullet2"/>
            </w:pPr>
            <w:r w:rsidRPr="002F177C">
              <w:t>salary packaging</w:t>
            </w:r>
          </w:p>
          <w:p w:rsidR="00000000" w:rsidRPr="002F177C" w:rsidP="002F177C">
            <w:pPr>
              <w:pStyle w:val="ListBullet2"/>
            </w:pPr>
            <w:r w:rsidRPr="002F177C">
              <w:t>salary sacrifice</w:t>
            </w:r>
          </w:p>
          <w:p w:rsidR="00000000" w:rsidRPr="002F177C" w:rsidP="002F177C">
            <w:pPr>
              <w:pStyle w:val="ListBullet2"/>
            </w:pPr>
            <w:r w:rsidRPr="002F177C">
              <w:t>shift work</w:t>
            </w:r>
          </w:p>
          <w:p w:rsidR="00000000" w:rsidRPr="002F177C" w:rsidP="002F177C">
            <w:pPr>
              <w:pStyle w:val="ListBullet2"/>
            </w:pPr>
            <w:r w:rsidRPr="002F177C">
              <w:t>skills-based remuneration</w:t>
            </w:r>
          </w:p>
          <w:p w:rsidR="00000000" w:rsidRPr="002F177C" w:rsidP="002F177C">
            <w:pPr>
              <w:pStyle w:val="ListBullet2"/>
            </w:pPr>
            <w:r w:rsidRPr="002F177C">
              <w:t>temporary positions</w:t>
            </w:r>
          </w:p>
          <w:p w:rsidR="00000000" w:rsidRPr="002F177C" w:rsidP="002F177C">
            <w:pPr>
              <w:pStyle w:val="ListBullet2"/>
            </w:pPr>
            <w:r w:rsidRPr="002F177C">
              <w:t>wages, salaries, allowances and other forms of monetary payments</w:t>
            </w:r>
          </w:p>
          <w:p w:rsidR="00000000" w:rsidRPr="002F177C" w:rsidP="002F177C">
            <w:pPr>
              <w:pStyle w:val="ListBullet2"/>
            </w:pPr>
            <w:r w:rsidRPr="002F177C">
              <w:t>workers compensation</w:t>
            </w:r>
          </w:p>
          <w:p w:rsidR="00000000" w:rsidP="002F177C">
            <w:pPr>
              <w:pStyle w:val="ListBullet2"/>
              <w:rPr>
                <w:lang w:val="en-NZ"/>
              </w:rPr>
            </w:pPr>
            <w:r w:rsidRPr="002F177C">
              <w:t>working hours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Guidance on remuneration</w:t>
            </w:r>
            <w:r w:rsidRPr="002F177C">
              <w:rPr>
                <w:rStyle w:val="Emphasis"/>
              </w:rPr>
              <w:t xml:space="preserve"> </w:t>
            </w:r>
            <w:r w:rsidRPr="002F177C">
              <w:t>may relate to:</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advice to specialist staff, such as sworn police, Australian Defence Force personnel</w:t>
            </w:r>
          </w:p>
          <w:p w:rsidR="00000000" w:rsidRPr="002F177C" w:rsidP="002F177C">
            <w:pPr>
              <w:pStyle w:val="ListBullet2"/>
            </w:pPr>
            <w:r w:rsidRPr="002F177C">
              <w:t>allowances and payments</w:t>
            </w:r>
          </w:p>
          <w:p w:rsidR="00000000" w:rsidRPr="002F177C" w:rsidP="002F177C">
            <w:pPr>
              <w:pStyle w:val="ListBullet2"/>
            </w:pPr>
            <w:r w:rsidRPr="002F177C">
              <w:t>calculations for leave at half pay</w:t>
            </w:r>
          </w:p>
          <w:p w:rsidR="00000000" w:rsidRPr="002F177C" w:rsidP="002F177C">
            <w:pPr>
              <w:pStyle w:val="ListBullet2"/>
            </w:pPr>
            <w:r w:rsidRPr="002F177C">
              <w:t>leave entitlements</w:t>
            </w:r>
          </w:p>
          <w:p w:rsidR="00000000" w:rsidRPr="002F177C" w:rsidP="002F177C">
            <w:pPr>
              <w:pStyle w:val="ListBullet2"/>
            </w:pPr>
            <w:r w:rsidRPr="002F177C">
              <w:t>long service entitlements</w:t>
            </w:r>
          </w:p>
          <w:p w:rsidR="00000000" w:rsidRPr="002F177C" w:rsidP="002F177C">
            <w:pPr>
              <w:pStyle w:val="ListBullet2"/>
            </w:pPr>
            <w:r w:rsidRPr="002F177C">
              <w:t>ongoing versus contract or casual</w:t>
            </w:r>
          </w:p>
          <w:p w:rsidR="00000000" w:rsidRPr="002F177C" w:rsidP="002F177C">
            <w:pPr>
              <w:pStyle w:val="ListBullet2"/>
            </w:pPr>
            <w:r w:rsidRPr="002F177C">
              <w:t>overseas service entitlements</w:t>
            </w:r>
          </w:p>
          <w:p w:rsidR="00000000" w:rsidRPr="002F177C" w:rsidP="002F177C">
            <w:pPr>
              <w:pStyle w:val="ListBullet2"/>
            </w:pPr>
            <w:r w:rsidRPr="002F177C">
              <w:t>ove</w:t>
            </w:r>
            <w:r w:rsidRPr="002F177C">
              <w:t>rtime</w:t>
            </w:r>
          </w:p>
          <w:p w:rsidR="00000000" w:rsidRPr="002F177C" w:rsidP="002F177C">
            <w:pPr>
              <w:pStyle w:val="ListBullet2"/>
            </w:pPr>
            <w:r w:rsidRPr="002F177C">
              <w:t>paying above the band</w:t>
            </w:r>
          </w:p>
          <w:p w:rsidR="00000000" w:rsidRPr="002F177C" w:rsidP="002F177C">
            <w:pPr>
              <w:pStyle w:val="ListBullet2"/>
            </w:pPr>
            <w:r w:rsidRPr="002F177C">
              <w:t>remuneration assessments</w:t>
            </w:r>
          </w:p>
          <w:p w:rsidR="00000000" w:rsidRPr="002F177C" w:rsidP="002F177C">
            <w:pPr>
              <w:pStyle w:val="ListBullet2"/>
            </w:pPr>
            <w:r w:rsidRPr="002F177C">
              <w:t>salary packaging arrangements</w:t>
            </w:r>
          </w:p>
          <w:p w:rsidR="00000000" w:rsidRPr="002F177C" w:rsidP="002F177C">
            <w:pPr>
              <w:pStyle w:val="ListBullet2"/>
            </w:pPr>
            <w:r w:rsidRPr="002F177C">
              <w:t>salary progression requirements</w:t>
            </w:r>
          </w:p>
          <w:p w:rsidR="00000000" w:rsidRPr="002F177C" w:rsidP="002F177C">
            <w:pPr>
              <w:pStyle w:val="ListBullet2"/>
            </w:pPr>
            <w:r w:rsidRPr="002F177C">
              <w:t>salary scales/tables</w:t>
            </w:r>
          </w:p>
          <w:p w:rsidR="00000000" w:rsidRPr="002F177C" w:rsidP="002F177C">
            <w:pPr>
              <w:pStyle w:val="ListBullet2"/>
            </w:pPr>
            <w:r w:rsidRPr="002F177C">
              <w:t>superannuation</w:t>
            </w:r>
          </w:p>
          <w:p w:rsidR="00000000" w:rsidP="002F177C">
            <w:pPr>
              <w:pStyle w:val="ListBullet2"/>
              <w:rPr>
                <w:lang w:val="en-NZ"/>
              </w:rPr>
            </w:pPr>
            <w:r w:rsidRPr="002F177C">
              <w:t>temporary higher duties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Disciplinary procedures</w:t>
            </w:r>
            <w:r w:rsidRPr="002F177C">
              <w:rPr>
                <w:rStyle w:val="Emphasis"/>
              </w:rPr>
              <w:t xml:space="preserve"> </w:t>
            </w:r>
            <w:r w:rsidRPr="002F177C">
              <w:t>may result in:</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exoneration</w:t>
            </w:r>
          </w:p>
          <w:p w:rsidR="00000000" w:rsidRPr="002F177C" w:rsidP="002F177C">
            <w:pPr>
              <w:pStyle w:val="ListBullet2"/>
            </w:pPr>
            <w:r w:rsidRPr="002F177C">
              <w:t>file notation</w:t>
            </w:r>
          </w:p>
          <w:p w:rsidR="00000000" w:rsidRPr="002F177C" w:rsidP="002F177C">
            <w:pPr>
              <w:pStyle w:val="ListBullet2"/>
            </w:pPr>
            <w:r w:rsidRPr="002F177C">
              <w:t>supervision</w:t>
            </w:r>
          </w:p>
          <w:p w:rsidR="00000000" w:rsidRPr="002F177C" w:rsidP="002F177C">
            <w:pPr>
              <w:pStyle w:val="ListBullet2"/>
            </w:pPr>
            <w:r w:rsidRPr="002F177C">
              <w:t>demotion</w:t>
            </w:r>
          </w:p>
          <w:p w:rsidR="00000000" w:rsidP="002F177C">
            <w:pPr>
              <w:pStyle w:val="ListBullet2"/>
              <w:rPr>
                <w:lang w:val="en-NZ"/>
              </w:rPr>
            </w:pPr>
            <w:r w:rsidRPr="002F177C">
              <w:t>dismissal</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Grievance procedures</w:t>
            </w:r>
            <w:r w:rsidRPr="002F177C">
              <w:rPr>
                <w:rStyle w:val="Emphasis"/>
              </w:rPr>
              <w:t xml:space="preserve">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mediation</w:t>
            </w:r>
          </w:p>
          <w:p w:rsidR="00000000" w:rsidRPr="002F177C" w:rsidP="002F177C">
            <w:pPr>
              <w:pStyle w:val="ListBullet2"/>
            </w:pPr>
            <w:r w:rsidRPr="002F177C">
              <w:t>timetable for resolution</w:t>
            </w:r>
          </w:p>
          <w:p w:rsidR="00000000" w:rsidRPr="002F177C" w:rsidP="002F177C">
            <w:pPr>
              <w:pStyle w:val="ListBullet2"/>
            </w:pPr>
            <w:r w:rsidRPr="002F177C">
              <w:t>formally documented procedures</w:t>
            </w:r>
          </w:p>
          <w:p w:rsidR="00000000" w:rsidRPr="002F177C" w:rsidP="002F177C">
            <w:pPr>
              <w:pStyle w:val="ListBullet2"/>
            </w:pPr>
            <w:r w:rsidRPr="002F177C">
              <w:t>written reports and statements/evidence</w:t>
            </w:r>
          </w:p>
          <w:p w:rsidR="00000000" w:rsidRPr="002F177C" w:rsidP="002F177C">
            <w:pPr>
              <w:pStyle w:val="ListBullet2"/>
            </w:pPr>
            <w:r w:rsidRPr="002F177C">
              <w:t>interviews</w:t>
            </w:r>
          </w:p>
          <w:p w:rsidR="00000000" w:rsidRPr="002F177C" w:rsidP="002F177C">
            <w:pPr>
              <w:pStyle w:val="ListBullet2"/>
            </w:pPr>
            <w:r w:rsidRPr="002F177C">
              <w:t>legal advice</w:t>
            </w:r>
          </w:p>
          <w:p w:rsidR="00000000" w:rsidP="002F177C">
            <w:pPr>
              <w:pStyle w:val="ListBullet2"/>
              <w:rPr>
                <w:lang w:val="en-NZ"/>
              </w:rPr>
            </w:pPr>
            <w:r w:rsidRPr="002F177C">
              <w:t>appeal process</w:t>
            </w:r>
          </w:p>
        </w:tc>
      </w:tr>
      <w:tr w:rsidTr="00174CD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F177C">
            <w:pPr>
              <w:pStyle w:val="BodyText"/>
              <w:rPr>
                <w:lang w:val="en-NZ"/>
              </w:rPr>
            </w:pPr>
            <w:r w:rsidRPr="002F177C">
              <w:rPr>
                <w:rStyle w:val="BoldandItalics"/>
              </w:rPr>
              <w:t xml:space="preserve">Claims </w:t>
            </w:r>
            <w:r w:rsidRPr="002F177C">
              <w:t>may include:</w:t>
            </w:r>
          </w:p>
        </w:tc>
        <w:tc>
          <w:tcPr>
            <w:tcW w:w="6662" w:type="dxa"/>
            <w:tcBorders>
              <w:top w:val="nil"/>
              <w:left w:val="nil"/>
              <w:bottom w:val="nil"/>
              <w:right w:val="nil"/>
            </w:tcBorders>
            <w:tcMar>
              <w:top w:w="0" w:type="dxa"/>
              <w:left w:w="62" w:type="dxa"/>
              <w:bottom w:w="0" w:type="dxa"/>
              <w:right w:w="62" w:type="dxa"/>
            </w:tcMar>
          </w:tcPr>
          <w:p w:rsidR="00000000" w:rsidRPr="002F177C" w:rsidP="002F177C">
            <w:pPr>
              <w:pStyle w:val="ListBullet2"/>
            </w:pPr>
            <w:r w:rsidRPr="002F177C">
              <w:t>breach of public sector standards</w:t>
            </w:r>
          </w:p>
          <w:p w:rsidR="00000000" w:rsidRPr="002F177C" w:rsidP="002F177C">
            <w:pPr>
              <w:pStyle w:val="ListBullet2"/>
            </w:pPr>
            <w:r w:rsidRPr="002F177C">
              <w:t>breach of awards/requirements of agreements</w:t>
            </w:r>
          </w:p>
          <w:p w:rsidR="00000000" w:rsidRPr="002F177C" w:rsidP="002F177C">
            <w:pPr>
              <w:pStyle w:val="ListBullet2"/>
            </w:pPr>
            <w:r w:rsidRPr="002F177C">
              <w:t>breach of organisational policy or procedures</w:t>
            </w:r>
          </w:p>
          <w:p w:rsidR="00000000" w:rsidRPr="002F177C" w:rsidP="002F177C">
            <w:pPr>
              <w:pStyle w:val="ListBullet2"/>
            </w:pPr>
            <w:r w:rsidRPr="002F177C">
              <w:t>denial of natural justice</w:t>
            </w:r>
          </w:p>
          <w:p w:rsidR="00000000" w:rsidRPr="002F177C" w:rsidP="002F177C">
            <w:pPr>
              <w:pStyle w:val="ListBullet2"/>
            </w:pPr>
            <w:r w:rsidRPr="002F177C">
              <w:t>wrongful dismissal</w:t>
            </w:r>
          </w:p>
          <w:p w:rsidR="00000000" w:rsidRPr="002F177C" w:rsidP="002F177C">
            <w:pPr>
              <w:pStyle w:val="ListBullet2"/>
            </w:pPr>
            <w:r w:rsidRPr="002F177C">
              <w:t>discrimination</w:t>
            </w:r>
          </w:p>
          <w:p w:rsidR="00000000" w:rsidRPr="002F177C" w:rsidP="002F177C">
            <w:pPr>
              <w:pStyle w:val="ListBullet2"/>
            </w:pPr>
            <w:r w:rsidRPr="002F177C">
              <w:t>bias</w:t>
            </w:r>
          </w:p>
          <w:p w:rsidR="00000000" w:rsidRPr="002F177C" w:rsidP="002F177C">
            <w:pPr>
              <w:pStyle w:val="ListBullet2"/>
            </w:pPr>
            <w:r w:rsidRPr="002F177C">
              <w:t>sexual harassment</w:t>
            </w:r>
          </w:p>
        </w:tc>
      </w:tr>
    </w:tbl>
    <w:p w:rsidR="00174CD8" w:rsidP="002F177C">
      <w:pPr>
        <w:pStyle w:val="BodyText"/>
      </w:pPr>
    </w:p>
    <w:p w:rsidR="00174CD8" w:rsidP="002F177C">
      <w:pPr>
        <w:pStyle w:val="BodyText"/>
      </w:pPr>
    </w:p>
    <w:p w:rsidR="00000000" w:rsidRPr="002F177C" w:rsidP="002F177C">
      <w:pPr>
        <w:pStyle w:val="Heading1"/>
      </w:pPr>
      <w:bookmarkStart w:id="12" w:name="O_495988"/>
      <w:bookmarkEnd w:id="12"/>
      <w:r w:rsidRPr="002F177C">
        <w:t>Unit Sector(s)</w:t>
      </w:r>
    </w:p>
    <w:p w:rsidR="00000000" w:rsidRPr="002F177C" w:rsidP="002F177C">
      <w:pPr>
        <w:pStyle w:val="BodyText"/>
      </w:pPr>
      <w:r w:rsidRPr="002F177C">
        <w:t>Not applicable.</w:t>
      </w:r>
    </w:p>
    <w:p w:rsidR="00000000" w:rsidRPr="002F177C" w:rsidP="002F177C">
      <w:pPr>
        <w:pStyle w:val="AllowPageBreak"/>
      </w:pPr>
    </w:p>
    <w:p w:rsidR="00000000" w:rsidRPr="002F177C" w:rsidP="002F177C">
      <w:pPr>
        <w:pStyle w:val="Heading1"/>
      </w:pPr>
      <w:bookmarkStart w:id="13" w:name="O_495999"/>
      <w:bookmarkEnd w:id="13"/>
      <w:r w:rsidRPr="002F177C">
        <w:t>Competency field</w:t>
      </w:r>
    </w:p>
    <w:p w:rsidR="00000000" w:rsidRPr="002F177C" w:rsidP="002F177C">
      <w:pPr>
        <w:pStyle w:val="BodyText"/>
      </w:pPr>
      <w:r w:rsidRPr="002F177C">
        <w:t>Human Resource Management.</w:t>
      </w:r>
    </w:p>
    <w:p w:rsidR="00000000" w:rsidRPr="002F177C" w:rsidP="002F177C"/>
    <w:sectPr w:rsidSect="002F1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CD8" w:rsidP="00174C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D8" w:rsidP="002F17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4CD8" w:rsidP="002F1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74CD8" w:rsidP="002F1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C" w:rsidRPr="00174CD8" w:rsidP="00174C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D8" w:rsidRPr="002D2AF8" w:rsidP="002F177C">
    <w:pPr>
      <w:pStyle w:val="Header"/>
      <w:framePr w:wrap="around"/>
    </w:pPr>
    <w:r>
      <w:fldChar w:fldCharType="begin"/>
    </w:r>
    <w:r>
      <w:instrText xml:space="preserve"> TITLE   \* MERGEFORMAT </w:instrText>
    </w:r>
    <w:r>
      <w:fldChar w:fldCharType="separate"/>
    </w:r>
    <w:r>
      <w:t>PSPHR506A Coordinate employment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74CD8" w:rsidP="002F1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6C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7DAE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77C"/>
    <w:pPr>
      <w:spacing w:before="360" w:after="60"/>
      <w:outlineLvl w:val="0"/>
    </w:pPr>
    <w:rPr>
      <w:sz w:val="32"/>
    </w:rPr>
  </w:style>
  <w:style w:type="paragraph" w:styleId="Heading2">
    <w:name w:val="heading 2"/>
    <w:basedOn w:val="HeadingBase"/>
    <w:next w:val="BodyText"/>
    <w:link w:val="Heading2Char"/>
    <w:qFormat/>
    <w:rsid w:val="002F177C"/>
    <w:pPr>
      <w:keepLines/>
      <w:spacing w:before="240" w:after="120"/>
      <w:outlineLvl w:val="1"/>
    </w:pPr>
    <w:rPr>
      <w:sz w:val="28"/>
      <w:szCs w:val="40"/>
    </w:rPr>
  </w:style>
  <w:style w:type="paragraph" w:styleId="Heading3">
    <w:name w:val="heading 3"/>
    <w:basedOn w:val="HeadingBase"/>
    <w:next w:val="BodyText"/>
    <w:link w:val="Heading3Char"/>
    <w:qFormat/>
    <w:rsid w:val="002F177C"/>
    <w:pPr>
      <w:spacing w:before="180" w:after="120"/>
      <w:outlineLvl w:val="2"/>
    </w:pPr>
    <w:rPr>
      <w:spacing w:val="-10"/>
      <w:kern w:val="32"/>
    </w:rPr>
  </w:style>
  <w:style w:type="paragraph" w:styleId="Heading4">
    <w:name w:val="heading 4"/>
    <w:basedOn w:val="HeadingBase"/>
    <w:next w:val="BodyText"/>
    <w:link w:val="Heading4Char"/>
    <w:qFormat/>
    <w:rsid w:val="002F177C"/>
    <w:pPr>
      <w:spacing w:before="160" w:after="120"/>
      <w:outlineLvl w:val="3"/>
    </w:pPr>
    <w:rPr>
      <w:sz w:val="22"/>
    </w:rPr>
  </w:style>
  <w:style w:type="paragraph" w:styleId="Heading5">
    <w:name w:val="heading 5"/>
    <w:basedOn w:val="HeadingBase"/>
    <w:next w:val="Normal"/>
    <w:link w:val="Heading5Char"/>
    <w:qFormat/>
    <w:rsid w:val="002F177C"/>
    <w:pPr>
      <w:spacing w:before="80"/>
      <w:outlineLvl w:val="4"/>
    </w:pPr>
    <w:rPr>
      <w:color w:val="918585"/>
      <w:sz w:val="20"/>
    </w:rPr>
  </w:style>
  <w:style w:type="paragraph" w:styleId="Heading6">
    <w:name w:val="heading 6"/>
    <w:basedOn w:val="HeadingBase"/>
    <w:next w:val="Normal"/>
    <w:link w:val="Heading6Char"/>
    <w:qFormat/>
    <w:rsid w:val="002F177C"/>
    <w:pPr>
      <w:spacing w:before="60"/>
      <w:outlineLvl w:val="5"/>
    </w:pPr>
    <w:rPr>
      <w:color w:val="918585"/>
      <w:sz w:val="20"/>
    </w:rPr>
  </w:style>
  <w:style w:type="paragraph" w:styleId="Heading7">
    <w:name w:val="heading 7"/>
    <w:basedOn w:val="Normal"/>
    <w:next w:val="Normal"/>
    <w:link w:val="Heading7Char"/>
    <w:qFormat/>
    <w:rsid w:val="002F177C"/>
    <w:pPr>
      <w:ind w:left="720"/>
      <w:outlineLvl w:val="6"/>
    </w:pPr>
    <w:rPr>
      <w:i/>
    </w:rPr>
  </w:style>
  <w:style w:type="paragraph" w:styleId="Heading8">
    <w:name w:val="heading 8"/>
    <w:basedOn w:val="Normal"/>
    <w:next w:val="Normal"/>
    <w:link w:val="Heading8Char"/>
    <w:qFormat/>
    <w:rsid w:val="002F177C"/>
    <w:pPr>
      <w:ind w:left="720"/>
      <w:outlineLvl w:val="7"/>
    </w:pPr>
    <w:rPr>
      <w:i/>
    </w:rPr>
  </w:style>
  <w:style w:type="paragraph" w:styleId="Heading9">
    <w:name w:val="heading 9"/>
    <w:basedOn w:val="Normal"/>
    <w:next w:val="Normal"/>
    <w:link w:val="Heading9Char"/>
    <w:qFormat/>
    <w:rsid w:val="002F177C"/>
    <w:pPr>
      <w:ind w:left="720"/>
      <w:outlineLvl w:val="8"/>
    </w:pPr>
    <w:rPr>
      <w:i/>
    </w:rPr>
  </w:style>
  <w:style w:type="character" w:default="1" w:styleId="DefaultParagraphFont">
    <w:name w:val="Default Paragraph Font"/>
    <w:uiPriority w:val="1"/>
    <w:unhideWhenUsed/>
    <w:rsid w:val="002F1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77C"/>
  </w:style>
  <w:style w:type="character" w:customStyle="1" w:styleId="Heading1Char">
    <w:name w:val="Heading 1 Char"/>
    <w:basedOn w:val="DefaultParagraphFont"/>
    <w:link w:val="Heading1"/>
    <w:rsid w:val="002F177C"/>
    <w:rPr>
      <w:rFonts w:ascii="Times New Roman" w:eastAsia="Times New Roman" w:hAnsi="Times New Roman" w:cs="Times New Roman"/>
      <w:b/>
      <w:sz w:val="32"/>
      <w:szCs w:val="20"/>
      <w:lang w:eastAsia="en-US"/>
    </w:rPr>
  </w:style>
  <w:style w:type="paragraph" w:styleId="BodyText">
    <w:name w:val="Body Text"/>
    <w:basedOn w:val="Normal"/>
    <w:link w:val="BodyTextChar"/>
    <w:rsid w:val="002F1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77C"/>
    <w:rPr>
      <w:rFonts w:ascii="Times New Roman" w:eastAsia="Times New Roman" w:hAnsi="Times New Roman" w:cs="Times New Roman"/>
      <w:sz w:val="24"/>
      <w:lang w:eastAsia="en-US"/>
    </w:rPr>
  </w:style>
  <w:style w:type="paragraph" w:styleId="Footer">
    <w:name w:val="footer"/>
    <w:basedOn w:val="Normal"/>
    <w:link w:val="FooterChar"/>
    <w:rsid w:val="002F1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77C"/>
    <w:rPr>
      <w:rFonts w:ascii="Times New Roman" w:eastAsia="Times New Roman" w:hAnsi="Times New Roman" w:cs="Times New Roman"/>
      <w:sz w:val="16"/>
      <w:lang w:eastAsia="en-US"/>
    </w:rPr>
  </w:style>
  <w:style w:type="paragraph" w:styleId="List">
    <w:name w:val="List"/>
    <w:basedOn w:val="BodyText"/>
    <w:next w:val="BodyText"/>
    <w:rsid w:val="002F177C"/>
    <w:pPr>
      <w:tabs>
        <w:tab w:val="left" w:pos="340"/>
      </w:tabs>
      <w:spacing w:before="60" w:after="60"/>
      <w:ind w:left="340" w:hanging="340"/>
    </w:pPr>
  </w:style>
  <w:style w:type="character" w:customStyle="1" w:styleId="SpecialBold">
    <w:name w:val="Special Bold"/>
    <w:basedOn w:val="DefaultParagraphFont"/>
    <w:rsid w:val="002F177C"/>
    <w:rPr>
      <w:b/>
      <w:spacing w:val="0"/>
    </w:rPr>
  </w:style>
  <w:style w:type="paragraph" w:styleId="ListBullet2">
    <w:name w:val="List Bullet 2"/>
    <w:basedOn w:val="List2"/>
    <w:rsid w:val="002F177C"/>
    <w:pPr>
      <w:numPr>
        <w:numId w:val="14"/>
      </w:numPr>
      <w:tabs>
        <w:tab w:val="clear" w:pos="680"/>
      </w:tabs>
    </w:pPr>
  </w:style>
  <w:style w:type="character" w:styleId="Emphasis">
    <w:name w:val="Emphasis"/>
    <w:basedOn w:val="DefaultParagraphFont"/>
    <w:qFormat/>
    <w:rsid w:val="002F177C"/>
    <w:rPr>
      <w:i/>
    </w:rPr>
  </w:style>
  <w:style w:type="paragraph" w:customStyle="1" w:styleId="SuperHeading">
    <w:name w:val="SuperHeading"/>
    <w:basedOn w:val="Normal"/>
    <w:rsid w:val="002F177C"/>
    <w:pPr>
      <w:spacing w:before="240" w:after="120"/>
      <w:outlineLvl w:val="0"/>
    </w:pPr>
    <w:rPr>
      <w:rFonts w:ascii="Times New Roman" w:hAnsi="Times New Roman"/>
      <w:b/>
      <w:sz w:val="28"/>
    </w:rPr>
  </w:style>
  <w:style w:type="paragraph" w:customStyle="1" w:styleId="AllowPageBreak">
    <w:name w:val="AllowPageBreak"/>
    <w:rsid w:val="002F17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177C"/>
    <w:pPr>
      <w:numPr>
        <w:numId w:val="2"/>
      </w:numPr>
      <w:tabs>
        <w:tab w:val="clear" w:pos="1021"/>
      </w:tabs>
      <w:ind w:left="1037" w:hanging="357"/>
    </w:pPr>
  </w:style>
  <w:style w:type="character" w:customStyle="1" w:styleId="BoldandItalics">
    <w:name w:val="Bold and Italics"/>
    <w:qFormat/>
    <w:rsid w:val="002F177C"/>
    <w:rPr>
      <w:b/>
      <w:i/>
      <w:u w:val="none"/>
    </w:rPr>
  </w:style>
  <w:style w:type="character" w:customStyle="1" w:styleId="Heading2Char">
    <w:name w:val="Heading 2 Char"/>
    <w:basedOn w:val="DefaultParagraphFont"/>
    <w:link w:val="Heading2"/>
    <w:rsid w:val="002F1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77C"/>
    <w:rPr>
      <w:rFonts w:ascii="Courier New" w:eastAsia="Times New Roman" w:hAnsi="Courier New" w:cs="Times New Roman"/>
      <w:i/>
      <w:szCs w:val="20"/>
      <w:lang w:eastAsia="en-US"/>
    </w:rPr>
  </w:style>
  <w:style w:type="paragraph" w:customStyle="1" w:styleId="HeadingBase">
    <w:name w:val="Heading Base"/>
    <w:rsid w:val="002F1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77C"/>
    <w:pPr>
      <w:tabs>
        <w:tab w:val="right" w:leader="dot" w:pos="9072"/>
      </w:tabs>
      <w:ind w:left="567"/>
    </w:pPr>
    <w:rPr>
      <w:szCs w:val="22"/>
    </w:rPr>
  </w:style>
  <w:style w:type="paragraph" w:customStyle="1" w:styleId="TOCBase">
    <w:name w:val="TOC Base"/>
    <w:rsid w:val="002F1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77C"/>
    <w:pPr>
      <w:tabs>
        <w:tab w:val="right" w:leader="dot" w:pos="9072"/>
      </w:tabs>
      <w:spacing w:before="40" w:after="40"/>
      <w:ind w:left="284"/>
    </w:pPr>
    <w:rPr>
      <w:rFonts w:ascii="Times New Roman" w:hAnsi="Times New Roman"/>
    </w:rPr>
  </w:style>
  <w:style w:type="paragraph" w:styleId="TOC1">
    <w:name w:val="toc 1"/>
    <w:basedOn w:val="TOCBase"/>
    <w:next w:val="Normal"/>
    <w:rsid w:val="002F1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77C"/>
    <w:pPr>
      <w:spacing w:before="5040"/>
      <w:jc w:val="center"/>
    </w:pPr>
    <w:rPr>
      <w:sz w:val="48"/>
      <w:szCs w:val="72"/>
      <w:lang w:val="en-US"/>
    </w:rPr>
  </w:style>
  <w:style w:type="character" w:customStyle="1" w:styleId="TitleChar">
    <w:name w:val="Title Char"/>
    <w:basedOn w:val="DefaultParagraphFont"/>
    <w:link w:val="Title"/>
    <w:rsid w:val="002F1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77C"/>
    <w:pPr>
      <w:tabs>
        <w:tab w:val="left" w:pos="3600"/>
        <w:tab w:val="left" w:pos="3958"/>
      </w:tabs>
    </w:pPr>
  </w:style>
  <w:style w:type="paragraph" w:styleId="ListBullet">
    <w:name w:val="List Bullet"/>
    <w:basedOn w:val="List"/>
    <w:rsid w:val="002F177C"/>
    <w:pPr>
      <w:numPr>
        <w:numId w:val="13"/>
      </w:numPr>
      <w:tabs>
        <w:tab w:val="clear" w:pos="340"/>
      </w:tabs>
      <w:spacing w:before="40" w:after="40"/>
    </w:pPr>
  </w:style>
  <w:style w:type="paragraph" w:customStyle="1" w:styleId="Note">
    <w:name w:val="Note"/>
    <w:basedOn w:val="BodyText"/>
    <w:rsid w:val="002F1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77C"/>
    <w:pPr>
      <w:framePr w:wrap="auto" w:hAnchor="text" w:y="6049"/>
    </w:pPr>
    <w:rPr>
      <w:color w:val="000000"/>
      <w:sz w:val="40"/>
    </w:rPr>
  </w:style>
  <w:style w:type="paragraph" w:customStyle="1" w:styleId="TOCTitle">
    <w:name w:val="TOCTitle"/>
    <w:basedOn w:val="Heading1"/>
    <w:rsid w:val="002F177C"/>
    <w:pPr>
      <w:spacing w:after="240"/>
      <w:jc w:val="center"/>
      <w:outlineLvl w:val="9"/>
    </w:pPr>
    <w:rPr>
      <w:caps/>
    </w:rPr>
  </w:style>
  <w:style w:type="paragraph" w:customStyle="1" w:styleId="Version">
    <w:name w:val="Version"/>
    <w:rsid w:val="002F1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77C"/>
    <w:pPr>
      <w:keepNext w:val="0"/>
      <w:tabs>
        <w:tab w:val="right" w:pos="4176"/>
      </w:tabs>
      <w:ind w:left="198" w:hanging="198"/>
    </w:pPr>
    <w:rPr>
      <w:rFonts w:ascii="Garamond" w:hAnsi="Garamond"/>
    </w:rPr>
  </w:style>
  <w:style w:type="paragraph" w:styleId="IndexHeading">
    <w:name w:val="index heading"/>
    <w:basedOn w:val="Normal"/>
    <w:next w:val="Index1"/>
    <w:semiHidden/>
    <w:rsid w:val="002F177C"/>
    <w:pPr>
      <w:spacing w:before="120" w:after="120"/>
    </w:pPr>
    <w:rPr>
      <w:rFonts w:ascii="Arial" w:hAnsi="Arial"/>
      <w:b/>
      <w:color w:val="918585"/>
      <w:sz w:val="24"/>
    </w:rPr>
  </w:style>
  <w:style w:type="paragraph" w:styleId="Header">
    <w:name w:val="header"/>
    <w:basedOn w:val="Normal"/>
    <w:link w:val="HeaderChar"/>
    <w:rsid w:val="002F1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77C"/>
    <w:rPr>
      <w:rFonts w:ascii="Times New Roman" w:eastAsia="Times New Roman" w:hAnsi="Times New Roman" w:cs="Times New Roman"/>
      <w:sz w:val="16"/>
      <w:szCs w:val="20"/>
      <w:lang w:val="en-GB" w:eastAsia="en-US"/>
    </w:rPr>
  </w:style>
  <w:style w:type="paragraph" w:customStyle="1" w:styleId="Chapter">
    <w:name w:val="Chapter"/>
    <w:basedOn w:val="Normal"/>
    <w:rsid w:val="002F177C"/>
    <w:pPr>
      <w:spacing w:before="240"/>
    </w:pPr>
    <w:rPr>
      <w:rFonts w:ascii="Times New Roman" w:hAnsi="Times New Roman"/>
      <w:smallCaps/>
      <w:spacing w:val="80"/>
      <w:sz w:val="28"/>
    </w:rPr>
  </w:style>
  <w:style w:type="paragraph" w:customStyle="1" w:styleId="InChapter">
    <w:name w:val="InChapter"/>
    <w:basedOn w:val="Heading3"/>
    <w:rsid w:val="002F177C"/>
    <w:pPr>
      <w:spacing w:after="240"/>
      <w:outlineLvl w:val="9"/>
    </w:pPr>
    <w:rPr>
      <w:noProof/>
    </w:rPr>
  </w:style>
  <w:style w:type="paragraph" w:styleId="Index2">
    <w:name w:val="index 2"/>
    <w:basedOn w:val="Normal"/>
    <w:next w:val="Normal"/>
    <w:semiHidden/>
    <w:rsid w:val="002F177C"/>
    <w:pPr>
      <w:tabs>
        <w:tab w:val="right" w:pos="4176"/>
      </w:tabs>
      <w:ind w:left="568" w:hanging="284"/>
    </w:pPr>
    <w:rPr>
      <w:rFonts w:ascii="Garamond" w:hAnsi="Garamond"/>
    </w:rPr>
  </w:style>
  <w:style w:type="paragraph" w:customStyle="1" w:styleId="Byline">
    <w:name w:val="Byline"/>
    <w:rsid w:val="002F1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77C"/>
    <w:pPr>
      <w:tabs>
        <w:tab w:val="clear" w:pos="3600"/>
        <w:tab w:val="clear" w:pos="3958"/>
      </w:tabs>
      <w:jc w:val="right"/>
    </w:pPr>
  </w:style>
  <w:style w:type="paragraph" w:styleId="Caption">
    <w:name w:val="caption"/>
    <w:basedOn w:val="BodyText"/>
    <w:next w:val="Normal"/>
    <w:qFormat/>
    <w:rsid w:val="002F177C"/>
    <w:pPr>
      <w:framePr w:w="2268" w:hSpace="181" w:vSpace="181" w:wrap="around" w:vAnchor="text" w:hAnchor="page" w:x="1135" w:y="285" w:anchorLock="1"/>
    </w:pPr>
    <w:rPr>
      <w:i/>
    </w:rPr>
  </w:style>
  <w:style w:type="paragraph" w:customStyle="1" w:styleId="MiniTOCTitle">
    <w:name w:val="MiniTOCTitle"/>
    <w:basedOn w:val="Heading4"/>
    <w:rsid w:val="002F177C"/>
    <w:pPr>
      <w:spacing w:before="240"/>
      <w:outlineLvl w:val="9"/>
    </w:pPr>
    <w:rPr>
      <w:noProof/>
      <w:sz w:val="24"/>
    </w:rPr>
  </w:style>
  <w:style w:type="paragraph" w:customStyle="1" w:styleId="MiniTOCItem">
    <w:name w:val="MiniTOCItem"/>
    <w:basedOn w:val="ListBullet"/>
    <w:rsid w:val="002F177C"/>
    <w:pPr>
      <w:numPr>
        <w:numId w:val="0"/>
      </w:numPr>
      <w:tabs>
        <w:tab w:val="right" w:leader="dot" w:pos="6521"/>
      </w:tabs>
      <w:spacing w:before="0" w:after="0"/>
    </w:pPr>
  </w:style>
  <w:style w:type="paragraph" w:customStyle="1" w:styleId="TOFTitle">
    <w:name w:val="TOFTitle"/>
    <w:basedOn w:val="TOCTitle"/>
    <w:rsid w:val="002F177C"/>
  </w:style>
  <w:style w:type="paragraph" w:styleId="TableofFigures">
    <w:name w:val="table of figures"/>
    <w:basedOn w:val="Normal"/>
    <w:next w:val="Normal"/>
    <w:semiHidden/>
    <w:rsid w:val="002F177C"/>
    <w:pPr>
      <w:tabs>
        <w:tab w:val="right" w:leader="dot" w:pos="9072"/>
      </w:tabs>
      <w:ind w:left="970" w:hanging="403"/>
    </w:pPr>
    <w:rPr>
      <w:rFonts w:ascii="Times New Roman" w:hAnsi="Times New Roman"/>
      <w:b/>
    </w:rPr>
  </w:style>
  <w:style w:type="paragraph" w:styleId="ListNumber">
    <w:name w:val="List Number"/>
    <w:basedOn w:val="List"/>
    <w:rsid w:val="002F177C"/>
    <w:pPr>
      <w:numPr>
        <w:numId w:val="11"/>
      </w:numPr>
    </w:pPr>
  </w:style>
  <w:style w:type="character" w:customStyle="1" w:styleId="WingdingSymbols">
    <w:name w:val="Wingding Symbols"/>
    <w:rsid w:val="002F177C"/>
    <w:rPr>
      <w:rFonts w:ascii="Wingdings" w:hAnsi="Wingdings"/>
    </w:rPr>
  </w:style>
  <w:style w:type="paragraph" w:customStyle="1" w:styleId="TableHeading">
    <w:name w:val="Table Heading"/>
    <w:basedOn w:val="HeadingBase"/>
    <w:rsid w:val="002F177C"/>
    <w:pPr>
      <w:keepLines/>
      <w:pBdr>
        <w:bottom w:val="single" w:sz="6" w:space="1" w:color="918585"/>
      </w:pBdr>
      <w:spacing w:before="240"/>
    </w:pPr>
  </w:style>
  <w:style w:type="character" w:customStyle="1" w:styleId="HotSpot">
    <w:name w:val="HotSpot"/>
    <w:rsid w:val="002F177C"/>
    <w:rPr>
      <w:color w:val="0033CC"/>
      <w:u w:val="none"/>
    </w:rPr>
  </w:style>
  <w:style w:type="paragraph" w:customStyle="1" w:styleId="BodyTextRight">
    <w:name w:val="Body Text Right"/>
    <w:basedOn w:val="BodyText"/>
    <w:rsid w:val="002F177C"/>
    <w:pPr>
      <w:spacing w:before="0" w:after="0"/>
      <w:jc w:val="right"/>
    </w:pPr>
  </w:style>
  <w:style w:type="paragraph" w:styleId="Index3">
    <w:name w:val="index 3"/>
    <w:basedOn w:val="ListNumber2"/>
    <w:next w:val="Normal"/>
    <w:semiHidden/>
    <w:rsid w:val="002F177C"/>
    <w:pPr>
      <w:numPr>
        <w:numId w:val="0"/>
      </w:numPr>
      <w:tabs>
        <w:tab w:val="right" w:leader="dot" w:pos="4176"/>
      </w:tabs>
    </w:pPr>
  </w:style>
  <w:style w:type="paragraph" w:styleId="ListNumber2">
    <w:name w:val="List Number 2"/>
    <w:basedOn w:val="List2"/>
    <w:rsid w:val="002F177C"/>
    <w:pPr>
      <w:numPr>
        <w:numId w:val="10"/>
      </w:numPr>
      <w:tabs>
        <w:tab w:val="clear" w:pos="1060"/>
      </w:tabs>
    </w:pPr>
  </w:style>
  <w:style w:type="paragraph" w:customStyle="1" w:styleId="MarginNote">
    <w:name w:val="Margin Note"/>
    <w:basedOn w:val="BodyText"/>
    <w:rsid w:val="002F1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77C"/>
    <w:rPr>
      <w:sz w:val="32"/>
    </w:rPr>
  </w:style>
  <w:style w:type="paragraph" w:customStyle="1" w:styleId="HeadingProcedure">
    <w:name w:val="Heading Procedure"/>
    <w:basedOn w:val="HeadingBase"/>
    <w:next w:val="Normal"/>
    <w:rsid w:val="002F177C"/>
    <w:pPr>
      <w:tabs>
        <w:tab w:val="left" w:pos="0"/>
      </w:tabs>
      <w:spacing w:before="120" w:after="60"/>
    </w:pPr>
    <w:rPr>
      <w:i/>
      <w:color w:val="918585"/>
      <w:sz w:val="22"/>
    </w:rPr>
  </w:style>
  <w:style w:type="paragraph" w:customStyle="1" w:styleId="TableBodyText">
    <w:name w:val="Table Body Text"/>
    <w:basedOn w:val="BodyText"/>
    <w:rsid w:val="002F177C"/>
    <w:pPr>
      <w:spacing w:before="60" w:after="60"/>
    </w:pPr>
  </w:style>
  <w:style w:type="paragraph" w:styleId="ListContinue">
    <w:name w:val="List Continue"/>
    <w:basedOn w:val="List"/>
    <w:rsid w:val="002F177C"/>
    <w:pPr>
      <w:ind w:firstLine="0"/>
    </w:pPr>
  </w:style>
  <w:style w:type="paragraph" w:customStyle="1" w:styleId="ListNote">
    <w:name w:val="List Note"/>
    <w:basedOn w:val="List"/>
    <w:rsid w:val="002F177C"/>
    <w:pPr>
      <w:pBdr>
        <w:top w:val="single" w:sz="6" w:space="2" w:color="918585"/>
        <w:bottom w:val="single" w:sz="6" w:space="2" w:color="918585"/>
      </w:pBdr>
      <w:tabs>
        <w:tab w:val="left" w:pos="1021"/>
      </w:tabs>
      <w:ind w:firstLine="0"/>
    </w:pPr>
  </w:style>
  <w:style w:type="paragraph" w:customStyle="1" w:styleId="Warning">
    <w:name w:val="Warning"/>
    <w:basedOn w:val="BodyText"/>
    <w:rsid w:val="002F177C"/>
    <w:pPr>
      <w:shd w:val="clear" w:color="auto" w:fill="D9D9D9"/>
      <w:tabs>
        <w:tab w:val="left" w:pos="992"/>
      </w:tabs>
      <w:ind w:left="119" w:right="119"/>
    </w:pPr>
    <w:rPr>
      <w:sz w:val="20"/>
    </w:rPr>
  </w:style>
  <w:style w:type="paragraph" w:customStyle="1" w:styleId="MarginIcons">
    <w:name w:val="Margin Icons"/>
    <w:basedOn w:val="BodyText"/>
    <w:rsid w:val="002F1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77C"/>
    <w:rPr>
      <w:rFonts w:ascii="Courier New" w:hAnsi="Courier New"/>
    </w:rPr>
  </w:style>
  <w:style w:type="paragraph" w:customStyle="1" w:styleId="NoteBullet">
    <w:name w:val="Note Bullet"/>
    <w:basedOn w:val="Note"/>
    <w:rsid w:val="002F177C"/>
    <w:pPr>
      <w:tabs>
        <w:tab w:val="clear" w:pos="680"/>
      </w:tabs>
      <w:spacing w:before="60" w:after="60"/>
    </w:pPr>
  </w:style>
  <w:style w:type="paragraph" w:customStyle="1" w:styleId="SubHeading2">
    <w:name w:val="SubHeading2"/>
    <w:basedOn w:val="HeadingBase"/>
    <w:rsid w:val="002F177C"/>
    <w:pPr>
      <w:spacing w:before="240" w:after="60"/>
    </w:pPr>
    <w:rPr>
      <w:sz w:val="20"/>
    </w:rPr>
  </w:style>
  <w:style w:type="paragraph" w:customStyle="1" w:styleId="SubHeading1">
    <w:name w:val="SubHeading1"/>
    <w:basedOn w:val="HeadingBase"/>
    <w:rsid w:val="002F177C"/>
    <w:pPr>
      <w:spacing w:before="240" w:after="60"/>
    </w:pPr>
    <w:rPr>
      <w:color w:val="918585"/>
      <w:sz w:val="22"/>
    </w:rPr>
  </w:style>
  <w:style w:type="paragraph" w:customStyle="1" w:styleId="SideHeading">
    <w:name w:val="Side Heading"/>
    <w:basedOn w:val="HeadingBase"/>
    <w:rsid w:val="002F1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77C"/>
    <w:pPr>
      <w:numPr>
        <w:numId w:val="12"/>
      </w:numPr>
    </w:pPr>
  </w:style>
  <w:style w:type="paragraph" w:styleId="PlainText">
    <w:name w:val="Plain Text"/>
    <w:basedOn w:val="Normal"/>
    <w:link w:val="PlainTextChar"/>
    <w:rsid w:val="002F177C"/>
    <w:rPr>
      <w:sz w:val="20"/>
    </w:rPr>
  </w:style>
  <w:style w:type="character" w:customStyle="1" w:styleId="PlainTextChar">
    <w:name w:val="Plain Text Char"/>
    <w:basedOn w:val="DefaultParagraphFont"/>
    <w:link w:val="PlainText"/>
    <w:rsid w:val="002F177C"/>
    <w:rPr>
      <w:rFonts w:ascii="Courier New" w:eastAsia="Times New Roman" w:hAnsi="Courier New" w:cs="Times New Roman"/>
      <w:sz w:val="20"/>
      <w:szCs w:val="20"/>
      <w:lang w:eastAsia="en-US"/>
    </w:rPr>
  </w:style>
  <w:style w:type="character" w:customStyle="1" w:styleId="MenuOption">
    <w:name w:val="Menu Option"/>
    <w:basedOn w:val="DefaultParagraphFont"/>
    <w:rsid w:val="002F177C"/>
    <w:rPr>
      <w:b/>
      <w:smallCaps/>
    </w:rPr>
  </w:style>
  <w:style w:type="paragraph" w:customStyle="1" w:styleId="TableListNumber">
    <w:name w:val="Table List Number"/>
    <w:basedOn w:val="ListNumber"/>
    <w:rsid w:val="002F177C"/>
    <w:pPr>
      <w:numPr>
        <w:numId w:val="0"/>
      </w:numPr>
    </w:pPr>
  </w:style>
  <w:style w:type="paragraph" w:styleId="TOC4">
    <w:name w:val="toc 4"/>
    <w:basedOn w:val="TOCBase"/>
    <w:next w:val="Normal"/>
    <w:semiHidden/>
    <w:rsid w:val="002F177C"/>
    <w:pPr>
      <w:tabs>
        <w:tab w:val="right" w:leader="dot" w:pos="9071"/>
      </w:tabs>
      <w:ind w:left="1701"/>
    </w:pPr>
  </w:style>
  <w:style w:type="paragraph" w:customStyle="1" w:styleId="ListAlpha">
    <w:name w:val="List Alpha"/>
    <w:basedOn w:val="List"/>
    <w:rsid w:val="002F177C"/>
    <w:pPr>
      <w:numPr>
        <w:numId w:val="9"/>
      </w:numPr>
    </w:pPr>
  </w:style>
  <w:style w:type="paragraph" w:customStyle="1" w:styleId="ListAlpha2">
    <w:name w:val="List Alpha 2"/>
    <w:basedOn w:val="List2"/>
    <w:rsid w:val="002F177C"/>
    <w:pPr>
      <w:numPr>
        <w:numId w:val="8"/>
      </w:numPr>
    </w:pPr>
  </w:style>
  <w:style w:type="paragraph" w:styleId="List2">
    <w:name w:val="List 2"/>
    <w:basedOn w:val="BodyText"/>
    <w:rsid w:val="002F177C"/>
    <w:pPr>
      <w:tabs>
        <w:tab w:val="left" w:pos="680"/>
      </w:tabs>
      <w:spacing w:before="60" w:after="60"/>
      <w:ind w:left="680" w:hanging="340"/>
    </w:pPr>
  </w:style>
  <w:style w:type="paragraph" w:styleId="List3">
    <w:name w:val="List 3"/>
    <w:basedOn w:val="BodyText"/>
    <w:rsid w:val="002F177C"/>
    <w:pPr>
      <w:tabs>
        <w:tab w:val="left" w:pos="1021"/>
      </w:tabs>
      <w:spacing w:before="60" w:after="60"/>
      <w:ind w:left="1020" w:hanging="340"/>
    </w:pPr>
  </w:style>
  <w:style w:type="paragraph" w:styleId="List4">
    <w:name w:val="List 4"/>
    <w:basedOn w:val="BodyText"/>
    <w:rsid w:val="002F177C"/>
    <w:pPr>
      <w:tabs>
        <w:tab w:val="left" w:pos="1361"/>
      </w:tabs>
      <w:spacing w:before="60" w:after="60"/>
      <w:ind w:left="1361" w:hanging="340"/>
    </w:pPr>
  </w:style>
  <w:style w:type="paragraph" w:styleId="List5">
    <w:name w:val="List 5"/>
    <w:basedOn w:val="BodyText"/>
    <w:rsid w:val="002F177C"/>
    <w:pPr>
      <w:tabs>
        <w:tab w:val="left" w:pos="1701"/>
      </w:tabs>
      <w:spacing w:before="60" w:after="60"/>
      <w:ind w:left="1701" w:hanging="340"/>
    </w:pPr>
  </w:style>
  <w:style w:type="paragraph" w:styleId="ListBullet4">
    <w:name w:val="List Bullet 4"/>
    <w:basedOn w:val="List4"/>
    <w:rsid w:val="002F177C"/>
    <w:pPr>
      <w:numPr>
        <w:numId w:val="3"/>
      </w:numPr>
    </w:pPr>
  </w:style>
  <w:style w:type="paragraph" w:styleId="ListBullet5">
    <w:name w:val="List Bullet 5"/>
    <w:basedOn w:val="List5"/>
    <w:rsid w:val="002F177C"/>
    <w:pPr>
      <w:numPr>
        <w:numId w:val="4"/>
      </w:numPr>
    </w:pPr>
  </w:style>
  <w:style w:type="paragraph" w:styleId="ListContinue2">
    <w:name w:val="List Continue 2"/>
    <w:basedOn w:val="List2"/>
    <w:rsid w:val="002F177C"/>
    <w:pPr>
      <w:ind w:firstLine="0"/>
    </w:pPr>
  </w:style>
  <w:style w:type="paragraph" w:styleId="ListContinue3">
    <w:name w:val="List Continue 3"/>
    <w:basedOn w:val="List3"/>
    <w:rsid w:val="002F177C"/>
    <w:pPr>
      <w:ind w:left="1021" w:firstLine="0"/>
    </w:pPr>
  </w:style>
  <w:style w:type="paragraph" w:styleId="ListContinue4">
    <w:name w:val="List Continue 4"/>
    <w:basedOn w:val="List4"/>
    <w:rsid w:val="002F177C"/>
    <w:pPr>
      <w:ind w:firstLine="0"/>
    </w:pPr>
  </w:style>
  <w:style w:type="paragraph" w:styleId="ListContinue5">
    <w:name w:val="List Continue 5"/>
    <w:basedOn w:val="List5"/>
    <w:rsid w:val="002F177C"/>
    <w:pPr>
      <w:ind w:firstLine="0"/>
    </w:pPr>
  </w:style>
  <w:style w:type="paragraph" w:styleId="ListNumber3">
    <w:name w:val="List Number 3"/>
    <w:basedOn w:val="List3"/>
    <w:rsid w:val="002F177C"/>
    <w:pPr>
      <w:numPr>
        <w:numId w:val="5"/>
      </w:numPr>
    </w:pPr>
  </w:style>
  <w:style w:type="paragraph" w:styleId="ListNumber4">
    <w:name w:val="List Number 4"/>
    <w:basedOn w:val="List4"/>
    <w:rsid w:val="002F177C"/>
    <w:pPr>
      <w:numPr>
        <w:numId w:val="6"/>
      </w:numPr>
    </w:pPr>
  </w:style>
  <w:style w:type="paragraph" w:styleId="ListNumber5">
    <w:name w:val="List Number 5"/>
    <w:basedOn w:val="List5"/>
    <w:rsid w:val="002F177C"/>
    <w:pPr>
      <w:numPr>
        <w:numId w:val="7"/>
      </w:numPr>
    </w:pPr>
  </w:style>
  <w:style w:type="paragraph" w:styleId="BlockText">
    <w:name w:val="Block Text"/>
    <w:basedOn w:val="Normal"/>
    <w:rsid w:val="002F177C"/>
    <w:pPr>
      <w:spacing w:after="120"/>
      <w:ind w:left="1440" w:right="1440"/>
    </w:pPr>
  </w:style>
  <w:style w:type="character" w:customStyle="1" w:styleId="Subscript">
    <w:name w:val="Subscript"/>
    <w:basedOn w:val="DefaultParagraphFont"/>
    <w:rsid w:val="002F177C"/>
    <w:rPr>
      <w:sz w:val="16"/>
      <w:vertAlign w:val="subscript"/>
    </w:rPr>
  </w:style>
  <w:style w:type="character" w:customStyle="1" w:styleId="Superscript">
    <w:name w:val="Superscript"/>
    <w:basedOn w:val="DefaultParagraphFont"/>
    <w:rsid w:val="002F177C"/>
    <w:rPr>
      <w:sz w:val="16"/>
      <w:vertAlign w:val="superscript"/>
    </w:rPr>
  </w:style>
  <w:style w:type="character" w:customStyle="1" w:styleId="Symbols">
    <w:name w:val="Symbols"/>
    <w:basedOn w:val="DefaultParagraphFont"/>
    <w:rsid w:val="002F177C"/>
    <w:rPr>
      <w:rFonts w:ascii="Symbol" w:hAnsi="Symbol"/>
    </w:rPr>
  </w:style>
  <w:style w:type="character" w:customStyle="1" w:styleId="MenuOptions">
    <w:name w:val="Menu Options"/>
    <w:basedOn w:val="DefaultParagraphFont"/>
    <w:rsid w:val="002F177C"/>
    <w:rPr>
      <w:rFonts w:ascii="Arial Narrow" w:hAnsi="Arial Narrow"/>
      <w:smallCaps/>
    </w:rPr>
  </w:style>
  <w:style w:type="character" w:customStyle="1" w:styleId="Buttons">
    <w:name w:val="Buttons"/>
    <w:basedOn w:val="DefaultParagraphFont"/>
    <w:rsid w:val="002F177C"/>
    <w:rPr>
      <w:b/>
    </w:rPr>
  </w:style>
  <w:style w:type="character" w:customStyle="1" w:styleId="Underlined">
    <w:name w:val="Underlined"/>
    <w:basedOn w:val="DefaultParagraphFont"/>
    <w:rsid w:val="002F177C"/>
    <w:rPr>
      <w:u w:val="single"/>
    </w:rPr>
  </w:style>
  <w:style w:type="paragraph" w:customStyle="1" w:styleId="TableBodyTextRight">
    <w:name w:val="Table Body Text Right"/>
    <w:basedOn w:val="TableBodyText"/>
    <w:rsid w:val="002F177C"/>
    <w:pPr>
      <w:widowControl w:val="0"/>
      <w:autoSpaceDE w:val="0"/>
      <w:autoSpaceDN w:val="0"/>
      <w:adjustRightInd w:val="0"/>
      <w:jc w:val="right"/>
    </w:pPr>
    <w:rPr>
      <w:rFonts w:cs="Arial"/>
      <w:szCs w:val="18"/>
    </w:rPr>
  </w:style>
  <w:style w:type="paragraph" w:customStyle="1" w:styleId="CopyrightText">
    <w:name w:val="Copyright Text"/>
    <w:basedOn w:val="BodyText"/>
    <w:rsid w:val="002F177C"/>
    <w:rPr>
      <w:sz w:val="18"/>
    </w:rPr>
  </w:style>
  <w:style w:type="paragraph" w:customStyle="1" w:styleId="BodySmallRight">
    <w:name w:val="Body Small Right"/>
    <w:basedOn w:val="BodyTextRight"/>
    <w:rsid w:val="002F177C"/>
    <w:rPr>
      <w:sz w:val="18"/>
      <w:szCs w:val="18"/>
    </w:rPr>
  </w:style>
  <w:style w:type="paragraph" w:customStyle="1" w:styleId="MarginEdition">
    <w:name w:val="Margin Edition"/>
    <w:basedOn w:val="MarginNote"/>
    <w:rsid w:val="002F177C"/>
    <w:pPr>
      <w:spacing w:before="0" w:after="0"/>
    </w:pPr>
    <w:rPr>
      <w:rFonts w:ascii="Times New Roman" w:hAnsi="Times New Roman"/>
      <w:color w:val="999999"/>
    </w:rPr>
  </w:style>
  <w:style w:type="paragraph" w:customStyle="1" w:styleId="Spacer">
    <w:name w:val="Spacer"/>
    <w:basedOn w:val="Normal"/>
    <w:rsid w:val="002F177C"/>
    <w:rPr>
      <w:sz w:val="2"/>
      <w:szCs w:val="2"/>
    </w:rPr>
  </w:style>
  <w:style w:type="character" w:customStyle="1" w:styleId="Small">
    <w:name w:val="Small"/>
    <w:basedOn w:val="DefaultParagraphFont"/>
    <w:rsid w:val="002F177C"/>
    <w:rPr>
      <w:sz w:val="16"/>
    </w:rPr>
  </w:style>
  <w:style w:type="paragraph" w:customStyle="1" w:styleId="WideTable">
    <w:name w:val="Wide Table"/>
    <w:basedOn w:val="Normal"/>
    <w:rsid w:val="002F177C"/>
    <w:pPr>
      <w:ind w:left="-1418"/>
    </w:pPr>
    <w:rPr>
      <w:sz w:val="2"/>
      <w:szCs w:val="2"/>
    </w:rPr>
  </w:style>
  <w:style w:type="character" w:styleId="PageNumber">
    <w:name w:val="page number"/>
    <w:basedOn w:val="DefaultParagraphFont"/>
    <w:rsid w:val="002F177C"/>
  </w:style>
  <w:style w:type="paragraph" w:styleId="Quote">
    <w:name w:val="Quote"/>
    <w:basedOn w:val="Heading1"/>
    <w:link w:val="QuoteChar"/>
    <w:qFormat/>
    <w:rsid w:val="002F177C"/>
    <w:rPr>
      <w:b w:val="0"/>
      <w:sz w:val="72"/>
      <w:szCs w:val="72"/>
      <w:lang w:val="en-NZ"/>
    </w:rPr>
  </w:style>
  <w:style w:type="character" w:customStyle="1" w:styleId="QuoteChar">
    <w:name w:val="Quote Char"/>
    <w:basedOn w:val="DefaultParagraphFont"/>
    <w:link w:val="Quote"/>
    <w:rsid w:val="002F1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77C"/>
    <w:pPr>
      <w:pageBreakBefore/>
    </w:pPr>
  </w:style>
  <w:style w:type="paragraph" w:customStyle="1" w:styleId="Border">
    <w:name w:val="Border"/>
    <w:basedOn w:val="Normal"/>
    <w:qFormat/>
    <w:rsid w:val="002F1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77C"/>
    <w:rPr>
      <w:b/>
      <w:bCs/>
      <w:i/>
      <w:iCs/>
      <w:color w:val="auto"/>
    </w:rPr>
  </w:style>
  <w:style w:type="paragraph" w:styleId="IntenseQuote">
    <w:name w:val="Intense Quote"/>
    <w:basedOn w:val="Normal"/>
    <w:next w:val="Normal"/>
    <w:link w:val="IntenseQuoteChar"/>
    <w:uiPriority w:val="30"/>
    <w:qFormat/>
    <w:rsid w:val="002F1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77C"/>
    <w:rPr>
      <w:smallCaps/>
      <w:color w:val="auto"/>
      <w:u w:val="single"/>
    </w:rPr>
  </w:style>
  <w:style w:type="character" w:styleId="IntenseReference">
    <w:name w:val="Intense Reference"/>
    <w:basedOn w:val="DefaultParagraphFont"/>
    <w:uiPriority w:val="32"/>
    <w:qFormat/>
    <w:rsid w:val="002F177C"/>
    <w:rPr>
      <w:b/>
      <w:bCs/>
      <w:smallCaps/>
      <w:color w:val="auto"/>
      <w:spacing w:val="5"/>
      <w:u w:val="single"/>
    </w:rPr>
  </w:style>
  <w:style w:type="paragraph" w:customStyle="1" w:styleId="2ColumnHeading">
    <w:name w:val="2Column Heading"/>
    <w:basedOn w:val="BodyText"/>
    <w:qFormat/>
    <w:rsid w:val="002F177C"/>
    <w:pPr>
      <w:spacing w:after="60"/>
      <w:ind w:left="-2268"/>
    </w:pPr>
    <w:rPr>
      <w:b/>
    </w:rPr>
  </w:style>
  <w:style w:type="paragraph" w:customStyle="1" w:styleId="Heading1TOC">
    <w:name w:val="Heading1 TOC"/>
    <w:basedOn w:val="Normal"/>
    <w:qFormat/>
    <w:rsid w:val="002F177C"/>
    <w:pPr>
      <w:spacing w:before="240" w:after="120"/>
    </w:pPr>
    <w:rPr>
      <w:rFonts w:ascii="Times New Roman" w:hAnsi="Times New Roman"/>
      <w:b/>
      <w:sz w:val="32"/>
    </w:rPr>
  </w:style>
  <w:style w:type="paragraph" w:customStyle="1" w:styleId="Heading2TOC">
    <w:name w:val="Heading2 TOC"/>
    <w:basedOn w:val="Normal"/>
    <w:qFormat/>
    <w:rsid w:val="002F177C"/>
    <w:pPr>
      <w:spacing w:before="240" w:after="60"/>
    </w:pPr>
    <w:rPr>
      <w:rFonts w:ascii="Times New Roman" w:hAnsi="Times New Roman"/>
      <w:b/>
      <w:sz w:val="28"/>
    </w:rPr>
  </w:style>
  <w:style w:type="character" w:customStyle="1" w:styleId="Underline">
    <w:name w:val="Underline"/>
    <w:basedOn w:val="DefaultParagraphFont"/>
    <w:qFormat/>
    <w:rsid w:val="002F177C"/>
    <w:rPr>
      <w:u w:val="single"/>
    </w:rPr>
  </w:style>
  <w:style w:type="paragraph" w:styleId="BalloonText">
    <w:name w:val="Balloon Text"/>
    <w:basedOn w:val="Normal"/>
    <w:link w:val="BalloonTextChar"/>
    <w:rsid w:val="002F177C"/>
    <w:rPr>
      <w:rFonts w:ascii="Tahoma" w:hAnsi="Tahoma" w:cs="Tahoma"/>
      <w:sz w:val="16"/>
      <w:szCs w:val="16"/>
    </w:rPr>
  </w:style>
  <w:style w:type="character" w:customStyle="1" w:styleId="BalloonTextChar">
    <w:name w:val="Balloon Text Char"/>
    <w:basedOn w:val="DefaultParagraphFont"/>
    <w:link w:val="BalloonText"/>
    <w:rsid w:val="002F1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77C"/>
    <w:rPr>
      <w:b/>
      <w:color w:val="660033"/>
      <w:spacing w:val="0"/>
    </w:rPr>
  </w:style>
  <w:style w:type="paragraph" w:customStyle="1" w:styleId="Nameditemlist">
    <w:name w:val="Named item list"/>
    <w:basedOn w:val="BodyText"/>
    <w:qFormat/>
    <w:rsid w:val="002F17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1469</Words>
  <Characters>10035</Characters>
  <Application>Microsoft Office Word</Application>
  <DocSecurity>0</DocSecurity>
  <Lines>353</Lines>
  <Paragraphs>232</Paragraphs>
  <ScaleCrop>false</ScaleCrop>
  <Company>Author-it Software Corporation Ltd.</Company>
  <LinksUpToDate>false</LinksUpToDate>
  <CharactersWithSpaces>11443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PSPHR506A Coordinate employment relations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2012-11-01T17:33:00Z</dcterms:created>
  <dcterms:modified xsi:type="dcterms:W3CDTF">2012-11-01T17:33:00Z</dcterms:modified>
</cp:coreProperties>
</file>