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60B" w:rsidP="0020060B">
      <w:pPr>
        <w:pStyle w:val="Title"/>
      </w:pPr>
      <w:bookmarkStart w:id="0" w:name="_GoBack"/>
      <w:bookmarkEnd w:id="0"/>
      <w:r>
        <w:fldChar w:fldCharType="begin"/>
      </w:r>
      <w:r>
        <w:instrText xml:space="preserve"> TITLE   \* MERGEFORMAT </w:instrText>
      </w:r>
      <w:r>
        <w:fldChar w:fldCharType="separate"/>
      </w:r>
      <w:r>
        <w:t>PSPGOV603B Develop a tender submission response</w:t>
      </w:r>
      <w:r>
        <w:fldChar w:fldCharType="end"/>
      </w:r>
    </w:p>
    <w:p w:rsidR="0020060B" w:rsidP="0020060B">
      <w:pPr>
        <w:pStyle w:val="Version"/>
        <w:sectPr w:rsidSect="00B239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239DD" w:rsidP="00B239DD">
      <w:pPr>
        <w:pStyle w:val="SuperHeading"/>
      </w:pPr>
      <w:r w:rsidRPr="00B239DD">
        <w:t>PSPGOV603B Develop a tender submission response</w:t>
      </w:r>
    </w:p>
    <w:p w:rsidR="00000000" w:rsidRPr="00B239DD" w:rsidP="00B239DD">
      <w:pPr>
        <w:pStyle w:val="SuperHeading"/>
      </w:pPr>
    </w:p>
    <w:p w:rsidR="00000000" w:rsidRPr="00B239DD" w:rsidP="00B239DD">
      <w:pPr>
        <w:pStyle w:val="Heading1"/>
      </w:pPr>
      <w:bookmarkStart w:id="1" w:name="O_493684"/>
      <w:bookmarkEnd w:id="1"/>
      <w:r w:rsidRPr="00B239DD">
        <w:t>Modification History</w:t>
      </w:r>
    </w:p>
    <w:tbl>
      <w:tblPr>
        <w:tblW w:w="0" w:type="auto"/>
        <w:tblLayout w:type="fixed"/>
        <w:tblCellMar>
          <w:left w:w="62" w:type="dxa"/>
          <w:right w:w="62" w:type="dxa"/>
        </w:tblCellMar>
        <w:tblLook w:val="0000"/>
      </w:tblPr>
      <w:tblGrid>
        <w:gridCol w:w="3052"/>
        <w:gridCol w:w="3052"/>
        <w:gridCol w:w="3052"/>
      </w:tblGrid>
      <w:tr w:rsidTr="0020060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9DD" w:rsidP="00B239DD">
            <w:pPr>
              <w:pStyle w:val="BodyText"/>
            </w:pPr>
            <w:r w:rsidRPr="00B239D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9DD" w:rsidP="00B239DD">
            <w:pPr>
              <w:pStyle w:val="BodyText"/>
            </w:pPr>
            <w:r w:rsidRPr="00B239D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rPr>
                <w:rStyle w:val="SpecialBold"/>
              </w:rPr>
              <w:t>Comments</w:t>
            </w:r>
          </w:p>
        </w:tc>
      </w:tr>
      <w:tr w:rsidTr="0020060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t>Unit descriptor edited.</w:t>
            </w:r>
          </w:p>
        </w:tc>
      </w:tr>
      <w:tr w:rsidTr="0020060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t>Layout adjusted. No changes to content.</w:t>
            </w:r>
          </w:p>
        </w:tc>
      </w:tr>
      <w:tr w:rsidTr="0020060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9DD" w:rsidP="00B239DD">
            <w:pPr>
              <w:pStyle w:val="BodyText"/>
            </w:pPr>
            <w:r w:rsidRPr="00B239DD">
              <w:t>Primary release.</w:t>
            </w:r>
          </w:p>
        </w:tc>
      </w:tr>
    </w:tbl>
    <w:p w:rsidR="0020060B" w:rsidP="00B239DD">
      <w:pPr>
        <w:pStyle w:val="BodyText"/>
      </w:pPr>
    </w:p>
    <w:p w:rsidR="0020060B" w:rsidP="00B239DD">
      <w:pPr>
        <w:pStyle w:val="BodyText"/>
      </w:pPr>
    </w:p>
    <w:p w:rsidR="00000000" w:rsidRPr="00B239DD" w:rsidP="00B239DD">
      <w:pPr>
        <w:pStyle w:val="Heading1"/>
      </w:pPr>
      <w:bookmarkStart w:id="2" w:name="O_493688"/>
      <w:bookmarkEnd w:id="2"/>
      <w:r w:rsidRPr="00B239DD">
        <w:t>Unit Descriptor</w:t>
      </w:r>
    </w:p>
    <w:p w:rsidR="00000000" w:rsidRPr="00B239DD" w:rsidP="00B239DD">
      <w:pPr>
        <w:pStyle w:val="BodyText"/>
      </w:pPr>
      <w:r w:rsidRPr="00B239DD">
        <w:t>This unit covers the preparation of a written submission respondin</w:t>
      </w:r>
      <w:r w:rsidRPr="00B239DD">
        <w:t>g to a tender to provide goods or services on a cost-recovery or for profit basis. It includes identifying opportunities to provide goods or services, analysing tender requirements, determining proposal methodology, preparing estimates, submitting a tender</w:t>
      </w:r>
      <w:r w:rsidRPr="00B239DD">
        <w:t xml:space="preserve"> and reviewing the tender process.</w:t>
      </w:r>
    </w:p>
    <w:p w:rsidR="00000000" w:rsidRPr="00B239DD" w:rsidP="00B239DD">
      <w:pPr>
        <w:pStyle w:val="BodyText"/>
      </w:pPr>
      <w:r w:rsidRPr="00B239DD">
        <w:t>In practice, developing a tender submission response may overlap with other generalist or specialist public sector work activities such as applying government systems, acting ethically, complying with legislation, managin</w:t>
      </w:r>
      <w:r w:rsidRPr="00B239DD">
        <w:t>g resources, managing risk, etc.</w:t>
      </w:r>
    </w:p>
    <w:p w:rsidR="00000000" w:rsidRPr="00B239DD" w:rsidP="00B239DD">
      <w:pPr>
        <w:pStyle w:val="BodyText"/>
      </w:pPr>
      <w:r w:rsidRPr="00B239DD">
        <w:t xml:space="preserve">This is one of 2 units of competency in the </w:t>
      </w:r>
      <w:r w:rsidRPr="00B239DD">
        <w:rPr>
          <w:rStyle w:val="Emphasis"/>
        </w:rPr>
        <w:t>Working in Government</w:t>
      </w:r>
      <w:r w:rsidRPr="00B239DD">
        <w:t xml:space="preserve"> Competency Field dealing with quoting/tendering for work. The related unit is:</w:t>
      </w:r>
    </w:p>
    <w:p w:rsidR="00000000" w:rsidRPr="00B239DD" w:rsidP="00B239DD">
      <w:pPr>
        <w:pStyle w:val="ListBullet"/>
      </w:pPr>
      <w:r w:rsidRPr="00B239DD">
        <w:t>PSPGOV407B Provide a quotation</w:t>
      </w:r>
    </w:p>
    <w:p w:rsidR="00000000" w:rsidRPr="00B239DD" w:rsidP="00B239DD">
      <w:pPr>
        <w:pStyle w:val="BodyText"/>
      </w:pPr>
      <w:r w:rsidRPr="00B239DD">
        <w:t>No licensing, legislative, regulatory or certi</w:t>
      </w:r>
      <w:r w:rsidRPr="00B239DD">
        <w:t>fication requirements apply to this unit at the time of publication</w:t>
      </w:r>
    </w:p>
    <w:p w:rsidR="00000000" w:rsidRPr="00B239DD" w:rsidP="00B239DD">
      <w:pPr>
        <w:pStyle w:val="AllowPageBreak"/>
      </w:pPr>
    </w:p>
    <w:p w:rsidR="00000000" w:rsidRPr="00B239DD" w:rsidP="00B239DD">
      <w:pPr>
        <w:pStyle w:val="Heading1"/>
      </w:pPr>
      <w:bookmarkStart w:id="3" w:name="O_493694"/>
      <w:bookmarkEnd w:id="3"/>
      <w:r w:rsidRPr="00B239DD">
        <w:t>Application of the Unit</w:t>
      </w:r>
    </w:p>
    <w:p w:rsidR="00000000" w:rsidRPr="00B239DD" w:rsidP="00B239DD">
      <w:pPr>
        <w:pStyle w:val="BodyText"/>
      </w:pPr>
      <w:r w:rsidRPr="00B239DD">
        <w:t>Not applicable.</w:t>
      </w:r>
    </w:p>
    <w:p w:rsidR="00000000" w:rsidRPr="00B239DD" w:rsidP="00B239DD">
      <w:pPr>
        <w:pStyle w:val="AllowPageBreak"/>
      </w:pPr>
    </w:p>
    <w:p w:rsidR="00000000" w:rsidRPr="00B239DD" w:rsidP="00B239DD">
      <w:pPr>
        <w:pStyle w:val="Heading1"/>
      </w:pPr>
      <w:bookmarkStart w:id="4" w:name="O_493685"/>
      <w:bookmarkEnd w:id="4"/>
      <w:r w:rsidRPr="00B239DD">
        <w:t>Licensing/Regulatory Information</w:t>
      </w:r>
    </w:p>
    <w:p w:rsidR="00000000" w:rsidRPr="00B239DD" w:rsidP="00B239DD">
      <w:pPr>
        <w:pStyle w:val="BodyText"/>
      </w:pPr>
      <w:r w:rsidRPr="00B239DD">
        <w:t>Not applicable.</w:t>
      </w:r>
    </w:p>
    <w:p w:rsidR="00000000" w:rsidRPr="00B239DD" w:rsidP="00B239DD">
      <w:pPr>
        <w:pStyle w:val="AllowPageBreak"/>
      </w:pPr>
    </w:p>
    <w:p w:rsidR="00000000" w:rsidRPr="00B239DD" w:rsidP="00B239DD">
      <w:pPr>
        <w:pStyle w:val="Heading1"/>
      </w:pPr>
      <w:bookmarkStart w:id="5" w:name="O_493689"/>
      <w:bookmarkEnd w:id="5"/>
      <w:r w:rsidRPr="00B239DD">
        <w:t>Pre-Requisites</w:t>
      </w:r>
    </w:p>
    <w:p w:rsidR="00000000" w:rsidRPr="00B239DD" w:rsidP="00B239DD">
      <w:pPr>
        <w:pStyle w:val="BodyText"/>
      </w:pPr>
      <w:r w:rsidRPr="00B239DD">
        <w:t>Not applicable.</w:t>
      </w:r>
    </w:p>
    <w:p w:rsidR="00000000" w:rsidRPr="00B239DD" w:rsidP="00B239DD">
      <w:pPr>
        <w:pStyle w:val="AllowPageBreak"/>
      </w:pPr>
    </w:p>
    <w:p w:rsidR="00000000" w:rsidRPr="00B239DD" w:rsidP="00B239DD">
      <w:pPr>
        <w:pStyle w:val="Heading1"/>
      </w:pPr>
      <w:bookmarkStart w:id="6" w:name="O_493690"/>
      <w:bookmarkEnd w:id="6"/>
      <w:r w:rsidRPr="00B239DD">
        <w:t>Employability Skills Information</w:t>
      </w:r>
    </w:p>
    <w:p w:rsidR="00000000" w:rsidRPr="00B239DD" w:rsidP="00B239DD">
      <w:pPr>
        <w:pStyle w:val="BodyText"/>
      </w:pPr>
      <w:r w:rsidRPr="00B239DD">
        <w:t>This unit contains employability skills.</w:t>
      </w:r>
    </w:p>
    <w:p w:rsidR="00000000" w:rsidRPr="00B239DD" w:rsidP="00B239DD">
      <w:pPr>
        <w:pStyle w:val="AllowPageBreak"/>
      </w:pPr>
    </w:p>
    <w:p w:rsidR="00000000" w:rsidRPr="00B239DD" w:rsidP="00B239DD">
      <w:pPr>
        <w:pStyle w:val="Heading1"/>
      </w:pPr>
      <w:bookmarkStart w:id="7" w:name="O_493691"/>
      <w:bookmarkEnd w:id="7"/>
      <w:r w:rsidRPr="00B239DD">
        <w:t>Elements and Performance Criteria Pre-Content</w:t>
      </w:r>
    </w:p>
    <w:tbl>
      <w:tblPr>
        <w:tblW w:w="9322" w:type="dxa"/>
        <w:tblLayout w:type="fixed"/>
        <w:tblCellMar>
          <w:left w:w="62" w:type="dxa"/>
          <w:right w:w="62" w:type="dxa"/>
        </w:tblCellMar>
        <w:tblLook w:val="0000"/>
      </w:tblPr>
      <w:tblGrid>
        <w:gridCol w:w="2660"/>
        <w:gridCol w:w="6662"/>
      </w:tblGrid>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BodyText"/>
              <w:rPr>
                <w:lang w:val="en-NZ"/>
              </w:rPr>
            </w:pPr>
            <w:r w:rsidRPr="00B239D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BodyText"/>
            </w:pPr>
            <w:r w:rsidRPr="00B239DD">
              <w:t>Together, performance criteria specify the requirements for competent performance. Text in</w:t>
            </w:r>
            <w:r w:rsidRPr="00B239DD">
              <w:rPr>
                <w:rStyle w:val="BoldandItalics"/>
              </w:rPr>
              <w:t xml:space="preserve"> bold italics </w:t>
            </w:r>
            <w:r w:rsidRPr="00B239DD">
              <w:t>is explained in the Range Statement following.</w:t>
            </w:r>
          </w:p>
        </w:tc>
      </w:tr>
    </w:tbl>
    <w:p w:rsidR="00000000" w:rsidRPr="00B239DD" w:rsidP="00B239DD">
      <w:pPr>
        <w:pStyle w:val="BodyText"/>
      </w:pPr>
    </w:p>
    <w:p w:rsidR="00000000" w:rsidRPr="00B239DD" w:rsidP="00B239DD">
      <w:pPr>
        <w:pStyle w:val="AllowPageBreak"/>
      </w:pPr>
    </w:p>
    <w:p w:rsidR="00000000" w:rsidRPr="00B239DD" w:rsidP="00B239DD">
      <w:pPr>
        <w:pStyle w:val="Heading1"/>
      </w:pPr>
      <w:bookmarkStart w:id="8" w:name="O_493692"/>
      <w:bookmarkEnd w:id="8"/>
      <w:r w:rsidRPr="00B239DD">
        <w:t>Elements and Performance Criteria</w:t>
      </w:r>
    </w:p>
    <w:tbl>
      <w:tblPr>
        <w:tblW w:w="9322" w:type="dxa"/>
        <w:tblLayout w:type="fixed"/>
        <w:tblCellMar>
          <w:left w:w="62" w:type="dxa"/>
          <w:right w:w="62" w:type="dxa"/>
        </w:tblCellMar>
        <w:tblLook w:val="0000"/>
      </w:tblPr>
      <w:tblGrid>
        <w:gridCol w:w="2660"/>
        <w:gridCol w:w="6662"/>
      </w:tblGrid>
      <w:tr w:rsidTr="0020060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239DD" w:rsidP="00B239DD">
            <w:pPr>
              <w:pStyle w:val="BodyText"/>
            </w:pPr>
            <w:r w:rsidRPr="00B239D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239DD">
            <w:pPr>
              <w:pStyle w:val="BodyText"/>
              <w:rPr>
                <w:lang w:val="en-NZ"/>
              </w:rPr>
            </w:pPr>
            <w:r w:rsidRPr="00B239DD">
              <w:rPr>
                <w:rStyle w:val="SpecialBold"/>
              </w:rPr>
              <w:t>PERFORMANCE CRITERIA</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List"/>
              <w:rPr>
                <w:lang w:val="en-NZ"/>
              </w:rPr>
            </w:pPr>
            <w:r w:rsidRPr="00B239DD">
              <w:rPr>
                <w:rStyle w:val="SpecialBold"/>
              </w:rPr>
              <w:t>1</w:t>
            </w:r>
            <w:r w:rsidRPr="00B239DD">
              <w:t xml:space="preserve">. </w:t>
            </w:r>
            <w:r w:rsidRPr="00B239DD">
              <w:tab/>
            </w:r>
            <w:r w:rsidRPr="00B239DD">
              <w:rPr>
                <w:rStyle w:val="SpecialBold"/>
              </w:rPr>
              <w:t>Identify opportuni</w:t>
            </w:r>
            <w:r w:rsidRPr="00B239DD">
              <w:rPr>
                <w:rStyle w:val="SpecialBold"/>
              </w:rPr>
              <w:t>ties to provide goods or services</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List"/>
            </w:pPr>
            <w:r w:rsidRPr="00B239DD">
              <w:t>1.1</w:t>
            </w:r>
            <w:r w:rsidRPr="00B239DD">
              <w:tab/>
              <w:t xml:space="preserve">The </w:t>
            </w:r>
            <w:r w:rsidRPr="00B239DD">
              <w:rPr>
                <w:rStyle w:val="BoldandItalics"/>
              </w:rPr>
              <w:t>business unit's</w:t>
            </w:r>
            <w:r w:rsidRPr="00B239DD">
              <w:t xml:space="preserve"> or organisation's place in the market is identified.</w:t>
            </w:r>
          </w:p>
          <w:p w:rsidR="00000000" w:rsidRPr="00B239DD" w:rsidP="00B239DD">
            <w:pPr>
              <w:pStyle w:val="List"/>
            </w:pPr>
            <w:r w:rsidRPr="00B239DD">
              <w:t>1.2</w:t>
            </w:r>
            <w:r w:rsidRPr="00B239DD">
              <w:tab/>
              <w:t>Organisational resources/expertise available for purchase by others are identified and matched to opportunities.</w:t>
            </w:r>
          </w:p>
          <w:p w:rsidR="00000000" w:rsidP="00B239DD">
            <w:pPr>
              <w:pStyle w:val="List"/>
              <w:rPr>
                <w:lang w:val="en-NZ"/>
              </w:rPr>
            </w:pPr>
            <w:r w:rsidRPr="00B239DD">
              <w:t>1.3</w:t>
            </w:r>
            <w:r w:rsidRPr="00B239DD">
              <w:tab/>
            </w:r>
            <w:r w:rsidRPr="00B239DD">
              <w:rPr>
                <w:rStyle w:val="BoldandItalics"/>
              </w:rPr>
              <w:t xml:space="preserve">Business case </w:t>
            </w:r>
            <w:r w:rsidRPr="00B239DD">
              <w:t>is develop</w:t>
            </w:r>
            <w:r w:rsidRPr="00B239DD">
              <w:t>ed to demonstrate viability of opportunities and is submitted for approval in accordance with organisational policy and procedures.</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List"/>
              <w:rPr>
                <w:lang w:val="en-NZ"/>
              </w:rPr>
            </w:pPr>
            <w:r w:rsidRPr="00B239DD">
              <w:rPr>
                <w:rStyle w:val="SpecialBold"/>
              </w:rPr>
              <w:t>2</w:t>
            </w:r>
            <w:r w:rsidRPr="00B239DD">
              <w:t xml:space="preserve">. </w:t>
            </w:r>
            <w:r w:rsidRPr="00B239DD">
              <w:tab/>
            </w:r>
            <w:r w:rsidRPr="00B239DD">
              <w:rPr>
                <w:rStyle w:val="SpecialBold"/>
              </w:rPr>
              <w:t>Analyse tender requirements</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List"/>
            </w:pPr>
            <w:r w:rsidRPr="00B239DD">
              <w:t>2.1</w:t>
            </w:r>
            <w:r w:rsidRPr="00B239DD">
              <w:tab/>
              <w:t xml:space="preserve">Scope of the </w:t>
            </w:r>
            <w:r w:rsidRPr="00B239DD">
              <w:rPr>
                <w:rStyle w:val="BoldandItalics"/>
              </w:rPr>
              <w:t xml:space="preserve">tender </w:t>
            </w:r>
            <w:r w:rsidRPr="00B239DD">
              <w:t>requirement is identified.</w:t>
            </w:r>
          </w:p>
          <w:p w:rsidR="00000000" w:rsidRPr="00B239DD" w:rsidP="00B239DD">
            <w:pPr>
              <w:pStyle w:val="List"/>
            </w:pPr>
            <w:r w:rsidRPr="00B239DD">
              <w:t>2.2</w:t>
            </w:r>
            <w:r w:rsidRPr="00B239DD">
              <w:tab/>
            </w:r>
            <w:r w:rsidRPr="00B239DD">
              <w:t>Requirements are confirmed with the funder/purchaser in accordance with organisational policy and procedures.</w:t>
            </w:r>
          </w:p>
          <w:p w:rsidR="00000000" w:rsidP="00B239DD">
            <w:pPr>
              <w:pStyle w:val="List"/>
              <w:rPr>
                <w:lang w:val="en-NZ"/>
              </w:rPr>
            </w:pPr>
            <w:r w:rsidRPr="00B239DD">
              <w:t>2.3</w:t>
            </w:r>
            <w:r w:rsidRPr="00B239DD">
              <w:tab/>
              <w:t>Cultural issues are identified and clarified where necessary particularly when responding to international opportunities to sell services.</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List"/>
              <w:rPr>
                <w:lang w:val="en-NZ"/>
              </w:rPr>
            </w:pPr>
            <w:r w:rsidRPr="00B239DD">
              <w:rPr>
                <w:rStyle w:val="SpecialBold"/>
              </w:rPr>
              <w:t>3</w:t>
            </w:r>
            <w:r w:rsidRPr="00B239DD">
              <w:t>.</w:t>
            </w:r>
            <w:r w:rsidRPr="00B239DD">
              <w:t xml:space="preserve"> </w:t>
            </w:r>
            <w:r w:rsidRPr="00B239DD">
              <w:tab/>
            </w:r>
            <w:r w:rsidRPr="00B239DD">
              <w:rPr>
                <w:rStyle w:val="SpecialBold"/>
              </w:rPr>
              <w:t>Determine proposal methodology</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List"/>
            </w:pPr>
            <w:r w:rsidRPr="00B239DD">
              <w:t>3.1</w:t>
            </w:r>
            <w:r w:rsidRPr="00B239DD">
              <w:tab/>
              <w:t>Methodology is selected based on available resources, available expertise and client requirements.</w:t>
            </w:r>
          </w:p>
          <w:p w:rsidR="00000000" w:rsidP="00B239DD">
            <w:pPr>
              <w:pStyle w:val="List"/>
              <w:rPr>
                <w:lang w:val="en-NZ"/>
              </w:rPr>
            </w:pPr>
            <w:r w:rsidRPr="00B239DD">
              <w:t>3.2</w:t>
            </w:r>
            <w:r w:rsidRPr="00B239DD">
              <w:tab/>
              <w:t>Methodology is selected in accordance with organisational and public sector requirements for probity and accountabil</w:t>
            </w:r>
            <w:r w:rsidRPr="00B239DD">
              <w:t>ity.</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List"/>
              <w:rPr>
                <w:lang w:val="en-NZ"/>
              </w:rPr>
            </w:pPr>
            <w:r w:rsidRPr="00B239DD">
              <w:rPr>
                <w:rStyle w:val="SpecialBold"/>
              </w:rPr>
              <w:t>4</w:t>
            </w:r>
            <w:r w:rsidRPr="00B239DD">
              <w:t xml:space="preserve">. </w:t>
            </w:r>
            <w:r w:rsidRPr="00B239DD">
              <w:tab/>
            </w:r>
            <w:r w:rsidRPr="00B239DD">
              <w:rPr>
                <w:rStyle w:val="SpecialBold"/>
              </w:rPr>
              <w:t>Prepare estimate</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List"/>
            </w:pPr>
            <w:r w:rsidRPr="00B239DD">
              <w:t>4.1</w:t>
            </w:r>
            <w:r w:rsidRPr="00B239DD">
              <w:tab/>
              <w:t>Estimate is prepared to take account of all requirements and allows for contingencies.</w:t>
            </w:r>
          </w:p>
          <w:p w:rsidR="00000000" w:rsidRPr="00B239DD" w:rsidP="00B239DD">
            <w:pPr>
              <w:pStyle w:val="List"/>
            </w:pPr>
            <w:r w:rsidRPr="00B239DD">
              <w:t>4.2</w:t>
            </w:r>
            <w:r w:rsidRPr="00B239DD">
              <w:tab/>
              <w:t>Estimate is structured to provide for cost recovery or return a profit according to</w:t>
            </w:r>
            <w:r w:rsidRPr="00B239DD">
              <w:rPr>
                <w:rStyle w:val="BoldandItalics"/>
              </w:rPr>
              <w:t xml:space="preserve"> legislation, policy and procedures</w:t>
            </w:r>
            <w:r w:rsidRPr="00B239DD">
              <w:rPr>
                <w:rStyle w:val="Emphasis"/>
              </w:rPr>
              <w:t>.</w:t>
            </w:r>
          </w:p>
          <w:p w:rsidR="00000000" w:rsidRPr="00B239DD" w:rsidP="00B239DD">
            <w:pPr>
              <w:pStyle w:val="List"/>
            </w:pPr>
            <w:r w:rsidRPr="00B239DD">
              <w:t>4.3</w:t>
            </w:r>
            <w:r w:rsidRPr="00B239DD">
              <w:tab/>
              <w:t xml:space="preserve">Costs are </w:t>
            </w:r>
            <w:r w:rsidRPr="00B239DD">
              <w:t xml:space="preserve">estimated to enable provision of goods or </w:t>
            </w:r>
            <w:r w:rsidRPr="00B239DD">
              <w:rPr>
                <w:rStyle w:val="BoldandItalics"/>
              </w:rPr>
              <w:t xml:space="preserve">services </w:t>
            </w:r>
            <w:r w:rsidRPr="00B239DD">
              <w:t xml:space="preserve">to the standards required by the </w:t>
            </w:r>
            <w:r w:rsidRPr="00B239DD">
              <w:rPr>
                <w:rStyle w:val="BoldandItalics"/>
              </w:rPr>
              <w:t>client.</w:t>
            </w:r>
          </w:p>
          <w:p w:rsidR="00000000" w:rsidP="00B239DD">
            <w:pPr>
              <w:pStyle w:val="List"/>
              <w:rPr>
                <w:lang w:val="en-NZ"/>
              </w:rPr>
            </w:pPr>
            <w:r w:rsidRPr="00B239DD">
              <w:t>4.4</w:t>
            </w:r>
            <w:r w:rsidRPr="00B239DD">
              <w:tab/>
              <w:t>Estimate is checked for accuracy and detailed in accordance with organisational procedures and client requirements.</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List"/>
              <w:rPr>
                <w:lang w:val="en-NZ"/>
              </w:rPr>
            </w:pPr>
            <w:r w:rsidRPr="00B239DD">
              <w:rPr>
                <w:rStyle w:val="SpecialBold"/>
              </w:rPr>
              <w:t>5</w:t>
            </w:r>
            <w:r w:rsidRPr="00B239DD">
              <w:t xml:space="preserve">. </w:t>
            </w:r>
            <w:r w:rsidRPr="00B239DD">
              <w:tab/>
            </w:r>
            <w:r w:rsidRPr="00B239DD">
              <w:rPr>
                <w:rStyle w:val="SpecialBold"/>
              </w:rPr>
              <w:t>Submit a tender</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List"/>
            </w:pPr>
            <w:r w:rsidRPr="00B239DD">
              <w:t>5.1</w:t>
            </w:r>
            <w:r w:rsidRPr="00B239DD">
              <w:tab/>
              <w:t xml:space="preserve">Tender is prepared </w:t>
            </w:r>
            <w:r w:rsidRPr="00B239DD">
              <w:t>in accordance with organisational policy and procedures.</w:t>
            </w:r>
          </w:p>
          <w:p w:rsidR="00000000" w:rsidRPr="00B239DD" w:rsidP="00B239DD">
            <w:pPr>
              <w:pStyle w:val="List"/>
            </w:pPr>
            <w:r w:rsidRPr="00B239DD">
              <w:t>5.2</w:t>
            </w:r>
            <w:r w:rsidRPr="00B239DD">
              <w:tab/>
              <w:t>Required details are addressed and client requirements met in preparing tender response.</w:t>
            </w:r>
          </w:p>
          <w:p w:rsidR="00000000" w:rsidRPr="00B239DD" w:rsidP="00B239DD">
            <w:pPr>
              <w:pStyle w:val="List"/>
            </w:pPr>
            <w:r w:rsidRPr="00B239DD">
              <w:t>5.3</w:t>
            </w:r>
            <w:r w:rsidRPr="00B239DD">
              <w:tab/>
              <w:t>Tender is submitted within required timeframe.</w:t>
            </w:r>
          </w:p>
          <w:p w:rsidR="00000000" w:rsidP="00B239DD">
            <w:pPr>
              <w:pStyle w:val="List"/>
              <w:rPr>
                <w:lang w:val="en-NZ"/>
              </w:rPr>
            </w:pPr>
            <w:r w:rsidRPr="00B239DD">
              <w:t>5.4</w:t>
            </w:r>
            <w:r w:rsidRPr="00B239DD">
              <w:tab/>
              <w:t>Organisational recordkeeping requirements for tende</w:t>
            </w:r>
            <w:r w:rsidRPr="00B239DD">
              <w:t>r responses are met.</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List"/>
              <w:rPr>
                <w:lang w:val="en-NZ"/>
              </w:rPr>
            </w:pPr>
            <w:r w:rsidRPr="00B239DD">
              <w:rPr>
                <w:rStyle w:val="SpecialBold"/>
              </w:rPr>
              <w:t>6</w:t>
            </w:r>
            <w:r w:rsidRPr="00B239DD">
              <w:t xml:space="preserve">. </w:t>
            </w:r>
            <w:r w:rsidRPr="00B239DD">
              <w:tab/>
            </w:r>
            <w:r w:rsidRPr="00B239DD">
              <w:rPr>
                <w:rStyle w:val="SpecialBold"/>
              </w:rPr>
              <w:t>Review tender process</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List"/>
            </w:pPr>
            <w:r w:rsidRPr="00B239DD">
              <w:t>6.1</w:t>
            </w:r>
            <w:r w:rsidRPr="00B239DD">
              <w:tab/>
              <w:t xml:space="preserve">Changes and variations to the tender are negotiated to meet the needs of the client and the organisation in accordance </w:t>
            </w:r>
            <w:r w:rsidRPr="00B239DD">
              <w:t>with contractual arrangements, organisational policy, procedure and delegated authority.</w:t>
            </w:r>
          </w:p>
          <w:p w:rsidR="00000000" w:rsidRPr="00B239DD" w:rsidP="00B239DD">
            <w:pPr>
              <w:pStyle w:val="List"/>
            </w:pPr>
            <w:r w:rsidRPr="00B239DD">
              <w:t>6.2</w:t>
            </w:r>
            <w:r w:rsidRPr="00B239DD">
              <w:tab/>
              <w:t xml:space="preserve">Tender response, outcome and preparation process are evaluated using feedback from a range of </w:t>
            </w:r>
            <w:r w:rsidRPr="00B239DD">
              <w:rPr>
                <w:rStyle w:val="BoldandItalics"/>
              </w:rPr>
              <w:t xml:space="preserve">stakeholders </w:t>
            </w:r>
            <w:r w:rsidRPr="00B239DD">
              <w:t>and the results are used to improve subsequent quotation</w:t>
            </w:r>
            <w:r w:rsidRPr="00B239DD">
              <w:t>s.</w:t>
            </w:r>
          </w:p>
        </w:tc>
      </w:tr>
    </w:tbl>
    <w:p w:rsidR="00000000" w:rsidRPr="00B239DD" w:rsidP="00B239DD">
      <w:pPr>
        <w:pStyle w:val="BodyText"/>
      </w:pPr>
    </w:p>
    <w:p w:rsidR="00000000" w:rsidRPr="00B239DD" w:rsidP="00B239DD">
      <w:pPr>
        <w:pStyle w:val="AllowPageBreak"/>
      </w:pPr>
    </w:p>
    <w:p w:rsidR="00000000" w:rsidRPr="00B239DD" w:rsidP="00B239DD">
      <w:pPr>
        <w:pStyle w:val="Heading1"/>
      </w:pPr>
      <w:bookmarkStart w:id="9" w:name="O_493681"/>
      <w:bookmarkEnd w:id="9"/>
      <w:r w:rsidRPr="00B239DD">
        <w:t>Required Skills and Knowledge</w:t>
      </w:r>
    </w:p>
    <w:tbl>
      <w:tblPr>
        <w:tblW w:w="0" w:type="auto"/>
        <w:tblLayout w:type="fixed"/>
        <w:tblCellMar>
          <w:left w:w="62" w:type="dxa"/>
          <w:right w:w="62" w:type="dxa"/>
        </w:tblCellMar>
        <w:tblLook w:val="0000"/>
      </w:tblPr>
      <w:tblGrid>
        <w:gridCol w:w="8544"/>
        <w:gridCol w:w="9"/>
      </w:tblGrid>
      <w:tr w:rsidTr="0020060B">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B239DD">
            <w:pPr>
              <w:pStyle w:val="BodyText"/>
              <w:rPr>
                <w:lang w:val="en-NZ"/>
              </w:rPr>
            </w:pPr>
            <w:r w:rsidRPr="00B239DD">
              <w:t>This section describes the essential skills and knowledge and their level, required for this unit.</w:t>
            </w:r>
          </w:p>
        </w:tc>
      </w:tr>
      <w:tr w:rsidTr="0020060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239DD" w:rsidP="00B239DD">
            <w:pPr>
              <w:pStyle w:val="BodyText"/>
            </w:pPr>
            <w:r w:rsidRPr="00B239DD">
              <w:rPr>
                <w:rStyle w:val="SpecialBold"/>
              </w:rPr>
              <w:t>Skill requirements</w:t>
            </w:r>
          </w:p>
          <w:p w:rsidR="00000000" w:rsidRPr="00B239DD" w:rsidP="00B239DD">
            <w:pPr>
              <w:pStyle w:val="BodyText"/>
            </w:pPr>
            <w:r w:rsidRPr="00B239DD">
              <w:t>Look for evidence that confirms skills in:</w:t>
            </w:r>
          </w:p>
          <w:p w:rsidR="00000000" w:rsidRPr="00B239DD" w:rsidP="00B239DD">
            <w:pPr>
              <w:pStyle w:val="ListBullet"/>
            </w:pPr>
            <w:r w:rsidRPr="00B239DD">
              <w:t>applying legislation, policy and guidelines</w:t>
            </w:r>
          </w:p>
          <w:p w:rsidR="00000000" w:rsidRPr="00B239DD" w:rsidP="00B239DD">
            <w:pPr>
              <w:pStyle w:val="ListBullet"/>
            </w:pPr>
            <w:r w:rsidRPr="00B239DD">
              <w:t>using numeracy in selecting and applying mathematical concepts, estimating, checking reasonableness of results</w:t>
            </w:r>
          </w:p>
          <w:p w:rsidR="00000000" w:rsidRPr="00B239DD" w:rsidP="00B239DD">
            <w:pPr>
              <w:pStyle w:val="ListBullet"/>
            </w:pPr>
            <w:r w:rsidRPr="00B239DD">
              <w:t>using a range of mathematical language to communicate mathematical information</w:t>
            </w:r>
          </w:p>
          <w:p w:rsidR="00000000" w:rsidRPr="00B239DD" w:rsidP="00B239DD">
            <w:pPr>
              <w:pStyle w:val="ListBullet"/>
            </w:pPr>
            <w:r w:rsidRPr="00B239DD">
              <w:t xml:space="preserve">managing financial and other resources </w:t>
            </w:r>
          </w:p>
          <w:p w:rsidR="00000000" w:rsidRPr="00B239DD" w:rsidP="00B239DD">
            <w:pPr>
              <w:pStyle w:val="ListBullet"/>
            </w:pPr>
            <w:r w:rsidRPr="00B239DD">
              <w:t>using literacy for oral and written clarification of issues and for negotiating variations and changes with clients</w:t>
            </w:r>
          </w:p>
          <w:p w:rsidR="00000000" w:rsidRPr="00B239DD" w:rsidP="00B239DD">
            <w:pPr>
              <w:pStyle w:val="ListBullet"/>
            </w:pPr>
            <w:r w:rsidRPr="00B239DD">
              <w:t>using required language and style for written submissions</w:t>
            </w:r>
          </w:p>
          <w:p w:rsidR="00000000" w:rsidRPr="00B239DD" w:rsidP="00B239DD">
            <w:pPr>
              <w:pStyle w:val="ListBullet"/>
            </w:pPr>
            <w:r w:rsidRPr="00B239DD">
              <w:t>using technical and other vocabulary</w:t>
            </w:r>
          </w:p>
          <w:p w:rsidR="00000000" w:rsidRPr="00B239DD" w:rsidP="00B239DD">
            <w:pPr>
              <w:pStyle w:val="ListBullet"/>
            </w:pPr>
            <w:r w:rsidRPr="00B239DD">
              <w:t>netwo</w:t>
            </w:r>
            <w:r w:rsidRPr="00B239DD">
              <w:t>rking strategically with clients, suppliers and stakeholders</w:t>
            </w:r>
          </w:p>
          <w:p w:rsidR="00000000" w:rsidRPr="00B239DD" w:rsidP="00B239DD">
            <w:pPr>
              <w:pStyle w:val="ListBullet"/>
            </w:pPr>
            <w:r w:rsidRPr="00B239DD">
              <w:t xml:space="preserve">evaluating and reviewing information </w:t>
            </w:r>
          </w:p>
          <w:p w:rsidR="00000000" w:rsidP="00B239DD">
            <w:pPr>
              <w:pStyle w:val="ListBullet"/>
              <w:rPr>
                <w:lang w:val="en-NZ"/>
              </w:rPr>
            </w:pPr>
            <w:r w:rsidRPr="00B239DD">
              <w:t>responding to diversity, including gender and disability</w:t>
            </w:r>
          </w:p>
        </w:tc>
      </w:tr>
      <w:tr w:rsidTr="0020060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239DD" w:rsidP="00B239DD">
            <w:pPr>
              <w:pStyle w:val="BodyText"/>
            </w:pPr>
            <w:r w:rsidRPr="00B239DD">
              <w:rPr>
                <w:rStyle w:val="SpecialBold"/>
              </w:rPr>
              <w:t>Knowledge requirements</w:t>
            </w:r>
            <w:r w:rsidRPr="00B239DD">
              <w:t xml:space="preserve"> </w:t>
            </w:r>
          </w:p>
          <w:p w:rsidR="00000000" w:rsidRPr="00B239DD" w:rsidP="00B239DD">
            <w:pPr>
              <w:pStyle w:val="BodyText"/>
            </w:pPr>
            <w:r w:rsidRPr="00B239DD">
              <w:t>Look for evidence that confirms knowledge and understanding of:</w:t>
            </w:r>
          </w:p>
          <w:p w:rsidR="00000000" w:rsidRPr="00B239DD" w:rsidP="00B239DD">
            <w:pPr>
              <w:pStyle w:val="ListBullet"/>
            </w:pPr>
            <w:r w:rsidRPr="00B239DD">
              <w:t>State/Terr</w:t>
            </w:r>
            <w:r w:rsidRPr="00B239DD">
              <w:t xml:space="preserve">itory or Commonwealth legislation and guidelines that apply to selling government services locally, nationally and internationally </w:t>
            </w:r>
          </w:p>
          <w:p w:rsidR="00000000" w:rsidRPr="00B239DD" w:rsidP="00B239DD">
            <w:pPr>
              <w:pStyle w:val="ListBullet"/>
            </w:pPr>
            <w:r w:rsidRPr="00B239DD">
              <w:t>organisational guidelines, policies and practices</w:t>
            </w:r>
          </w:p>
          <w:p w:rsidR="00000000" w:rsidRPr="00B239DD" w:rsidP="00B239DD">
            <w:pPr>
              <w:pStyle w:val="ListBullet"/>
            </w:pPr>
            <w:r w:rsidRPr="00B239DD">
              <w:t>financial accountability requirements</w:t>
            </w:r>
          </w:p>
          <w:p w:rsidR="00000000" w:rsidRPr="00B239DD" w:rsidP="00B239DD">
            <w:pPr>
              <w:pStyle w:val="ListBullet"/>
            </w:pPr>
            <w:r w:rsidRPr="00B239DD">
              <w:t>legal requirements of selling government services</w:t>
            </w:r>
          </w:p>
          <w:p w:rsidR="00000000" w:rsidRPr="00B239DD" w:rsidP="00B239DD">
            <w:pPr>
              <w:pStyle w:val="ListBullet"/>
            </w:pPr>
            <w:r w:rsidRPr="00B239DD">
              <w:t>implications of different contracting agreements</w:t>
            </w:r>
          </w:p>
          <w:p w:rsidR="00000000" w:rsidRPr="00B239DD" w:rsidP="00B239DD">
            <w:pPr>
              <w:pStyle w:val="ListBullet"/>
            </w:pPr>
            <w:r w:rsidRPr="00B239DD">
              <w:t>whole-of-life considerations</w:t>
            </w:r>
          </w:p>
          <w:p w:rsidR="00000000" w:rsidRPr="00B239DD" w:rsidP="00B239DD">
            <w:pPr>
              <w:pStyle w:val="ListBullet"/>
            </w:pPr>
            <w:r w:rsidRPr="00B239DD">
              <w:t>delegations</w:t>
            </w:r>
          </w:p>
          <w:p w:rsidR="00000000" w:rsidRPr="00B239DD" w:rsidP="00B239DD">
            <w:pPr>
              <w:pStyle w:val="ListBullet"/>
            </w:pPr>
            <w:r w:rsidRPr="00B239DD">
              <w:t>approval processes</w:t>
            </w:r>
          </w:p>
          <w:p w:rsidR="00000000" w:rsidRPr="00B239DD" w:rsidP="00B239DD">
            <w:pPr>
              <w:pStyle w:val="ListBullet"/>
            </w:pPr>
            <w:r w:rsidRPr="00B239DD">
              <w:t>range of evaluation methods</w:t>
            </w:r>
          </w:p>
          <w:p w:rsidR="00000000" w:rsidRPr="00B239DD" w:rsidP="00B239DD">
            <w:pPr>
              <w:pStyle w:val="ListBullet"/>
            </w:pPr>
            <w:r w:rsidRPr="00B239DD">
              <w:t>tender management processes</w:t>
            </w:r>
          </w:p>
          <w:p w:rsidR="00000000" w:rsidRPr="00B239DD" w:rsidP="00B239DD">
            <w:pPr>
              <w:pStyle w:val="ListBullet"/>
            </w:pPr>
            <w:r w:rsidRPr="00B239DD">
              <w:t xml:space="preserve">equal employment opportunity, equity and </w:t>
            </w:r>
            <w:r w:rsidRPr="00B239DD">
              <w:t>diversity principles</w:t>
            </w:r>
          </w:p>
          <w:p w:rsidR="00000000" w:rsidRPr="00B239DD" w:rsidP="00B239DD">
            <w:pPr>
              <w:pStyle w:val="ListBullet"/>
            </w:pPr>
            <w:r w:rsidRPr="00B239DD">
              <w:t>public sector legislation such as occupational health and safety and environment in the context of developing tender responses</w:t>
            </w:r>
          </w:p>
        </w:tc>
      </w:tr>
    </w:tbl>
    <w:p w:rsidR="00000000" w:rsidRPr="00B239DD" w:rsidP="00B239DD">
      <w:pPr>
        <w:pStyle w:val="BodyText"/>
      </w:pPr>
    </w:p>
    <w:p w:rsidR="00000000" w:rsidRPr="00B239DD" w:rsidP="00B239DD">
      <w:pPr>
        <w:pStyle w:val="AllowPageBreak"/>
      </w:pPr>
    </w:p>
    <w:p w:rsidR="00000000" w:rsidRPr="00B239DD" w:rsidP="00B239DD">
      <w:pPr>
        <w:pStyle w:val="Heading1"/>
      </w:pPr>
      <w:bookmarkStart w:id="10" w:name="O_493682"/>
      <w:bookmarkEnd w:id="10"/>
      <w:r w:rsidRPr="00B239DD">
        <w:t>Evidence Guide</w:t>
      </w:r>
    </w:p>
    <w:tbl>
      <w:tblPr>
        <w:tblW w:w="9322" w:type="dxa"/>
        <w:tblLayout w:type="fixed"/>
        <w:tblCellMar>
          <w:left w:w="62" w:type="dxa"/>
          <w:right w:w="62" w:type="dxa"/>
        </w:tblCellMar>
        <w:tblLook w:val="0000"/>
      </w:tblPr>
      <w:tblGrid>
        <w:gridCol w:w="2660"/>
        <w:gridCol w:w="6662"/>
      </w:tblGrid>
      <w:tr w:rsidTr="0020060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239DD">
            <w:pPr>
              <w:pStyle w:val="BodyText"/>
              <w:rPr>
                <w:lang w:val="en-NZ"/>
              </w:rPr>
            </w:pPr>
            <w:r w:rsidRPr="00B239DD">
              <w:t>The Evidence Guide specifies the evidence required to demonstrate achievem</w:t>
            </w:r>
            <w:r w:rsidRPr="00B239DD">
              <w:t>ent in the unit of competency as a whole. It must be read in conjunction with the Unit descriptor, Performance Criteria, the Range Statement and the Assessment Guidelines for the Public Sector Training Package.</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239DD" w:rsidP="00B239DD">
            <w:pPr>
              <w:pStyle w:val="BodyText"/>
            </w:pPr>
            <w:r w:rsidRPr="00B239DD">
              <w:rPr>
                <w:rStyle w:val="SpecialBold"/>
              </w:rPr>
              <w:t>Units to be assessed together</w:t>
            </w:r>
            <w:r w:rsidRPr="00B239DD">
              <w:t xml:space="preserve"> </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ListBullet"/>
            </w:pPr>
            <w:r w:rsidRPr="00B239DD">
              <w:rPr>
                <w:rStyle w:val="Emphasis"/>
              </w:rPr>
              <w:t>Pre</w:t>
            </w:r>
            <w:r w:rsidRPr="00B239DD">
              <w:t>-</w:t>
            </w:r>
            <w:r w:rsidRPr="00B239DD">
              <w:rPr>
                <w:rStyle w:val="Emphasis"/>
              </w:rPr>
              <w:t>requisite</w:t>
            </w:r>
            <w:r w:rsidRPr="00B239DD">
              <w:t xml:space="preserve"> units that </w:t>
            </w:r>
            <w:r w:rsidRPr="00B239DD">
              <w:rPr>
                <w:rStyle w:val="Underline"/>
              </w:rPr>
              <w:t>must</w:t>
            </w:r>
            <w:r w:rsidRPr="00B239DD">
              <w:t xml:space="preserve"> be achieved </w:t>
            </w:r>
            <w:r w:rsidRPr="00B239DD">
              <w:rPr>
                <w:rStyle w:val="Underline"/>
              </w:rPr>
              <w:t>prior</w:t>
            </w:r>
            <w:r w:rsidRPr="00B239DD">
              <w:t xml:space="preserve"> to this unit:</w:t>
            </w:r>
            <w:r w:rsidRPr="00B239DD">
              <w:rPr>
                <w:rStyle w:val="Emphasis"/>
              </w:rPr>
              <w:t>Nil</w:t>
            </w:r>
          </w:p>
          <w:p w:rsidR="00000000" w:rsidRPr="00B239DD" w:rsidP="00B239DD">
            <w:pPr>
              <w:pStyle w:val="ListBullet"/>
            </w:pPr>
            <w:r w:rsidRPr="00B239DD">
              <w:rPr>
                <w:rStyle w:val="Emphasis"/>
              </w:rPr>
              <w:t>Co</w:t>
            </w:r>
            <w:r w:rsidRPr="00B239DD">
              <w:t>-</w:t>
            </w:r>
            <w:r w:rsidRPr="00B239DD">
              <w:rPr>
                <w:rStyle w:val="Emphasis"/>
              </w:rPr>
              <w:t>requisite</w:t>
            </w:r>
            <w:r w:rsidRPr="00B239DD">
              <w:t xml:space="preserve"> units that </w:t>
            </w:r>
            <w:r w:rsidRPr="00B239DD">
              <w:rPr>
                <w:rStyle w:val="Underline"/>
              </w:rPr>
              <w:t>must</w:t>
            </w:r>
            <w:r w:rsidRPr="00B239DD">
              <w:t xml:space="preserve"> be assessed </w:t>
            </w:r>
            <w:r w:rsidRPr="00B239DD">
              <w:rPr>
                <w:rStyle w:val="Underline"/>
              </w:rPr>
              <w:t>with</w:t>
            </w:r>
            <w:r w:rsidRPr="00B239DD">
              <w:t xml:space="preserve"> this unit:</w:t>
            </w:r>
            <w:r w:rsidRPr="00B239DD">
              <w:rPr>
                <w:rStyle w:val="Emphasis"/>
              </w:rPr>
              <w:t>Nil</w:t>
            </w:r>
          </w:p>
          <w:p w:rsidR="00000000" w:rsidRPr="00B239DD" w:rsidP="00B239DD">
            <w:pPr>
              <w:pStyle w:val="ListBullet"/>
            </w:pPr>
            <w:r w:rsidRPr="00B239DD">
              <w:rPr>
                <w:rStyle w:val="Emphasis"/>
              </w:rPr>
              <w:t>Co</w:t>
            </w:r>
            <w:r w:rsidRPr="00B239DD">
              <w:t>-</w:t>
            </w:r>
            <w:r w:rsidRPr="00B239DD">
              <w:rPr>
                <w:rStyle w:val="Emphasis"/>
              </w:rPr>
              <w:t>assessed units</w:t>
            </w:r>
            <w:r w:rsidRPr="00B239DD">
              <w:t xml:space="preserve"> that </w:t>
            </w:r>
            <w:r w:rsidRPr="00B239DD">
              <w:rPr>
                <w:rStyle w:val="Underline"/>
              </w:rPr>
              <w:t>may</w:t>
            </w:r>
            <w:r w:rsidRPr="00B239DD">
              <w:t xml:space="preserve"> be assessed with this unit to increase the efficiency and realism of the assessment process include, but are</w:t>
            </w:r>
            <w:r w:rsidRPr="00B239DD">
              <w:t xml:space="preserve"> not limited to:</w:t>
            </w:r>
          </w:p>
          <w:p w:rsidR="00000000" w:rsidRPr="00B239DD" w:rsidP="00B239DD">
            <w:pPr>
              <w:pStyle w:val="ListBullet2"/>
            </w:pPr>
            <w:r w:rsidRPr="00B239DD">
              <w:t xml:space="preserve">PSPETHC601B Maintain and enhance confidence in public service </w:t>
            </w:r>
          </w:p>
          <w:p w:rsidR="00000000" w:rsidRPr="00B239DD" w:rsidP="00B239DD">
            <w:pPr>
              <w:pStyle w:val="ListBullet2"/>
            </w:pPr>
            <w:r w:rsidRPr="00B239DD">
              <w:t>PSPGOV601B Apply government systems</w:t>
            </w:r>
          </w:p>
          <w:p w:rsidR="00000000" w:rsidRPr="00B239DD" w:rsidP="00B239DD">
            <w:pPr>
              <w:pStyle w:val="ListBullet2"/>
            </w:pPr>
            <w:r w:rsidRPr="00B239DD">
              <w:t xml:space="preserve">PSPGOV602B Establish and maintain strategic networks </w:t>
            </w:r>
          </w:p>
          <w:p w:rsidR="00000000" w:rsidRPr="00B239DD" w:rsidP="00B239DD">
            <w:pPr>
              <w:pStyle w:val="ListBullet2"/>
            </w:pPr>
            <w:r w:rsidRPr="00B239DD">
              <w:t>PSPGOV605A Persuade and influence opinion</w:t>
            </w:r>
          </w:p>
          <w:p w:rsidR="00000000" w:rsidRPr="00B239DD" w:rsidP="00B239DD">
            <w:pPr>
              <w:pStyle w:val="ListBullet2"/>
            </w:pPr>
            <w:r w:rsidRPr="00B239DD">
              <w:t>PSPLEGN601B Manage compliance with legislation in the public sector</w:t>
            </w:r>
          </w:p>
          <w:p w:rsidR="00000000" w:rsidRPr="00B239DD" w:rsidP="00B239DD">
            <w:pPr>
              <w:pStyle w:val="ListBullet2"/>
            </w:pPr>
            <w:r w:rsidRPr="00B239DD">
              <w:t>PSPMNGT602B Manage resources</w:t>
            </w:r>
          </w:p>
          <w:p w:rsidR="00000000" w:rsidRPr="00B239DD" w:rsidP="00B239DD">
            <w:pPr>
              <w:pStyle w:val="ListBullet2"/>
            </w:pPr>
            <w:r w:rsidRPr="00B239DD">
              <w:t xml:space="preserve">PSPMNGT608B Manage risk </w:t>
            </w:r>
          </w:p>
          <w:p w:rsidR="00000000" w:rsidRPr="00B239DD" w:rsidP="00B239DD">
            <w:pPr>
              <w:pStyle w:val="ListBullet2"/>
            </w:pPr>
            <w:r w:rsidRPr="00B239DD">
              <w:t>PSPMNGT609B Formulate business strategies</w:t>
            </w:r>
          </w:p>
          <w:p w:rsidR="00000000" w:rsidRPr="00B239DD" w:rsidP="00B239DD">
            <w:pPr>
              <w:pStyle w:val="ListBullet2"/>
            </w:pPr>
            <w:r w:rsidRPr="00B239DD">
              <w:t>PSPMNGT610A Manage public sector financial resources</w:t>
            </w:r>
          </w:p>
          <w:p w:rsidR="00000000" w:rsidRPr="00B239DD" w:rsidP="00B239DD">
            <w:pPr>
              <w:pStyle w:val="ListBullet2"/>
            </w:pPr>
            <w:r w:rsidRPr="00B239DD">
              <w:t>PSPMNGT613A Develop partnering arrangem</w:t>
            </w:r>
            <w:r w:rsidRPr="00B239DD">
              <w:t>ents</w:t>
            </w:r>
          </w:p>
          <w:p w:rsidR="00000000" w:rsidP="00B239DD">
            <w:pPr>
              <w:pStyle w:val="ListBullet2"/>
              <w:rPr>
                <w:lang w:val="en-NZ"/>
              </w:rPr>
            </w:pPr>
            <w:r w:rsidRPr="00B239DD">
              <w:t>PSPPM601B Direct complex project activities</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BodyText"/>
              <w:rPr>
                <w:lang w:val="en-NZ"/>
              </w:rPr>
            </w:pPr>
            <w:r w:rsidRPr="00B239D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BodyText"/>
            </w:pPr>
            <w:r w:rsidRPr="00B239DD">
              <w:t>In addition to integrated demonstration of the elements and their related performance criteria, look for evidence that confirms:</w:t>
            </w:r>
          </w:p>
          <w:p w:rsidR="00000000" w:rsidRPr="00B239DD" w:rsidP="00B239DD">
            <w:pPr>
              <w:pStyle w:val="ListBullet"/>
            </w:pPr>
            <w:r w:rsidRPr="00B239DD">
              <w:t xml:space="preserve">the knowledge requirements of this unit </w:t>
            </w:r>
          </w:p>
          <w:p w:rsidR="00000000" w:rsidRPr="00B239DD" w:rsidP="00B239DD">
            <w:pPr>
              <w:pStyle w:val="ListBullet"/>
            </w:pPr>
            <w:r w:rsidRPr="00B239DD">
              <w:t>the skill requirements of this unit</w:t>
            </w:r>
          </w:p>
          <w:p w:rsidR="00000000" w:rsidRPr="00B239DD" w:rsidP="00B239DD">
            <w:pPr>
              <w:pStyle w:val="ListBullet"/>
            </w:pPr>
            <w:r w:rsidRPr="00B239DD">
              <w:t xml:space="preserve">application of Employability Skills as they relate to this unit </w:t>
            </w:r>
          </w:p>
          <w:p w:rsidR="00000000" w:rsidP="00B239DD">
            <w:pPr>
              <w:pStyle w:val="ListBullet"/>
              <w:rPr>
                <w:lang w:val="en-NZ"/>
              </w:rPr>
            </w:pPr>
            <w:r w:rsidRPr="00B239DD">
              <w:t>development of tender submission responses in a range of (3 or more) contexts (or occasions, over time)</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BodyText"/>
              <w:rPr>
                <w:lang w:val="en-NZ"/>
              </w:rPr>
            </w:pPr>
            <w:r w:rsidRPr="00B239D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BodyText"/>
            </w:pPr>
            <w:r w:rsidRPr="00B239DD">
              <w:t>These r</w:t>
            </w:r>
            <w:r w:rsidRPr="00B239DD">
              <w:t>esources include:</w:t>
            </w:r>
          </w:p>
          <w:p w:rsidR="00000000" w:rsidRPr="00B239DD" w:rsidP="00B239DD">
            <w:pPr>
              <w:pStyle w:val="ListBullet"/>
            </w:pPr>
            <w:r w:rsidRPr="00B239DD">
              <w:t>legislation, policy, procedures and protocols relating to development of tender responses</w:t>
            </w:r>
          </w:p>
          <w:p w:rsidR="00000000" w:rsidP="00B239DD">
            <w:pPr>
              <w:pStyle w:val="ListBullet"/>
              <w:rPr>
                <w:lang w:val="en-NZ"/>
              </w:rPr>
            </w:pPr>
            <w:r w:rsidRPr="00B239DD">
              <w:t>case studies and workplace scenarios to capture the range of situations likely to be encountered when developing tender submission responses</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BodyText"/>
              <w:rPr>
                <w:lang w:val="en-NZ"/>
              </w:rPr>
            </w:pPr>
            <w:r w:rsidRPr="00B239DD">
              <w:rPr>
                <w:rStyle w:val="SpecialBold"/>
              </w:rPr>
              <w:t>Where</w:t>
            </w:r>
            <w:r w:rsidRPr="00B239DD">
              <w:rPr>
                <w:rStyle w:val="SpecialBold"/>
              </w:rPr>
              <w:t xml:space="preserv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BodyText"/>
            </w:pPr>
            <w:r w:rsidRPr="00B239DD">
              <w:t xml:space="preserve">Valid assessment of this unit requires: </w:t>
            </w:r>
          </w:p>
          <w:p w:rsidR="00000000" w:rsidRPr="00B239DD" w:rsidP="00B239DD">
            <w:pPr>
              <w:pStyle w:val="ListBullet"/>
            </w:pPr>
            <w:r w:rsidRPr="00B239DD">
              <w:t>a workplace environment or one that closely resembles normal work practice and replicates the range of conditions likely to be encountered when developing tender submission responses, in</w:t>
            </w:r>
            <w:r w:rsidRPr="00B239DD">
              <w:t>cluding coping with difficulties, irregularities and breakdowns in routine</w:t>
            </w:r>
          </w:p>
          <w:p w:rsidR="00000000" w:rsidRPr="00B239DD" w:rsidP="00B239DD">
            <w:pPr>
              <w:pStyle w:val="ListBullet"/>
            </w:pPr>
            <w:r w:rsidRPr="00B239DD">
              <w:t>development of tender submission responses in a range of (3 or more) contexts (or occasions, over time)</w:t>
            </w:r>
          </w:p>
          <w:p w:rsidR="00000000" w:rsidRPr="00B239DD" w:rsidP="00B239DD">
            <w:pPr>
              <w:pStyle w:val="BodyText"/>
            </w:pPr>
            <w:r w:rsidRPr="00B239DD">
              <w:t>Assessment methods should reflect workplace demands, such as literacy, and th</w:t>
            </w:r>
            <w:r w:rsidRPr="00B239DD">
              <w:t>e needs of particular groups, such as:</w:t>
            </w:r>
          </w:p>
          <w:p w:rsidR="00000000" w:rsidRPr="00B239DD" w:rsidP="00B239DD">
            <w:pPr>
              <w:pStyle w:val="ListBullet"/>
            </w:pPr>
            <w:r w:rsidRPr="00B239DD">
              <w:t>people with disabilities</w:t>
            </w:r>
          </w:p>
          <w:p w:rsidR="00000000" w:rsidRPr="00B239DD" w:rsidP="00B239DD">
            <w:pPr>
              <w:pStyle w:val="ListBullet"/>
            </w:pPr>
            <w:r w:rsidRPr="00B239DD">
              <w:t>people from culturally and linguistically diverse backgrounds</w:t>
            </w:r>
          </w:p>
          <w:p w:rsidR="00000000" w:rsidRPr="00B239DD" w:rsidP="00B239DD">
            <w:pPr>
              <w:pStyle w:val="ListBullet"/>
            </w:pPr>
            <w:r w:rsidRPr="00B239DD">
              <w:t>Aboriginal and Torres Strait Islander people</w:t>
            </w:r>
          </w:p>
          <w:p w:rsidR="00000000" w:rsidRPr="00B239DD" w:rsidP="00B239DD">
            <w:pPr>
              <w:pStyle w:val="ListBullet"/>
            </w:pPr>
            <w:r w:rsidRPr="00B239DD">
              <w:t>women</w:t>
            </w:r>
          </w:p>
          <w:p w:rsidR="00000000" w:rsidRPr="00B239DD" w:rsidP="00B239DD">
            <w:pPr>
              <w:pStyle w:val="ListBullet"/>
            </w:pPr>
            <w:r w:rsidRPr="00B239DD">
              <w:t>young people</w:t>
            </w:r>
          </w:p>
          <w:p w:rsidR="00000000" w:rsidRPr="00B239DD" w:rsidP="00B239DD">
            <w:pPr>
              <w:pStyle w:val="ListBullet"/>
            </w:pPr>
            <w:r w:rsidRPr="00B239DD">
              <w:t>older people</w:t>
            </w:r>
          </w:p>
          <w:p w:rsidR="00000000" w:rsidRPr="00B239DD" w:rsidP="00B239DD">
            <w:pPr>
              <w:pStyle w:val="ListBullet"/>
            </w:pPr>
            <w:r w:rsidRPr="00B239DD">
              <w:t>people in rural and remote locations</w:t>
            </w:r>
          </w:p>
          <w:p w:rsidR="00000000" w:rsidRPr="00B239DD" w:rsidP="00B239DD">
            <w:pPr>
              <w:pStyle w:val="BodyText"/>
            </w:pPr>
            <w:r w:rsidRPr="00B239DD">
              <w:t xml:space="preserve">Assessment methods suitable for valid and reliable assessment of this competency may include, but are not limited to, a combination of 2 or more of: </w:t>
            </w:r>
          </w:p>
          <w:p w:rsidR="00000000" w:rsidRPr="00B239DD" w:rsidP="00B239DD">
            <w:pPr>
              <w:pStyle w:val="ListBullet"/>
            </w:pPr>
            <w:r w:rsidRPr="00B239DD">
              <w:t>case studies</w:t>
            </w:r>
          </w:p>
          <w:p w:rsidR="00000000" w:rsidRPr="00B239DD" w:rsidP="00B239DD">
            <w:pPr>
              <w:pStyle w:val="ListBullet"/>
            </w:pPr>
            <w:r w:rsidRPr="00B239DD">
              <w:t xml:space="preserve">portfolios </w:t>
            </w:r>
          </w:p>
          <w:p w:rsidR="00000000" w:rsidRPr="00B239DD" w:rsidP="00B239DD">
            <w:pPr>
              <w:pStyle w:val="ListBullet"/>
            </w:pPr>
            <w:r w:rsidRPr="00B239DD">
              <w:t>projects</w:t>
            </w:r>
          </w:p>
          <w:p w:rsidR="00000000" w:rsidRPr="00B239DD" w:rsidP="00B239DD">
            <w:pPr>
              <w:pStyle w:val="ListBullet"/>
            </w:pPr>
            <w:r w:rsidRPr="00B239DD">
              <w:t>questioning</w:t>
            </w:r>
          </w:p>
          <w:p w:rsidR="00000000" w:rsidRPr="00B239DD" w:rsidP="00B239DD">
            <w:pPr>
              <w:pStyle w:val="ListBullet"/>
            </w:pPr>
            <w:r w:rsidRPr="00B239DD">
              <w:t>scenarios</w:t>
            </w:r>
          </w:p>
          <w:p w:rsidR="00000000" w:rsidP="00B239DD">
            <w:pPr>
              <w:pStyle w:val="ListBullet"/>
              <w:rPr>
                <w:lang w:val="en-NZ"/>
              </w:rPr>
            </w:pPr>
            <w:r w:rsidRPr="00B239DD">
              <w:t xml:space="preserve">authenticated evidence from the workplace and/or </w:t>
            </w:r>
            <w:r w:rsidRPr="00B239DD">
              <w:t>training courses</w:t>
            </w:r>
          </w:p>
        </w:tc>
      </w:tr>
      <w:tr w:rsidTr="0020060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9DD">
            <w:pPr>
              <w:pStyle w:val="BodyText"/>
              <w:rPr>
                <w:lang w:val="en-NZ"/>
              </w:rPr>
            </w:pPr>
            <w:r w:rsidRPr="00B239D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239DD" w:rsidP="00B239DD">
            <w:pPr>
              <w:pStyle w:val="BodyText"/>
            </w:pPr>
            <w:r w:rsidRPr="00B239DD">
              <w:t>Evidence must be gathered over time in a range of contexts to ensure the person can achieve the unit outcome and apply the competency in different situations or environments</w:t>
            </w:r>
          </w:p>
        </w:tc>
      </w:tr>
    </w:tbl>
    <w:p w:rsidR="00000000" w:rsidRPr="00B239DD" w:rsidP="00B239DD">
      <w:pPr>
        <w:pStyle w:val="BodyText"/>
      </w:pPr>
    </w:p>
    <w:p w:rsidR="00000000" w:rsidRPr="00B239DD" w:rsidP="00B239DD">
      <w:pPr>
        <w:pStyle w:val="AllowPageBreak"/>
      </w:pPr>
    </w:p>
    <w:p w:rsidR="00000000" w:rsidRPr="00B239DD" w:rsidP="00B239DD">
      <w:pPr>
        <w:pStyle w:val="Heading1"/>
      </w:pPr>
      <w:bookmarkStart w:id="11" w:name="O_493687"/>
      <w:bookmarkEnd w:id="11"/>
      <w:r w:rsidRPr="00B239DD">
        <w:t>Range Statement</w:t>
      </w:r>
    </w:p>
    <w:tbl>
      <w:tblPr>
        <w:tblW w:w="0" w:type="auto"/>
        <w:tblLayout w:type="fixed"/>
        <w:tblCellMar>
          <w:left w:w="62" w:type="dxa"/>
          <w:right w:w="62" w:type="dxa"/>
        </w:tblCellMar>
        <w:tblLook w:val="0000"/>
      </w:tblPr>
      <w:tblGrid>
        <w:gridCol w:w="2441"/>
        <w:gridCol w:w="6112"/>
      </w:tblGrid>
      <w:tr w:rsidTr="0020060B">
        <w:tblPrEx>
          <w:tblW w:w="0" w:type="auto"/>
          <w:tblLayout w:type="fixed"/>
          <w:tblCellMar>
            <w:left w:w="62" w:type="dxa"/>
            <w:right w:w="62" w:type="dxa"/>
          </w:tblCellMar>
          <w:tblLook w:val="0000"/>
        </w:tblPrEx>
        <w:tc>
          <w:tcPr>
            <w:tcW w:w="85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t>The Range Statement provides information about the context in which the unit of competency is carried out. The variables cater for differences between States and Territories and the Commonwealth, and between organisations and workplaces. They allow for di</w:t>
            </w:r>
            <w:r w:rsidRPr="00B239DD">
              <w:t xml:space="preserve">fferent work requirements, work practices and knowledge. The Range Statement also provides a focus for assessment. It relates to the unit as a whole. Text in </w:t>
            </w:r>
            <w:r w:rsidRPr="00B239DD">
              <w:rPr>
                <w:rStyle w:val="BoldandItalics"/>
              </w:rPr>
              <w:t>bold italics</w:t>
            </w:r>
            <w:r w:rsidRPr="00B239DD">
              <w:t xml:space="preserve"> in the Performance Criteria is explained here.</w:t>
            </w:r>
          </w:p>
        </w:tc>
      </w:tr>
      <w:tr w:rsidTr="0020060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rPr>
                <w:rStyle w:val="BoldandItalics"/>
              </w:rPr>
              <w:t xml:space="preserve">Business unit </w:t>
            </w:r>
            <w:r w:rsidRPr="00B239DD">
              <w:t>may refer to:</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9DD" w:rsidP="00B239DD">
            <w:pPr>
              <w:pStyle w:val="ListBullet"/>
            </w:pPr>
            <w:r w:rsidRPr="00B239DD">
              <w:t>a program</w:t>
            </w:r>
          </w:p>
          <w:p w:rsidR="00000000" w:rsidRPr="00B239DD" w:rsidP="00B239DD">
            <w:pPr>
              <w:pStyle w:val="ListBullet"/>
            </w:pPr>
            <w:r w:rsidRPr="00B239DD">
              <w:t>sub-program</w:t>
            </w:r>
          </w:p>
          <w:p w:rsidR="00000000" w:rsidRPr="00B239DD" w:rsidP="00B239DD">
            <w:pPr>
              <w:pStyle w:val="ListBullet"/>
            </w:pPr>
            <w:r w:rsidRPr="00B239DD">
              <w:t>cost centre</w:t>
            </w:r>
          </w:p>
          <w:p w:rsidR="00000000" w:rsidRPr="00B239DD" w:rsidP="00B239DD">
            <w:pPr>
              <w:pStyle w:val="ListBullet"/>
            </w:pPr>
            <w:r w:rsidRPr="00B239DD">
              <w:t>area</w:t>
            </w:r>
          </w:p>
          <w:p w:rsidR="00000000" w:rsidRPr="00B239DD" w:rsidP="00B239DD">
            <w:pPr>
              <w:pStyle w:val="ListBullet"/>
            </w:pPr>
            <w:r w:rsidRPr="00B239DD">
              <w:t>division</w:t>
            </w:r>
          </w:p>
          <w:p w:rsidR="00000000" w:rsidRPr="00B239DD" w:rsidP="00B239DD">
            <w:pPr>
              <w:pStyle w:val="ListBullet"/>
            </w:pPr>
            <w:r w:rsidRPr="00B239DD">
              <w:t>branch</w:t>
            </w:r>
          </w:p>
          <w:p w:rsidR="00000000" w:rsidP="00B239DD">
            <w:pPr>
              <w:pStyle w:val="ListBullet"/>
              <w:rPr>
                <w:lang w:val="en-NZ"/>
              </w:rPr>
            </w:pPr>
            <w:r w:rsidRPr="00B239DD">
              <w:t>production unit or section located within the organisation</w:t>
            </w:r>
          </w:p>
        </w:tc>
      </w:tr>
      <w:tr w:rsidTr="0020060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rPr>
                <w:rStyle w:val="BoldandItalics"/>
              </w:rPr>
              <w:t xml:space="preserve">Business case </w:t>
            </w:r>
            <w:r w:rsidRPr="00B239DD">
              <w:t>may be in the form of:</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9DD" w:rsidP="00B239DD">
            <w:pPr>
              <w:pStyle w:val="ListBullet"/>
            </w:pPr>
            <w:r w:rsidRPr="00B239DD">
              <w:t>memo</w:t>
            </w:r>
          </w:p>
          <w:p w:rsidR="00000000" w:rsidRPr="00B239DD" w:rsidP="00B239DD">
            <w:pPr>
              <w:pStyle w:val="ListBullet"/>
            </w:pPr>
            <w:r w:rsidRPr="00B239DD">
              <w:t>report</w:t>
            </w:r>
          </w:p>
          <w:p w:rsidR="00000000" w:rsidRPr="00B239DD" w:rsidP="00B239DD">
            <w:pPr>
              <w:pStyle w:val="ListBullet"/>
            </w:pPr>
            <w:r w:rsidRPr="00B239DD">
              <w:t>email (for electronic signature)</w:t>
            </w:r>
          </w:p>
          <w:p w:rsidR="00000000" w:rsidRPr="00B239DD" w:rsidP="00B239DD">
            <w:pPr>
              <w:pStyle w:val="ListBullet"/>
            </w:pPr>
            <w:r w:rsidRPr="00B239DD">
              <w:t>letter</w:t>
            </w:r>
          </w:p>
          <w:p w:rsidR="00000000" w:rsidP="00B239DD">
            <w:pPr>
              <w:pStyle w:val="ListBullet"/>
              <w:rPr>
                <w:lang w:val="en-NZ"/>
              </w:rPr>
            </w:pPr>
            <w:r w:rsidRPr="00B239DD">
              <w:t>formal business case format</w:t>
            </w:r>
          </w:p>
        </w:tc>
      </w:tr>
      <w:tr w:rsidTr="0020060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rPr>
                <w:rStyle w:val="BoldandItalics"/>
              </w:rPr>
              <w:t xml:space="preserve">Tender </w:t>
            </w:r>
            <w:r w:rsidRPr="00B239DD">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9DD" w:rsidP="00B239DD">
            <w:pPr>
              <w:pStyle w:val="ListBullet"/>
            </w:pPr>
            <w:r w:rsidRPr="00B239DD">
              <w:t xml:space="preserve">expression of interest </w:t>
            </w:r>
          </w:p>
          <w:p w:rsidR="00000000" w:rsidRPr="00B239DD" w:rsidP="00B239DD">
            <w:pPr>
              <w:pStyle w:val="ListBullet"/>
            </w:pPr>
            <w:r w:rsidRPr="00B239DD">
              <w:t>request for proposal</w:t>
            </w:r>
          </w:p>
          <w:p w:rsidR="00000000" w:rsidRPr="00B239DD" w:rsidP="00B239DD">
            <w:pPr>
              <w:pStyle w:val="ListBullet"/>
            </w:pPr>
            <w:r w:rsidRPr="00B239DD">
              <w:t>request for offer</w:t>
            </w:r>
          </w:p>
          <w:p w:rsidR="00000000" w:rsidP="00B239DD">
            <w:pPr>
              <w:pStyle w:val="ListBullet"/>
              <w:rPr>
                <w:lang w:val="en-NZ"/>
              </w:rPr>
            </w:pPr>
            <w:r w:rsidRPr="00B239DD">
              <w:t>request for tender</w:t>
            </w:r>
          </w:p>
        </w:tc>
      </w:tr>
      <w:tr w:rsidTr="0020060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rPr>
                <w:rStyle w:val="BoldandItalics"/>
              </w:rPr>
              <w:t>Legislation</w:t>
            </w:r>
            <w:r w:rsidRPr="00B239DD">
              <w:t xml:space="preserve">, </w:t>
            </w:r>
            <w:r w:rsidRPr="00B239DD">
              <w:rPr>
                <w:rStyle w:val="BoldandItalics"/>
              </w:rPr>
              <w:t xml:space="preserve">policy and procedures </w:t>
            </w:r>
            <w:r w:rsidRPr="00B239DD">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9DD" w:rsidP="00B239DD">
            <w:pPr>
              <w:pStyle w:val="ListBullet"/>
            </w:pPr>
            <w:r w:rsidRPr="00B239DD">
              <w:t>State/Territory and Commonwealth legislation and regulations such as:</w:t>
            </w:r>
          </w:p>
          <w:p w:rsidR="00000000" w:rsidRPr="00B239DD" w:rsidP="00B239DD">
            <w:pPr>
              <w:pStyle w:val="ListBullet2"/>
            </w:pPr>
            <w:r w:rsidRPr="00B239DD">
              <w:t xml:space="preserve">public sector management acts </w:t>
            </w:r>
          </w:p>
          <w:p w:rsidR="00000000" w:rsidRPr="00B239DD" w:rsidP="00B239DD">
            <w:pPr>
              <w:pStyle w:val="ListBullet2"/>
            </w:pPr>
            <w:r w:rsidRPr="00B239DD">
              <w:t>privacy legislation</w:t>
            </w:r>
          </w:p>
          <w:p w:rsidR="00000000" w:rsidRPr="00B239DD" w:rsidP="00B239DD">
            <w:pPr>
              <w:pStyle w:val="ListBullet2"/>
            </w:pPr>
            <w:r w:rsidRPr="00B239DD">
              <w:t>freedom of information</w:t>
            </w:r>
          </w:p>
          <w:p w:rsidR="00000000" w:rsidRPr="00B239DD" w:rsidP="00B239DD">
            <w:pPr>
              <w:pStyle w:val="ListBullet2"/>
            </w:pPr>
            <w:r w:rsidRPr="00B239DD">
              <w:t xml:space="preserve">equal employment opportunity, anti-discrimination and harassment legislation </w:t>
            </w:r>
          </w:p>
          <w:p w:rsidR="00000000" w:rsidRPr="00B239DD" w:rsidP="00B239DD">
            <w:pPr>
              <w:pStyle w:val="ListBullet2"/>
            </w:pPr>
            <w:r w:rsidRPr="00B239DD">
              <w:t>employment legislation</w:t>
            </w:r>
          </w:p>
          <w:p w:rsidR="00000000" w:rsidRPr="00B239DD" w:rsidP="00B239DD">
            <w:pPr>
              <w:pStyle w:val="ListBullet2"/>
            </w:pPr>
            <w:r w:rsidRPr="00B239DD">
              <w:t>occupational health and safety legislation.</w:t>
            </w:r>
          </w:p>
          <w:p w:rsidR="00000000" w:rsidRPr="00B239DD" w:rsidP="00B239DD">
            <w:pPr>
              <w:pStyle w:val="ListBullet"/>
            </w:pPr>
            <w:r w:rsidRPr="00B239DD">
              <w:t>ethics and accountability standards</w:t>
            </w:r>
          </w:p>
          <w:p w:rsidR="00000000" w:rsidRPr="00B239DD" w:rsidP="00B239DD">
            <w:pPr>
              <w:pStyle w:val="ListBullet"/>
            </w:pPr>
            <w:r w:rsidRPr="00B239DD">
              <w:t>public sector standards</w:t>
            </w:r>
          </w:p>
          <w:p w:rsidR="00000000" w:rsidRPr="00B239DD" w:rsidP="00B239DD">
            <w:pPr>
              <w:pStyle w:val="ListBullet"/>
            </w:pPr>
            <w:r w:rsidRPr="00B239DD">
              <w:t>organisational policy, proc</w:t>
            </w:r>
            <w:r w:rsidRPr="00B239DD">
              <w:t>edures and protocols</w:t>
            </w:r>
          </w:p>
          <w:p w:rsidR="00000000" w:rsidRPr="00B239DD" w:rsidP="00B239DD">
            <w:pPr>
              <w:pStyle w:val="ListBullet"/>
            </w:pPr>
            <w:r w:rsidRPr="00B239DD">
              <w:t>international legislation/codes of behaviour</w:t>
            </w:r>
          </w:p>
          <w:p w:rsidR="00000000" w:rsidRPr="00B239DD" w:rsidP="00B239DD">
            <w:pPr>
              <w:pStyle w:val="ListBullet"/>
            </w:pPr>
            <w:r w:rsidRPr="00B239DD">
              <w:t>enterprise bargaining agreements</w:t>
            </w:r>
          </w:p>
          <w:p w:rsidR="00000000" w:rsidRPr="00B239DD" w:rsidP="00B239DD">
            <w:pPr>
              <w:pStyle w:val="ListBullet"/>
            </w:pPr>
            <w:r w:rsidRPr="00B239DD">
              <w:t>award conditions/requirements</w:t>
            </w:r>
          </w:p>
          <w:p w:rsidR="00000000" w:rsidRPr="00B239DD" w:rsidP="00B239DD">
            <w:pPr>
              <w:pStyle w:val="ListBullet"/>
            </w:pPr>
            <w:r w:rsidRPr="00B239DD">
              <w:t>strategic and business plans</w:t>
            </w:r>
          </w:p>
          <w:p w:rsidR="00000000" w:rsidP="00B239DD">
            <w:pPr>
              <w:pStyle w:val="ListBullet"/>
              <w:rPr>
                <w:lang w:val="en-NZ"/>
              </w:rPr>
            </w:pPr>
            <w:r w:rsidRPr="00B239DD">
              <w:t>delegation guidelines</w:t>
            </w:r>
          </w:p>
        </w:tc>
      </w:tr>
      <w:tr w:rsidTr="0020060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rPr>
                <w:rStyle w:val="BoldandItalics"/>
              </w:rPr>
              <w:t>Services</w:t>
            </w:r>
            <w:r w:rsidRPr="00B239DD">
              <w:t xml:space="preserve"> quoted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9DD" w:rsidP="00B239DD">
            <w:pPr>
              <w:pStyle w:val="ListBullet"/>
            </w:pPr>
            <w:r w:rsidRPr="00B239DD">
              <w:t>electronic</w:t>
            </w:r>
          </w:p>
          <w:p w:rsidR="00000000" w:rsidRPr="00B239DD" w:rsidP="00B239DD">
            <w:pPr>
              <w:pStyle w:val="ListBullet"/>
            </w:pPr>
            <w:r w:rsidRPr="00B239DD">
              <w:t>computerised</w:t>
            </w:r>
          </w:p>
          <w:p w:rsidR="00000000" w:rsidRPr="00B239DD" w:rsidP="00B239DD">
            <w:pPr>
              <w:pStyle w:val="ListBullet"/>
            </w:pPr>
            <w:r w:rsidRPr="00B239DD">
              <w:t>bureau services</w:t>
            </w:r>
          </w:p>
          <w:p w:rsidR="00000000" w:rsidRPr="00B239DD" w:rsidP="00B239DD">
            <w:pPr>
              <w:pStyle w:val="ListBullet"/>
            </w:pPr>
            <w:r w:rsidRPr="00B239DD">
              <w:t>procedural systems</w:t>
            </w:r>
          </w:p>
          <w:p w:rsidR="00000000" w:rsidRPr="00B239DD" w:rsidP="00B239DD">
            <w:pPr>
              <w:pStyle w:val="ListBullet"/>
            </w:pPr>
            <w:r w:rsidRPr="00B239DD">
              <w:t>training</w:t>
            </w:r>
          </w:p>
          <w:p w:rsidR="00000000" w:rsidP="00B239DD">
            <w:pPr>
              <w:pStyle w:val="ListBullet"/>
              <w:rPr>
                <w:lang w:val="en-NZ"/>
              </w:rPr>
            </w:pPr>
            <w:r w:rsidRPr="00B239DD">
              <w:t>mechanical</w:t>
            </w:r>
          </w:p>
        </w:tc>
      </w:tr>
      <w:tr w:rsidTr="0020060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rPr>
                <w:rStyle w:val="BoldandItalics"/>
              </w:rPr>
              <w:t xml:space="preserve">Clients </w:t>
            </w:r>
            <w:r w:rsidRPr="00B239DD">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9DD" w:rsidP="00B239DD">
            <w:pPr>
              <w:pStyle w:val="ListBullet"/>
            </w:pPr>
            <w:r w:rsidRPr="00B239DD">
              <w:t>private sector organisations</w:t>
            </w:r>
          </w:p>
          <w:p w:rsidR="00000000" w:rsidRPr="00B239DD" w:rsidP="00B239DD">
            <w:pPr>
              <w:pStyle w:val="ListBullet"/>
            </w:pPr>
            <w:r w:rsidRPr="00B239DD">
              <w:t>Commonwealth, State/Territory or Local Government organisations</w:t>
            </w:r>
          </w:p>
          <w:p w:rsidR="00000000" w:rsidP="00B239DD">
            <w:pPr>
              <w:pStyle w:val="ListBullet"/>
              <w:rPr>
                <w:lang w:val="en-NZ"/>
              </w:rPr>
            </w:pPr>
            <w:r w:rsidRPr="00B239DD">
              <w:t>intra-agency units</w:t>
            </w:r>
          </w:p>
        </w:tc>
      </w:tr>
      <w:tr w:rsidTr="0020060B">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9DD">
            <w:pPr>
              <w:pStyle w:val="BodyText"/>
              <w:rPr>
                <w:lang w:val="en-NZ"/>
              </w:rPr>
            </w:pPr>
            <w:r w:rsidRPr="00B239DD">
              <w:rPr>
                <w:rStyle w:val="BoldandItalics"/>
              </w:rPr>
              <w:t>Stakeholders</w:t>
            </w:r>
            <w:r w:rsidRPr="00B239DD">
              <w:t xml:space="preserve">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9DD" w:rsidP="00B239DD">
            <w:pPr>
              <w:pStyle w:val="ListBullet"/>
            </w:pPr>
            <w:r w:rsidRPr="00B239DD">
              <w:t>all those individuals and groups both inside and outside the organisation that have some direct interest in the organisation's behaviour, actions, products and services, including:</w:t>
            </w:r>
          </w:p>
          <w:p w:rsidR="00000000" w:rsidRPr="00B239DD" w:rsidP="00B239DD">
            <w:pPr>
              <w:pStyle w:val="ListBullet2"/>
            </w:pPr>
            <w:r w:rsidRPr="00B239DD">
              <w:t>employees at all levels of the organisation</w:t>
            </w:r>
          </w:p>
          <w:p w:rsidR="00000000" w:rsidRPr="00B239DD" w:rsidP="00B239DD">
            <w:pPr>
              <w:pStyle w:val="ListBullet2"/>
            </w:pPr>
            <w:r w:rsidRPr="00B239DD">
              <w:t>clients</w:t>
            </w:r>
          </w:p>
          <w:p w:rsidR="00000000" w:rsidRPr="00B239DD" w:rsidP="00B239DD">
            <w:pPr>
              <w:pStyle w:val="ListBullet2"/>
            </w:pPr>
            <w:r w:rsidRPr="00B239DD">
              <w:t>other public sector or</w:t>
            </w:r>
            <w:r w:rsidRPr="00B239DD">
              <w:t>ganisations</w:t>
            </w:r>
          </w:p>
          <w:p w:rsidR="00000000" w:rsidRPr="00B239DD" w:rsidP="00B239DD">
            <w:pPr>
              <w:pStyle w:val="ListBullet2"/>
            </w:pPr>
            <w:r w:rsidRPr="00B239DD">
              <w:t>union and association representatives</w:t>
            </w:r>
          </w:p>
          <w:p w:rsidR="00000000" w:rsidRPr="00B239DD" w:rsidP="00B239DD">
            <w:pPr>
              <w:pStyle w:val="ListBullet2"/>
            </w:pPr>
            <w:r w:rsidRPr="00B239DD">
              <w:t>boards of management</w:t>
            </w:r>
          </w:p>
          <w:p w:rsidR="00000000" w:rsidRPr="00B239DD" w:rsidP="00B239DD">
            <w:pPr>
              <w:pStyle w:val="ListBullet2"/>
            </w:pPr>
            <w:r w:rsidRPr="00B239DD">
              <w:t>government</w:t>
            </w:r>
          </w:p>
          <w:p w:rsidR="00000000" w:rsidRPr="00B239DD" w:rsidP="00B239DD">
            <w:pPr>
              <w:pStyle w:val="ListBullet2"/>
            </w:pPr>
            <w:r w:rsidRPr="00B239DD">
              <w:t>Ministers</w:t>
            </w:r>
          </w:p>
        </w:tc>
      </w:tr>
    </w:tbl>
    <w:p w:rsidR="0020060B" w:rsidP="00B239DD">
      <w:pPr>
        <w:pStyle w:val="BodyText"/>
      </w:pPr>
    </w:p>
    <w:p w:rsidR="0020060B" w:rsidP="00B239DD">
      <w:pPr>
        <w:pStyle w:val="BodyText"/>
      </w:pPr>
    </w:p>
    <w:p w:rsidR="00000000" w:rsidRPr="00B239DD" w:rsidP="00B239DD">
      <w:pPr>
        <w:pStyle w:val="Heading1"/>
      </w:pPr>
      <w:bookmarkStart w:id="12" w:name="O_493686"/>
      <w:bookmarkEnd w:id="12"/>
      <w:r w:rsidRPr="00B239DD">
        <w:t>Unit Sector(s)</w:t>
      </w:r>
    </w:p>
    <w:p w:rsidR="00000000" w:rsidRPr="00B239DD" w:rsidP="00B239DD">
      <w:pPr>
        <w:pStyle w:val="BodyText"/>
      </w:pPr>
      <w:r w:rsidRPr="00B239DD">
        <w:t>Not applicable.</w:t>
      </w:r>
    </w:p>
    <w:p w:rsidR="00000000" w:rsidRPr="00B239DD" w:rsidP="00B239DD">
      <w:pPr>
        <w:pStyle w:val="AllowPageBreak"/>
      </w:pPr>
    </w:p>
    <w:p w:rsidR="00000000" w:rsidRPr="00B239DD" w:rsidP="00B239DD">
      <w:pPr>
        <w:pStyle w:val="Heading1"/>
      </w:pPr>
      <w:bookmarkStart w:id="13" w:name="O_493693"/>
      <w:bookmarkEnd w:id="13"/>
      <w:r w:rsidRPr="00B239DD">
        <w:t>Competency field</w:t>
      </w:r>
    </w:p>
    <w:p w:rsidR="00000000" w:rsidRPr="00B239DD" w:rsidP="00B239DD">
      <w:pPr>
        <w:pStyle w:val="BodyText"/>
      </w:pPr>
      <w:r w:rsidRPr="00B239DD">
        <w:t>Working in Government.</w:t>
      </w:r>
    </w:p>
    <w:p w:rsidR="00000000" w:rsidRPr="00B239DD" w:rsidP="00B239DD"/>
    <w:sectPr w:rsidSect="00B239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60B" w:rsidP="002006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0B" w:rsidP="00B239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060B" w:rsidP="00B239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0060B" w:rsidP="00B239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DD" w:rsidRPr="0020060B" w:rsidP="002006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9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60B" w:rsidRPr="002D2AF8" w:rsidP="00B239DD">
    <w:pPr>
      <w:pStyle w:val="Header"/>
      <w:framePr w:wrap="around"/>
    </w:pPr>
    <w:r>
      <w:fldChar w:fldCharType="begin"/>
    </w:r>
    <w:r>
      <w:instrText xml:space="preserve"> TITLE   \* MERGEFORMAT </w:instrText>
    </w:r>
    <w:r>
      <w:fldChar w:fldCharType="separate"/>
    </w:r>
    <w:r>
      <w:t>PSPGOV603B Develop a tender submission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0060B" w:rsidP="00B239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24B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A02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22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9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9DD"/>
    <w:pPr>
      <w:spacing w:before="360" w:after="60"/>
      <w:outlineLvl w:val="0"/>
    </w:pPr>
    <w:rPr>
      <w:sz w:val="32"/>
    </w:rPr>
  </w:style>
  <w:style w:type="paragraph" w:styleId="Heading2">
    <w:name w:val="heading 2"/>
    <w:basedOn w:val="HeadingBase"/>
    <w:next w:val="BodyText"/>
    <w:link w:val="Heading2Char"/>
    <w:qFormat/>
    <w:rsid w:val="00B239DD"/>
    <w:pPr>
      <w:keepLines/>
      <w:spacing w:before="240" w:after="120"/>
      <w:outlineLvl w:val="1"/>
    </w:pPr>
    <w:rPr>
      <w:sz w:val="28"/>
      <w:szCs w:val="40"/>
    </w:rPr>
  </w:style>
  <w:style w:type="paragraph" w:styleId="Heading3">
    <w:name w:val="heading 3"/>
    <w:basedOn w:val="HeadingBase"/>
    <w:next w:val="BodyText"/>
    <w:link w:val="Heading3Char"/>
    <w:qFormat/>
    <w:rsid w:val="00B239DD"/>
    <w:pPr>
      <w:spacing w:before="180" w:after="120"/>
      <w:outlineLvl w:val="2"/>
    </w:pPr>
    <w:rPr>
      <w:spacing w:val="-10"/>
      <w:kern w:val="32"/>
    </w:rPr>
  </w:style>
  <w:style w:type="paragraph" w:styleId="Heading4">
    <w:name w:val="heading 4"/>
    <w:basedOn w:val="HeadingBase"/>
    <w:next w:val="BodyText"/>
    <w:link w:val="Heading4Char"/>
    <w:qFormat/>
    <w:rsid w:val="00B239DD"/>
    <w:pPr>
      <w:spacing w:before="160" w:after="120"/>
      <w:outlineLvl w:val="3"/>
    </w:pPr>
    <w:rPr>
      <w:sz w:val="22"/>
    </w:rPr>
  </w:style>
  <w:style w:type="paragraph" w:styleId="Heading5">
    <w:name w:val="heading 5"/>
    <w:basedOn w:val="HeadingBase"/>
    <w:next w:val="Normal"/>
    <w:link w:val="Heading5Char"/>
    <w:qFormat/>
    <w:rsid w:val="00B239DD"/>
    <w:pPr>
      <w:spacing w:before="80"/>
      <w:outlineLvl w:val="4"/>
    </w:pPr>
    <w:rPr>
      <w:color w:val="918585"/>
      <w:sz w:val="20"/>
    </w:rPr>
  </w:style>
  <w:style w:type="paragraph" w:styleId="Heading6">
    <w:name w:val="heading 6"/>
    <w:basedOn w:val="HeadingBase"/>
    <w:next w:val="Normal"/>
    <w:link w:val="Heading6Char"/>
    <w:qFormat/>
    <w:rsid w:val="00B239DD"/>
    <w:pPr>
      <w:spacing w:before="60"/>
      <w:outlineLvl w:val="5"/>
    </w:pPr>
    <w:rPr>
      <w:color w:val="918585"/>
      <w:sz w:val="20"/>
    </w:rPr>
  </w:style>
  <w:style w:type="paragraph" w:styleId="Heading7">
    <w:name w:val="heading 7"/>
    <w:basedOn w:val="Normal"/>
    <w:next w:val="Normal"/>
    <w:link w:val="Heading7Char"/>
    <w:qFormat/>
    <w:rsid w:val="00B239DD"/>
    <w:pPr>
      <w:ind w:left="720"/>
      <w:outlineLvl w:val="6"/>
    </w:pPr>
    <w:rPr>
      <w:i/>
    </w:rPr>
  </w:style>
  <w:style w:type="paragraph" w:styleId="Heading8">
    <w:name w:val="heading 8"/>
    <w:basedOn w:val="Normal"/>
    <w:next w:val="Normal"/>
    <w:link w:val="Heading8Char"/>
    <w:qFormat/>
    <w:rsid w:val="00B239DD"/>
    <w:pPr>
      <w:ind w:left="720"/>
      <w:outlineLvl w:val="7"/>
    </w:pPr>
    <w:rPr>
      <w:i/>
    </w:rPr>
  </w:style>
  <w:style w:type="paragraph" w:styleId="Heading9">
    <w:name w:val="heading 9"/>
    <w:basedOn w:val="Normal"/>
    <w:next w:val="Normal"/>
    <w:link w:val="Heading9Char"/>
    <w:qFormat/>
    <w:rsid w:val="00B239DD"/>
    <w:pPr>
      <w:ind w:left="720"/>
      <w:outlineLvl w:val="8"/>
    </w:pPr>
    <w:rPr>
      <w:i/>
    </w:rPr>
  </w:style>
  <w:style w:type="character" w:default="1" w:styleId="DefaultParagraphFont">
    <w:name w:val="Default Paragraph Font"/>
    <w:uiPriority w:val="1"/>
    <w:unhideWhenUsed/>
    <w:rsid w:val="00B239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9DD"/>
  </w:style>
  <w:style w:type="character" w:customStyle="1" w:styleId="Heading1Char">
    <w:name w:val="Heading 1 Char"/>
    <w:basedOn w:val="DefaultParagraphFont"/>
    <w:link w:val="Heading1"/>
    <w:rsid w:val="00B239DD"/>
    <w:rPr>
      <w:rFonts w:ascii="Times New Roman" w:eastAsia="Times New Roman" w:hAnsi="Times New Roman" w:cs="Times New Roman"/>
      <w:b/>
      <w:sz w:val="32"/>
      <w:szCs w:val="20"/>
      <w:lang w:eastAsia="en-US"/>
    </w:rPr>
  </w:style>
  <w:style w:type="paragraph" w:styleId="BodyText">
    <w:name w:val="Body Text"/>
    <w:basedOn w:val="Normal"/>
    <w:link w:val="BodyTextChar"/>
    <w:rsid w:val="00B239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9DD"/>
    <w:rPr>
      <w:rFonts w:ascii="Times New Roman" w:eastAsia="Times New Roman" w:hAnsi="Times New Roman" w:cs="Times New Roman"/>
      <w:sz w:val="24"/>
      <w:lang w:eastAsia="en-US"/>
    </w:rPr>
  </w:style>
  <w:style w:type="paragraph" w:styleId="Footer">
    <w:name w:val="footer"/>
    <w:basedOn w:val="Normal"/>
    <w:link w:val="FooterChar"/>
    <w:rsid w:val="00B239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9DD"/>
    <w:rPr>
      <w:rFonts w:ascii="Times New Roman" w:eastAsia="Times New Roman" w:hAnsi="Times New Roman" w:cs="Times New Roman"/>
      <w:sz w:val="16"/>
      <w:lang w:eastAsia="en-US"/>
    </w:rPr>
  </w:style>
  <w:style w:type="paragraph" w:styleId="List">
    <w:name w:val="List"/>
    <w:basedOn w:val="BodyText"/>
    <w:next w:val="BodyText"/>
    <w:rsid w:val="00B239DD"/>
    <w:pPr>
      <w:tabs>
        <w:tab w:val="left" w:pos="340"/>
      </w:tabs>
      <w:spacing w:before="60" w:after="60"/>
      <w:ind w:left="340" w:hanging="340"/>
    </w:pPr>
  </w:style>
  <w:style w:type="paragraph" w:styleId="ListBullet">
    <w:name w:val="List Bullet"/>
    <w:basedOn w:val="List"/>
    <w:rsid w:val="00B239DD"/>
    <w:pPr>
      <w:numPr>
        <w:numId w:val="13"/>
      </w:numPr>
      <w:tabs>
        <w:tab w:val="clear" w:pos="340"/>
      </w:tabs>
      <w:spacing w:before="40" w:after="40"/>
    </w:pPr>
  </w:style>
  <w:style w:type="character" w:customStyle="1" w:styleId="SpecialBold">
    <w:name w:val="Special Bold"/>
    <w:basedOn w:val="DefaultParagraphFont"/>
    <w:rsid w:val="00B239DD"/>
    <w:rPr>
      <w:b/>
      <w:spacing w:val="0"/>
    </w:rPr>
  </w:style>
  <w:style w:type="paragraph" w:styleId="ListBullet2">
    <w:name w:val="List Bullet 2"/>
    <w:basedOn w:val="List2"/>
    <w:rsid w:val="00B239DD"/>
    <w:pPr>
      <w:numPr>
        <w:numId w:val="14"/>
      </w:numPr>
      <w:tabs>
        <w:tab w:val="clear" w:pos="680"/>
      </w:tabs>
    </w:pPr>
  </w:style>
  <w:style w:type="character" w:styleId="Emphasis">
    <w:name w:val="Emphasis"/>
    <w:basedOn w:val="DefaultParagraphFont"/>
    <w:qFormat/>
    <w:rsid w:val="00B239DD"/>
    <w:rPr>
      <w:i/>
    </w:rPr>
  </w:style>
  <w:style w:type="paragraph" w:customStyle="1" w:styleId="SuperHeading">
    <w:name w:val="SuperHeading"/>
    <w:basedOn w:val="Normal"/>
    <w:rsid w:val="00B239DD"/>
    <w:pPr>
      <w:spacing w:before="240" w:after="120"/>
      <w:outlineLvl w:val="0"/>
    </w:pPr>
    <w:rPr>
      <w:rFonts w:ascii="Times New Roman" w:hAnsi="Times New Roman"/>
      <w:b/>
      <w:sz w:val="28"/>
    </w:rPr>
  </w:style>
  <w:style w:type="paragraph" w:customStyle="1" w:styleId="AllowPageBreak">
    <w:name w:val="AllowPageBreak"/>
    <w:rsid w:val="00B239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239DD"/>
    <w:rPr>
      <w:u w:val="single"/>
    </w:rPr>
  </w:style>
  <w:style w:type="character" w:customStyle="1" w:styleId="BoldandItalics">
    <w:name w:val="Bold and Italics"/>
    <w:qFormat/>
    <w:rsid w:val="00B239DD"/>
    <w:rPr>
      <w:b/>
      <w:i/>
      <w:u w:val="none"/>
    </w:rPr>
  </w:style>
  <w:style w:type="character" w:customStyle="1" w:styleId="Heading2Char">
    <w:name w:val="Heading 2 Char"/>
    <w:basedOn w:val="DefaultParagraphFont"/>
    <w:link w:val="Heading2"/>
    <w:rsid w:val="00B239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9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9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9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9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9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9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9DD"/>
    <w:rPr>
      <w:rFonts w:ascii="Courier New" w:eastAsia="Times New Roman" w:hAnsi="Courier New" w:cs="Times New Roman"/>
      <w:i/>
      <w:szCs w:val="20"/>
      <w:lang w:eastAsia="en-US"/>
    </w:rPr>
  </w:style>
  <w:style w:type="paragraph" w:customStyle="1" w:styleId="HeadingBase">
    <w:name w:val="Heading Base"/>
    <w:rsid w:val="00B239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9DD"/>
    <w:pPr>
      <w:tabs>
        <w:tab w:val="right" w:leader="dot" w:pos="9072"/>
      </w:tabs>
      <w:ind w:left="567"/>
    </w:pPr>
    <w:rPr>
      <w:szCs w:val="22"/>
    </w:rPr>
  </w:style>
  <w:style w:type="paragraph" w:customStyle="1" w:styleId="TOCBase">
    <w:name w:val="TOC Base"/>
    <w:rsid w:val="00B239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9DD"/>
    <w:pPr>
      <w:tabs>
        <w:tab w:val="right" w:leader="dot" w:pos="9072"/>
      </w:tabs>
      <w:spacing w:before="40" w:after="40"/>
      <w:ind w:left="284"/>
    </w:pPr>
    <w:rPr>
      <w:rFonts w:ascii="Times New Roman" w:hAnsi="Times New Roman"/>
    </w:rPr>
  </w:style>
  <w:style w:type="paragraph" w:styleId="TOC1">
    <w:name w:val="toc 1"/>
    <w:basedOn w:val="TOCBase"/>
    <w:next w:val="Normal"/>
    <w:rsid w:val="00B239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9DD"/>
    <w:pPr>
      <w:spacing w:before="5040"/>
      <w:jc w:val="center"/>
    </w:pPr>
    <w:rPr>
      <w:sz w:val="48"/>
      <w:szCs w:val="72"/>
      <w:lang w:val="en-US"/>
    </w:rPr>
  </w:style>
  <w:style w:type="character" w:customStyle="1" w:styleId="TitleChar">
    <w:name w:val="Title Char"/>
    <w:basedOn w:val="DefaultParagraphFont"/>
    <w:link w:val="Title"/>
    <w:rsid w:val="00B239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9DD"/>
    <w:pPr>
      <w:tabs>
        <w:tab w:val="left" w:pos="3600"/>
        <w:tab w:val="left" w:pos="3958"/>
      </w:tabs>
    </w:pPr>
  </w:style>
  <w:style w:type="paragraph" w:customStyle="1" w:styleId="Note">
    <w:name w:val="Note"/>
    <w:basedOn w:val="BodyText"/>
    <w:rsid w:val="00B239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9DD"/>
    <w:pPr>
      <w:framePr w:wrap="auto" w:hAnchor="text" w:y="6049"/>
    </w:pPr>
    <w:rPr>
      <w:color w:val="000000"/>
      <w:sz w:val="40"/>
    </w:rPr>
  </w:style>
  <w:style w:type="paragraph" w:customStyle="1" w:styleId="TOCTitle">
    <w:name w:val="TOCTitle"/>
    <w:basedOn w:val="Heading1"/>
    <w:rsid w:val="00B239DD"/>
    <w:pPr>
      <w:spacing w:after="240"/>
      <w:jc w:val="center"/>
      <w:outlineLvl w:val="9"/>
    </w:pPr>
    <w:rPr>
      <w:caps/>
    </w:rPr>
  </w:style>
  <w:style w:type="paragraph" w:customStyle="1" w:styleId="Version">
    <w:name w:val="Version"/>
    <w:rsid w:val="00B239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9DD"/>
    <w:pPr>
      <w:keepNext w:val="0"/>
      <w:tabs>
        <w:tab w:val="right" w:pos="4176"/>
      </w:tabs>
      <w:ind w:left="198" w:hanging="198"/>
    </w:pPr>
    <w:rPr>
      <w:rFonts w:ascii="Garamond" w:hAnsi="Garamond"/>
    </w:rPr>
  </w:style>
  <w:style w:type="paragraph" w:styleId="IndexHeading">
    <w:name w:val="index heading"/>
    <w:basedOn w:val="Normal"/>
    <w:next w:val="Index1"/>
    <w:semiHidden/>
    <w:rsid w:val="00B239DD"/>
    <w:pPr>
      <w:spacing w:before="120" w:after="120"/>
    </w:pPr>
    <w:rPr>
      <w:rFonts w:ascii="Arial" w:hAnsi="Arial"/>
      <w:b/>
      <w:color w:val="918585"/>
      <w:sz w:val="24"/>
    </w:rPr>
  </w:style>
  <w:style w:type="paragraph" w:styleId="Header">
    <w:name w:val="header"/>
    <w:basedOn w:val="Normal"/>
    <w:link w:val="HeaderChar"/>
    <w:rsid w:val="00B239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9DD"/>
    <w:rPr>
      <w:rFonts w:ascii="Times New Roman" w:eastAsia="Times New Roman" w:hAnsi="Times New Roman" w:cs="Times New Roman"/>
      <w:sz w:val="16"/>
      <w:szCs w:val="20"/>
      <w:lang w:val="en-GB" w:eastAsia="en-US"/>
    </w:rPr>
  </w:style>
  <w:style w:type="paragraph" w:customStyle="1" w:styleId="Chapter">
    <w:name w:val="Chapter"/>
    <w:basedOn w:val="Normal"/>
    <w:rsid w:val="00B239DD"/>
    <w:pPr>
      <w:spacing w:before="240"/>
    </w:pPr>
    <w:rPr>
      <w:rFonts w:ascii="Times New Roman" w:hAnsi="Times New Roman"/>
      <w:smallCaps/>
      <w:spacing w:val="80"/>
      <w:sz w:val="28"/>
    </w:rPr>
  </w:style>
  <w:style w:type="paragraph" w:customStyle="1" w:styleId="InChapter">
    <w:name w:val="InChapter"/>
    <w:basedOn w:val="Heading3"/>
    <w:rsid w:val="00B239DD"/>
    <w:pPr>
      <w:spacing w:after="240"/>
      <w:outlineLvl w:val="9"/>
    </w:pPr>
    <w:rPr>
      <w:noProof/>
    </w:rPr>
  </w:style>
  <w:style w:type="paragraph" w:styleId="Index2">
    <w:name w:val="index 2"/>
    <w:basedOn w:val="Normal"/>
    <w:next w:val="Normal"/>
    <w:semiHidden/>
    <w:rsid w:val="00B239DD"/>
    <w:pPr>
      <w:tabs>
        <w:tab w:val="right" w:pos="4176"/>
      </w:tabs>
      <w:ind w:left="568" w:hanging="284"/>
    </w:pPr>
    <w:rPr>
      <w:rFonts w:ascii="Garamond" w:hAnsi="Garamond"/>
    </w:rPr>
  </w:style>
  <w:style w:type="paragraph" w:customStyle="1" w:styleId="Byline">
    <w:name w:val="Byline"/>
    <w:rsid w:val="00B239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9DD"/>
    <w:pPr>
      <w:tabs>
        <w:tab w:val="clear" w:pos="3600"/>
        <w:tab w:val="clear" w:pos="3958"/>
      </w:tabs>
      <w:jc w:val="right"/>
    </w:pPr>
  </w:style>
  <w:style w:type="paragraph" w:styleId="Caption">
    <w:name w:val="caption"/>
    <w:basedOn w:val="BodyText"/>
    <w:next w:val="Normal"/>
    <w:qFormat/>
    <w:rsid w:val="00B239DD"/>
    <w:pPr>
      <w:framePr w:w="2268" w:hSpace="181" w:vSpace="181" w:wrap="around" w:vAnchor="text" w:hAnchor="page" w:x="1135" w:y="285" w:anchorLock="1"/>
    </w:pPr>
    <w:rPr>
      <w:i/>
    </w:rPr>
  </w:style>
  <w:style w:type="paragraph" w:customStyle="1" w:styleId="MiniTOCTitle">
    <w:name w:val="MiniTOCTitle"/>
    <w:basedOn w:val="Heading4"/>
    <w:rsid w:val="00B239DD"/>
    <w:pPr>
      <w:spacing w:before="240"/>
      <w:outlineLvl w:val="9"/>
    </w:pPr>
    <w:rPr>
      <w:noProof/>
      <w:sz w:val="24"/>
    </w:rPr>
  </w:style>
  <w:style w:type="paragraph" w:customStyle="1" w:styleId="MiniTOCItem">
    <w:name w:val="MiniTOCItem"/>
    <w:basedOn w:val="ListBullet"/>
    <w:rsid w:val="00B239DD"/>
    <w:pPr>
      <w:numPr>
        <w:numId w:val="0"/>
      </w:numPr>
      <w:tabs>
        <w:tab w:val="right" w:leader="dot" w:pos="6521"/>
      </w:tabs>
      <w:spacing w:before="0" w:after="0"/>
    </w:pPr>
  </w:style>
  <w:style w:type="paragraph" w:customStyle="1" w:styleId="TOFTitle">
    <w:name w:val="TOFTitle"/>
    <w:basedOn w:val="TOCTitle"/>
    <w:rsid w:val="00B239DD"/>
  </w:style>
  <w:style w:type="paragraph" w:styleId="TableofFigures">
    <w:name w:val="table of figures"/>
    <w:basedOn w:val="Normal"/>
    <w:next w:val="Normal"/>
    <w:semiHidden/>
    <w:rsid w:val="00B239DD"/>
    <w:pPr>
      <w:tabs>
        <w:tab w:val="right" w:leader="dot" w:pos="9072"/>
      </w:tabs>
      <w:ind w:left="970" w:hanging="403"/>
    </w:pPr>
    <w:rPr>
      <w:rFonts w:ascii="Times New Roman" w:hAnsi="Times New Roman"/>
      <w:b/>
    </w:rPr>
  </w:style>
  <w:style w:type="paragraph" w:styleId="ListNumber">
    <w:name w:val="List Number"/>
    <w:basedOn w:val="List"/>
    <w:rsid w:val="00B239DD"/>
    <w:pPr>
      <w:numPr>
        <w:numId w:val="11"/>
      </w:numPr>
    </w:pPr>
  </w:style>
  <w:style w:type="character" w:customStyle="1" w:styleId="WingdingSymbols">
    <w:name w:val="Wingding Symbols"/>
    <w:rsid w:val="00B239DD"/>
    <w:rPr>
      <w:rFonts w:ascii="Wingdings" w:hAnsi="Wingdings"/>
    </w:rPr>
  </w:style>
  <w:style w:type="paragraph" w:customStyle="1" w:styleId="TableHeading">
    <w:name w:val="Table Heading"/>
    <w:basedOn w:val="HeadingBase"/>
    <w:rsid w:val="00B239DD"/>
    <w:pPr>
      <w:keepLines/>
      <w:pBdr>
        <w:bottom w:val="single" w:sz="6" w:space="1" w:color="918585"/>
      </w:pBdr>
      <w:spacing w:before="240"/>
    </w:pPr>
  </w:style>
  <w:style w:type="character" w:customStyle="1" w:styleId="HotSpot">
    <w:name w:val="HotSpot"/>
    <w:rsid w:val="00B239DD"/>
    <w:rPr>
      <w:color w:val="0033CC"/>
      <w:u w:val="none"/>
    </w:rPr>
  </w:style>
  <w:style w:type="paragraph" w:customStyle="1" w:styleId="BodyTextRight">
    <w:name w:val="Body Text Right"/>
    <w:basedOn w:val="BodyText"/>
    <w:rsid w:val="00B239DD"/>
    <w:pPr>
      <w:spacing w:before="0" w:after="0"/>
      <w:jc w:val="right"/>
    </w:pPr>
  </w:style>
  <w:style w:type="paragraph" w:styleId="Index3">
    <w:name w:val="index 3"/>
    <w:basedOn w:val="ListNumber2"/>
    <w:next w:val="Normal"/>
    <w:semiHidden/>
    <w:rsid w:val="00B239DD"/>
    <w:pPr>
      <w:numPr>
        <w:numId w:val="0"/>
      </w:numPr>
      <w:tabs>
        <w:tab w:val="right" w:leader="dot" w:pos="4176"/>
      </w:tabs>
    </w:pPr>
  </w:style>
  <w:style w:type="paragraph" w:styleId="ListNumber2">
    <w:name w:val="List Number 2"/>
    <w:basedOn w:val="List2"/>
    <w:rsid w:val="00B239DD"/>
    <w:pPr>
      <w:numPr>
        <w:numId w:val="10"/>
      </w:numPr>
      <w:tabs>
        <w:tab w:val="clear" w:pos="1060"/>
      </w:tabs>
    </w:pPr>
  </w:style>
  <w:style w:type="paragraph" w:customStyle="1" w:styleId="MarginNote">
    <w:name w:val="Margin Note"/>
    <w:basedOn w:val="BodyText"/>
    <w:rsid w:val="00B239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9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9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9DD"/>
    <w:rPr>
      <w:sz w:val="32"/>
    </w:rPr>
  </w:style>
  <w:style w:type="paragraph" w:customStyle="1" w:styleId="HeadingProcedure">
    <w:name w:val="Heading Procedure"/>
    <w:basedOn w:val="HeadingBase"/>
    <w:next w:val="Normal"/>
    <w:rsid w:val="00B239DD"/>
    <w:pPr>
      <w:tabs>
        <w:tab w:val="left" w:pos="0"/>
      </w:tabs>
      <w:spacing w:before="120" w:after="60"/>
    </w:pPr>
    <w:rPr>
      <w:i/>
      <w:color w:val="918585"/>
      <w:sz w:val="22"/>
    </w:rPr>
  </w:style>
  <w:style w:type="paragraph" w:customStyle="1" w:styleId="TableBodyText">
    <w:name w:val="Table Body Text"/>
    <w:basedOn w:val="BodyText"/>
    <w:rsid w:val="00B239DD"/>
    <w:pPr>
      <w:spacing w:before="60" w:after="60"/>
    </w:pPr>
  </w:style>
  <w:style w:type="paragraph" w:styleId="ListContinue">
    <w:name w:val="List Continue"/>
    <w:basedOn w:val="List"/>
    <w:rsid w:val="00B239DD"/>
    <w:pPr>
      <w:ind w:firstLine="0"/>
    </w:pPr>
  </w:style>
  <w:style w:type="paragraph" w:customStyle="1" w:styleId="ListNote">
    <w:name w:val="List Note"/>
    <w:basedOn w:val="List"/>
    <w:rsid w:val="00B239DD"/>
    <w:pPr>
      <w:pBdr>
        <w:top w:val="single" w:sz="6" w:space="2" w:color="918585"/>
        <w:bottom w:val="single" w:sz="6" w:space="2" w:color="918585"/>
      </w:pBdr>
      <w:tabs>
        <w:tab w:val="left" w:pos="1021"/>
      </w:tabs>
      <w:ind w:firstLine="0"/>
    </w:pPr>
  </w:style>
  <w:style w:type="paragraph" w:customStyle="1" w:styleId="Warning">
    <w:name w:val="Warning"/>
    <w:basedOn w:val="BodyText"/>
    <w:rsid w:val="00B239DD"/>
    <w:pPr>
      <w:shd w:val="clear" w:color="auto" w:fill="D9D9D9"/>
      <w:tabs>
        <w:tab w:val="left" w:pos="992"/>
      </w:tabs>
      <w:ind w:left="119" w:right="119"/>
    </w:pPr>
    <w:rPr>
      <w:sz w:val="20"/>
    </w:rPr>
  </w:style>
  <w:style w:type="paragraph" w:customStyle="1" w:styleId="MarginIcons">
    <w:name w:val="Margin Icons"/>
    <w:basedOn w:val="BodyText"/>
    <w:rsid w:val="00B239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9DD"/>
    <w:rPr>
      <w:rFonts w:ascii="Courier New" w:hAnsi="Courier New"/>
    </w:rPr>
  </w:style>
  <w:style w:type="paragraph" w:customStyle="1" w:styleId="NoteBullet">
    <w:name w:val="Note Bullet"/>
    <w:basedOn w:val="Note"/>
    <w:rsid w:val="00B239DD"/>
    <w:pPr>
      <w:tabs>
        <w:tab w:val="clear" w:pos="680"/>
      </w:tabs>
      <w:spacing w:before="60" w:after="60"/>
    </w:pPr>
  </w:style>
  <w:style w:type="paragraph" w:customStyle="1" w:styleId="SubHeading2">
    <w:name w:val="SubHeading2"/>
    <w:basedOn w:val="HeadingBase"/>
    <w:rsid w:val="00B239DD"/>
    <w:pPr>
      <w:spacing w:before="240" w:after="60"/>
    </w:pPr>
    <w:rPr>
      <w:sz w:val="20"/>
    </w:rPr>
  </w:style>
  <w:style w:type="paragraph" w:customStyle="1" w:styleId="SubHeading1">
    <w:name w:val="SubHeading1"/>
    <w:basedOn w:val="HeadingBase"/>
    <w:rsid w:val="00B239DD"/>
    <w:pPr>
      <w:spacing w:before="240" w:after="60"/>
    </w:pPr>
    <w:rPr>
      <w:color w:val="918585"/>
      <w:sz w:val="22"/>
    </w:rPr>
  </w:style>
  <w:style w:type="paragraph" w:customStyle="1" w:styleId="SideHeading">
    <w:name w:val="Side Heading"/>
    <w:basedOn w:val="HeadingBase"/>
    <w:rsid w:val="00B239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9DD"/>
    <w:pPr>
      <w:numPr>
        <w:numId w:val="12"/>
      </w:numPr>
    </w:pPr>
  </w:style>
  <w:style w:type="paragraph" w:styleId="PlainText">
    <w:name w:val="Plain Text"/>
    <w:basedOn w:val="Normal"/>
    <w:link w:val="PlainTextChar"/>
    <w:rsid w:val="00B239DD"/>
    <w:rPr>
      <w:sz w:val="20"/>
    </w:rPr>
  </w:style>
  <w:style w:type="character" w:customStyle="1" w:styleId="PlainTextChar">
    <w:name w:val="Plain Text Char"/>
    <w:basedOn w:val="DefaultParagraphFont"/>
    <w:link w:val="PlainText"/>
    <w:rsid w:val="00B239DD"/>
    <w:rPr>
      <w:rFonts w:ascii="Courier New" w:eastAsia="Times New Roman" w:hAnsi="Courier New" w:cs="Times New Roman"/>
      <w:sz w:val="20"/>
      <w:szCs w:val="20"/>
      <w:lang w:eastAsia="en-US"/>
    </w:rPr>
  </w:style>
  <w:style w:type="character" w:customStyle="1" w:styleId="MenuOption">
    <w:name w:val="Menu Option"/>
    <w:basedOn w:val="DefaultParagraphFont"/>
    <w:rsid w:val="00B239DD"/>
    <w:rPr>
      <w:b/>
      <w:smallCaps/>
    </w:rPr>
  </w:style>
  <w:style w:type="paragraph" w:customStyle="1" w:styleId="TableListNumber">
    <w:name w:val="Table List Number"/>
    <w:basedOn w:val="ListNumber"/>
    <w:rsid w:val="00B239DD"/>
    <w:pPr>
      <w:numPr>
        <w:numId w:val="0"/>
      </w:numPr>
    </w:pPr>
  </w:style>
  <w:style w:type="paragraph" w:styleId="TOC4">
    <w:name w:val="toc 4"/>
    <w:basedOn w:val="TOCBase"/>
    <w:next w:val="Normal"/>
    <w:semiHidden/>
    <w:rsid w:val="00B239DD"/>
    <w:pPr>
      <w:tabs>
        <w:tab w:val="right" w:leader="dot" w:pos="9071"/>
      </w:tabs>
      <w:ind w:left="1701"/>
    </w:pPr>
  </w:style>
  <w:style w:type="paragraph" w:customStyle="1" w:styleId="ListAlpha">
    <w:name w:val="List Alpha"/>
    <w:basedOn w:val="List"/>
    <w:rsid w:val="00B239DD"/>
    <w:pPr>
      <w:numPr>
        <w:numId w:val="9"/>
      </w:numPr>
    </w:pPr>
  </w:style>
  <w:style w:type="paragraph" w:customStyle="1" w:styleId="ListAlpha2">
    <w:name w:val="List Alpha 2"/>
    <w:basedOn w:val="List2"/>
    <w:rsid w:val="00B239DD"/>
    <w:pPr>
      <w:numPr>
        <w:numId w:val="8"/>
      </w:numPr>
    </w:pPr>
  </w:style>
  <w:style w:type="paragraph" w:styleId="List2">
    <w:name w:val="List 2"/>
    <w:basedOn w:val="BodyText"/>
    <w:rsid w:val="00B239DD"/>
    <w:pPr>
      <w:tabs>
        <w:tab w:val="left" w:pos="680"/>
      </w:tabs>
      <w:spacing w:before="60" w:after="60"/>
      <w:ind w:left="680" w:hanging="340"/>
    </w:pPr>
  </w:style>
  <w:style w:type="paragraph" w:styleId="List3">
    <w:name w:val="List 3"/>
    <w:basedOn w:val="BodyText"/>
    <w:rsid w:val="00B239DD"/>
    <w:pPr>
      <w:tabs>
        <w:tab w:val="left" w:pos="1021"/>
      </w:tabs>
      <w:spacing w:before="60" w:after="60"/>
      <w:ind w:left="1020" w:hanging="340"/>
    </w:pPr>
  </w:style>
  <w:style w:type="paragraph" w:styleId="List4">
    <w:name w:val="List 4"/>
    <w:basedOn w:val="BodyText"/>
    <w:rsid w:val="00B239DD"/>
    <w:pPr>
      <w:tabs>
        <w:tab w:val="left" w:pos="1361"/>
      </w:tabs>
      <w:spacing w:before="60" w:after="60"/>
      <w:ind w:left="1361" w:hanging="340"/>
    </w:pPr>
  </w:style>
  <w:style w:type="paragraph" w:styleId="List5">
    <w:name w:val="List 5"/>
    <w:basedOn w:val="BodyText"/>
    <w:rsid w:val="00B239DD"/>
    <w:pPr>
      <w:tabs>
        <w:tab w:val="left" w:pos="1701"/>
      </w:tabs>
      <w:spacing w:before="60" w:after="60"/>
      <w:ind w:left="1701" w:hanging="340"/>
    </w:pPr>
  </w:style>
  <w:style w:type="paragraph" w:styleId="ListBullet3">
    <w:name w:val="List Bullet 3"/>
    <w:basedOn w:val="List3"/>
    <w:rsid w:val="00B239DD"/>
    <w:pPr>
      <w:numPr>
        <w:numId w:val="15"/>
      </w:numPr>
      <w:tabs>
        <w:tab w:val="clear" w:pos="1021"/>
      </w:tabs>
      <w:ind w:left="1037" w:hanging="357"/>
    </w:pPr>
  </w:style>
  <w:style w:type="paragraph" w:styleId="ListBullet4">
    <w:name w:val="List Bullet 4"/>
    <w:basedOn w:val="List4"/>
    <w:rsid w:val="00B239DD"/>
    <w:pPr>
      <w:numPr>
        <w:numId w:val="3"/>
      </w:numPr>
    </w:pPr>
  </w:style>
  <w:style w:type="paragraph" w:styleId="ListBullet5">
    <w:name w:val="List Bullet 5"/>
    <w:basedOn w:val="List5"/>
    <w:rsid w:val="00B239DD"/>
    <w:pPr>
      <w:numPr>
        <w:numId w:val="4"/>
      </w:numPr>
    </w:pPr>
  </w:style>
  <w:style w:type="paragraph" w:styleId="ListContinue2">
    <w:name w:val="List Continue 2"/>
    <w:basedOn w:val="List2"/>
    <w:rsid w:val="00B239DD"/>
    <w:pPr>
      <w:ind w:firstLine="0"/>
    </w:pPr>
  </w:style>
  <w:style w:type="paragraph" w:styleId="ListContinue3">
    <w:name w:val="List Continue 3"/>
    <w:basedOn w:val="List3"/>
    <w:rsid w:val="00B239DD"/>
    <w:pPr>
      <w:ind w:left="1021" w:firstLine="0"/>
    </w:pPr>
  </w:style>
  <w:style w:type="paragraph" w:styleId="ListContinue4">
    <w:name w:val="List Continue 4"/>
    <w:basedOn w:val="List4"/>
    <w:rsid w:val="00B239DD"/>
    <w:pPr>
      <w:ind w:firstLine="0"/>
    </w:pPr>
  </w:style>
  <w:style w:type="paragraph" w:styleId="ListContinue5">
    <w:name w:val="List Continue 5"/>
    <w:basedOn w:val="List5"/>
    <w:rsid w:val="00B239DD"/>
    <w:pPr>
      <w:ind w:firstLine="0"/>
    </w:pPr>
  </w:style>
  <w:style w:type="paragraph" w:styleId="ListNumber3">
    <w:name w:val="List Number 3"/>
    <w:basedOn w:val="List3"/>
    <w:rsid w:val="00B239DD"/>
    <w:pPr>
      <w:numPr>
        <w:numId w:val="5"/>
      </w:numPr>
    </w:pPr>
  </w:style>
  <w:style w:type="paragraph" w:styleId="ListNumber4">
    <w:name w:val="List Number 4"/>
    <w:basedOn w:val="List4"/>
    <w:rsid w:val="00B239DD"/>
    <w:pPr>
      <w:numPr>
        <w:numId w:val="6"/>
      </w:numPr>
    </w:pPr>
  </w:style>
  <w:style w:type="paragraph" w:styleId="ListNumber5">
    <w:name w:val="List Number 5"/>
    <w:basedOn w:val="List5"/>
    <w:rsid w:val="00B239DD"/>
    <w:pPr>
      <w:numPr>
        <w:numId w:val="7"/>
      </w:numPr>
    </w:pPr>
  </w:style>
  <w:style w:type="paragraph" w:styleId="BlockText">
    <w:name w:val="Block Text"/>
    <w:basedOn w:val="Normal"/>
    <w:rsid w:val="00B239DD"/>
    <w:pPr>
      <w:spacing w:after="120"/>
      <w:ind w:left="1440" w:right="1440"/>
    </w:pPr>
  </w:style>
  <w:style w:type="character" w:customStyle="1" w:styleId="Subscript">
    <w:name w:val="Subscript"/>
    <w:basedOn w:val="DefaultParagraphFont"/>
    <w:rsid w:val="00B239DD"/>
    <w:rPr>
      <w:sz w:val="16"/>
      <w:vertAlign w:val="subscript"/>
    </w:rPr>
  </w:style>
  <w:style w:type="character" w:customStyle="1" w:styleId="Superscript">
    <w:name w:val="Superscript"/>
    <w:basedOn w:val="DefaultParagraphFont"/>
    <w:rsid w:val="00B239DD"/>
    <w:rPr>
      <w:sz w:val="16"/>
      <w:vertAlign w:val="superscript"/>
    </w:rPr>
  </w:style>
  <w:style w:type="character" w:customStyle="1" w:styleId="Symbols">
    <w:name w:val="Symbols"/>
    <w:basedOn w:val="DefaultParagraphFont"/>
    <w:rsid w:val="00B239DD"/>
    <w:rPr>
      <w:rFonts w:ascii="Symbol" w:hAnsi="Symbol"/>
    </w:rPr>
  </w:style>
  <w:style w:type="character" w:customStyle="1" w:styleId="MenuOptions">
    <w:name w:val="Menu Options"/>
    <w:basedOn w:val="DefaultParagraphFont"/>
    <w:rsid w:val="00B239DD"/>
    <w:rPr>
      <w:rFonts w:ascii="Arial Narrow" w:hAnsi="Arial Narrow"/>
      <w:smallCaps/>
    </w:rPr>
  </w:style>
  <w:style w:type="character" w:customStyle="1" w:styleId="Buttons">
    <w:name w:val="Buttons"/>
    <w:basedOn w:val="DefaultParagraphFont"/>
    <w:rsid w:val="00B239DD"/>
    <w:rPr>
      <w:b/>
    </w:rPr>
  </w:style>
  <w:style w:type="character" w:customStyle="1" w:styleId="Underlined">
    <w:name w:val="Underlined"/>
    <w:basedOn w:val="DefaultParagraphFont"/>
    <w:rsid w:val="00B239DD"/>
    <w:rPr>
      <w:u w:val="single"/>
    </w:rPr>
  </w:style>
  <w:style w:type="paragraph" w:customStyle="1" w:styleId="TableBodyTextRight">
    <w:name w:val="Table Body Text Right"/>
    <w:basedOn w:val="TableBodyText"/>
    <w:rsid w:val="00B239DD"/>
    <w:pPr>
      <w:widowControl w:val="0"/>
      <w:autoSpaceDE w:val="0"/>
      <w:autoSpaceDN w:val="0"/>
      <w:adjustRightInd w:val="0"/>
      <w:jc w:val="right"/>
    </w:pPr>
    <w:rPr>
      <w:rFonts w:cs="Arial"/>
      <w:szCs w:val="18"/>
    </w:rPr>
  </w:style>
  <w:style w:type="paragraph" w:customStyle="1" w:styleId="CopyrightText">
    <w:name w:val="Copyright Text"/>
    <w:basedOn w:val="BodyText"/>
    <w:rsid w:val="00B239DD"/>
    <w:rPr>
      <w:sz w:val="18"/>
    </w:rPr>
  </w:style>
  <w:style w:type="paragraph" w:customStyle="1" w:styleId="BodySmallRight">
    <w:name w:val="Body Small Right"/>
    <w:basedOn w:val="BodyTextRight"/>
    <w:rsid w:val="00B239DD"/>
    <w:rPr>
      <w:sz w:val="18"/>
      <w:szCs w:val="18"/>
    </w:rPr>
  </w:style>
  <w:style w:type="paragraph" w:customStyle="1" w:styleId="MarginEdition">
    <w:name w:val="Margin Edition"/>
    <w:basedOn w:val="MarginNote"/>
    <w:rsid w:val="00B239DD"/>
    <w:pPr>
      <w:spacing w:before="0" w:after="0"/>
    </w:pPr>
    <w:rPr>
      <w:rFonts w:ascii="Times New Roman" w:hAnsi="Times New Roman"/>
      <w:color w:val="999999"/>
    </w:rPr>
  </w:style>
  <w:style w:type="paragraph" w:customStyle="1" w:styleId="Spacer">
    <w:name w:val="Spacer"/>
    <w:basedOn w:val="Normal"/>
    <w:rsid w:val="00B239DD"/>
    <w:rPr>
      <w:sz w:val="2"/>
      <w:szCs w:val="2"/>
    </w:rPr>
  </w:style>
  <w:style w:type="character" w:customStyle="1" w:styleId="Small">
    <w:name w:val="Small"/>
    <w:basedOn w:val="DefaultParagraphFont"/>
    <w:rsid w:val="00B239DD"/>
    <w:rPr>
      <w:sz w:val="16"/>
    </w:rPr>
  </w:style>
  <w:style w:type="paragraph" w:customStyle="1" w:styleId="WideTable">
    <w:name w:val="Wide Table"/>
    <w:basedOn w:val="Normal"/>
    <w:rsid w:val="00B239DD"/>
    <w:pPr>
      <w:ind w:left="-1418"/>
    </w:pPr>
    <w:rPr>
      <w:sz w:val="2"/>
      <w:szCs w:val="2"/>
    </w:rPr>
  </w:style>
  <w:style w:type="character" w:styleId="PageNumber">
    <w:name w:val="page number"/>
    <w:basedOn w:val="DefaultParagraphFont"/>
    <w:rsid w:val="00B239DD"/>
  </w:style>
  <w:style w:type="paragraph" w:styleId="Quote">
    <w:name w:val="Quote"/>
    <w:basedOn w:val="Heading1"/>
    <w:link w:val="QuoteChar"/>
    <w:qFormat/>
    <w:rsid w:val="00B239DD"/>
    <w:rPr>
      <w:b w:val="0"/>
      <w:sz w:val="72"/>
      <w:szCs w:val="72"/>
      <w:lang w:val="en-NZ"/>
    </w:rPr>
  </w:style>
  <w:style w:type="character" w:customStyle="1" w:styleId="QuoteChar">
    <w:name w:val="Quote Char"/>
    <w:basedOn w:val="DefaultParagraphFont"/>
    <w:link w:val="Quote"/>
    <w:rsid w:val="00B239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9DD"/>
    <w:pPr>
      <w:pageBreakBefore/>
    </w:pPr>
  </w:style>
  <w:style w:type="paragraph" w:customStyle="1" w:styleId="Border">
    <w:name w:val="Border"/>
    <w:basedOn w:val="Normal"/>
    <w:qFormat/>
    <w:rsid w:val="00B239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9DD"/>
    <w:rPr>
      <w:b/>
      <w:bCs/>
      <w:i/>
      <w:iCs/>
      <w:color w:val="auto"/>
    </w:rPr>
  </w:style>
  <w:style w:type="paragraph" w:styleId="IntenseQuote">
    <w:name w:val="Intense Quote"/>
    <w:basedOn w:val="Normal"/>
    <w:next w:val="Normal"/>
    <w:link w:val="IntenseQuoteChar"/>
    <w:uiPriority w:val="30"/>
    <w:qFormat/>
    <w:rsid w:val="00B239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9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9DD"/>
    <w:rPr>
      <w:smallCaps/>
      <w:color w:val="auto"/>
      <w:u w:val="single"/>
    </w:rPr>
  </w:style>
  <w:style w:type="character" w:styleId="IntenseReference">
    <w:name w:val="Intense Reference"/>
    <w:basedOn w:val="DefaultParagraphFont"/>
    <w:uiPriority w:val="32"/>
    <w:qFormat/>
    <w:rsid w:val="00B239DD"/>
    <w:rPr>
      <w:b/>
      <w:bCs/>
      <w:smallCaps/>
      <w:color w:val="auto"/>
      <w:spacing w:val="5"/>
      <w:u w:val="single"/>
    </w:rPr>
  </w:style>
  <w:style w:type="paragraph" w:customStyle="1" w:styleId="2ColumnHeading">
    <w:name w:val="2Column Heading"/>
    <w:basedOn w:val="BodyText"/>
    <w:qFormat/>
    <w:rsid w:val="00B239DD"/>
    <w:pPr>
      <w:spacing w:after="60"/>
      <w:ind w:left="-2268"/>
    </w:pPr>
    <w:rPr>
      <w:b/>
    </w:rPr>
  </w:style>
  <w:style w:type="paragraph" w:customStyle="1" w:styleId="Heading1TOC">
    <w:name w:val="Heading1 TOC"/>
    <w:basedOn w:val="Normal"/>
    <w:qFormat/>
    <w:rsid w:val="00B239DD"/>
    <w:pPr>
      <w:spacing w:before="240" w:after="120"/>
    </w:pPr>
    <w:rPr>
      <w:rFonts w:ascii="Times New Roman" w:hAnsi="Times New Roman"/>
      <w:b/>
      <w:sz w:val="32"/>
    </w:rPr>
  </w:style>
  <w:style w:type="paragraph" w:customStyle="1" w:styleId="Heading2TOC">
    <w:name w:val="Heading2 TOC"/>
    <w:basedOn w:val="Normal"/>
    <w:qFormat/>
    <w:rsid w:val="00B239DD"/>
    <w:pPr>
      <w:spacing w:before="240" w:after="60"/>
    </w:pPr>
    <w:rPr>
      <w:rFonts w:ascii="Times New Roman" w:hAnsi="Times New Roman"/>
      <w:b/>
      <w:sz w:val="28"/>
    </w:rPr>
  </w:style>
  <w:style w:type="paragraph" w:styleId="BalloonText">
    <w:name w:val="Balloon Text"/>
    <w:basedOn w:val="Normal"/>
    <w:link w:val="BalloonTextChar"/>
    <w:rsid w:val="00B239DD"/>
    <w:rPr>
      <w:rFonts w:ascii="Tahoma" w:hAnsi="Tahoma" w:cs="Tahoma"/>
      <w:sz w:val="16"/>
      <w:szCs w:val="16"/>
    </w:rPr>
  </w:style>
  <w:style w:type="character" w:customStyle="1" w:styleId="BalloonTextChar">
    <w:name w:val="Balloon Text Char"/>
    <w:basedOn w:val="DefaultParagraphFont"/>
    <w:link w:val="BalloonText"/>
    <w:rsid w:val="00B239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9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9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9DD"/>
    <w:rPr>
      <w:b/>
      <w:color w:val="660033"/>
      <w:spacing w:val="0"/>
    </w:rPr>
  </w:style>
  <w:style w:type="paragraph" w:customStyle="1" w:styleId="Nameditemlist">
    <w:name w:val="Named item list"/>
    <w:basedOn w:val="BodyText"/>
    <w:qFormat/>
    <w:rsid w:val="00B239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1437</Words>
  <Characters>9309</Characters>
  <Application>Microsoft Office Word</Application>
  <DocSecurity>0</DocSecurity>
  <Lines>307</Lines>
  <Paragraphs>197</Paragraphs>
  <ScaleCrop>false</ScaleCrop>
  <Company>Author-it Software Corporation Ltd.</Company>
  <LinksUpToDate>false</LinksUpToDate>
  <CharactersWithSpaces>10676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PSPGOV603B Develop a tender submission response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2012-11-01T18:11:00Z</dcterms:created>
  <dcterms:modified xsi:type="dcterms:W3CDTF">2012-11-01T18:11:00Z</dcterms:modified>
</cp:coreProperties>
</file>