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642" w:rsidP="00C64642">
      <w:pPr>
        <w:pStyle w:val="Title"/>
      </w:pPr>
      <w:bookmarkStart w:id="0" w:name="_GoBack"/>
      <w:bookmarkEnd w:id="0"/>
      <w:r>
        <w:fldChar w:fldCharType="begin"/>
      </w:r>
      <w:r>
        <w:instrText xml:space="preserve"> TITLE   \* MERGEFORMAT </w:instrText>
      </w:r>
      <w:r>
        <w:fldChar w:fldCharType="separate"/>
      </w:r>
      <w:r>
        <w:t>PSPGOV524A Interpret data and related statistics</w:t>
      </w:r>
      <w:r>
        <w:fldChar w:fldCharType="end"/>
      </w:r>
    </w:p>
    <w:p w:rsidR="00C64642" w:rsidP="00C64642">
      <w:pPr>
        <w:pStyle w:val="Version"/>
        <w:sectPr w:rsidSect="00D77E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77EBE" w:rsidP="00D77EBE">
      <w:pPr>
        <w:pStyle w:val="SuperHeading"/>
      </w:pPr>
      <w:r w:rsidRPr="00D77EBE">
        <w:t>PSPGOV524A Interpret data and related statistics</w:t>
      </w:r>
    </w:p>
    <w:p w:rsidR="00000000" w:rsidRPr="00D77EBE" w:rsidP="00D77EBE">
      <w:pPr>
        <w:pStyle w:val="SuperHeading"/>
      </w:pPr>
    </w:p>
    <w:p w:rsidR="00000000" w:rsidRPr="00D77EBE" w:rsidP="00D77EBE">
      <w:pPr>
        <w:pStyle w:val="Heading1"/>
      </w:pPr>
      <w:bookmarkStart w:id="1" w:name="O_493642"/>
      <w:bookmarkEnd w:id="1"/>
      <w:r w:rsidRPr="00D77EBE">
        <w:t>Modification History</w:t>
      </w:r>
    </w:p>
    <w:tbl>
      <w:tblPr>
        <w:tblW w:w="0" w:type="auto"/>
        <w:tblLayout w:type="fixed"/>
        <w:tblCellMar>
          <w:left w:w="62" w:type="dxa"/>
          <w:right w:w="62" w:type="dxa"/>
        </w:tblCellMar>
        <w:tblLook w:val="0000"/>
      </w:tblPr>
      <w:tblGrid>
        <w:gridCol w:w="3052"/>
        <w:gridCol w:w="3052"/>
        <w:gridCol w:w="3052"/>
      </w:tblGrid>
      <w:tr w:rsidTr="00C6464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BE" w:rsidP="00D77EBE">
            <w:pPr>
              <w:pStyle w:val="BodyText"/>
            </w:pPr>
            <w:r w:rsidRPr="00D77EB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BE" w:rsidP="00D77EBE">
            <w:pPr>
              <w:pStyle w:val="BodyText"/>
            </w:pPr>
            <w:r w:rsidRPr="00D77EB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rPr>
                <w:rStyle w:val="SpecialBold"/>
              </w:rPr>
              <w:t>Comments</w:t>
            </w:r>
          </w:p>
        </w:tc>
      </w:tr>
      <w:tr w:rsidTr="00C6464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t>Unit descriptor edited.</w:t>
            </w:r>
          </w:p>
        </w:tc>
      </w:tr>
      <w:tr w:rsidTr="00C6464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t>Layout adjusted. No changes to content.</w:t>
            </w:r>
          </w:p>
        </w:tc>
      </w:tr>
      <w:tr w:rsidTr="00C6464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BE" w:rsidP="00D77EBE">
            <w:pPr>
              <w:pStyle w:val="BodyText"/>
            </w:pPr>
            <w:r w:rsidRPr="00D77EBE">
              <w:t>Primary release.</w:t>
            </w:r>
          </w:p>
        </w:tc>
      </w:tr>
    </w:tbl>
    <w:p w:rsidR="00C64642" w:rsidP="00D77EBE">
      <w:pPr>
        <w:pStyle w:val="BodyText"/>
      </w:pPr>
    </w:p>
    <w:p w:rsidR="00C64642" w:rsidP="00D77EBE">
      <w:pPr>
        <w:pStyle w:val="BodyText"/>
      </w:pPr>
    </w:p>
    <w:p w:rsidR="00000000" w:rsidRPr="00D77EBE" w:rsidP="00D77EBE">
      <w:pPr>
        <w:pStyle w:val="Heading1"/>
      </w:pPr>
      <w:bookmarkStart w:id="2" w:name="O_493638"/>
      <w:bookmarkEnd w:id="2"/>
      <w:r w:rsidRPr="00D77EBE">
        <w:t>Unit Descriptor</w:t>
      </w:r>
    </w:p>
    <w:p w:rsidR="00000000" w:rsidRPr="00D77EBE" w:rsidP="00D77EBE">
      <w:pPr>
        <w:pStyle w:val="BodyText"/>
      </w:pPr>
      <w:r w:rsidRPr="00D77EBE">
        <w:t>This unit covers the interpretation of data and related statistics. It includes interpreting graphs or tables, interpreting data and its summari</w:t>
      </w:r>
      <w:r w:rsidRPr="00D77EBE">
        <w:t>sed highlights, interpreting a range of official statistics in a policy environment, presenting statistical results and guiding others in the interpretation of data.</w:t>
      </w:r>
    </w:p>
    <w:p w:rsidR="00000000" w:rsidRPr="00D77EBE" w:rsidP="00D77EBE">
      <w:pPr>
        <w:pStyle w:val="BodyText"/>
      </w:pPr>
      <w:r w:rsidRPr="00D77EBE">
        <w:t>In practice, interpreting data and related statistics may overlap with other generalist or</w:t>
      </w:r>
      <w:r w:rsidRPr="00D77EBE">
        <w:t xml:space="preserve"> specialist public sector work activities such as acting ethically, complying with legislation, working safely, conducting research and analysis, etc. </w:t>
      </w:r>
    </w:p>
    <w:p w:rsidR="00000000" w:rsidRPr="00D77EBE" w:rsidP="00D77EBE">
      <w:pPr>
        <w:pStyle w:val="BodyText"/>
      </w:pPr>
      <w:r w:rsidRPr="00D77EBE">
        <w:t xml:space="preserve">This is one of 5 units of competency in the </w:t>
      </w:r>
      <w:r w:rsidRPr="00D77EBE">
        <w:rPr>
          <w:rStyle w:val="Emphasis"/>
        </w:rPr>
        <w:t>Working in Government</w:t>
      </w:r>
      <w:r w:rsidRPr="00D77EBE">
        <w:t xml:space="preserve"> Competency Field that deal with statistics. Related units are:</w:t>
      </w:r>
    </w:p>
    <w:p w:rsidR="00000000" w:rsidRPr="00D77EBE" w:rsidP="00D77EBE">
      <w:pPr>
        <w:pStyle w:val="ListBullet"/>
      </w:pPr>
      <w:r w:rsidRPr="00D77EBE">
        <w:t>PSPGOV520A Scope statistical data collection</w:t>
      </w:r>
    </w:p>
    <w:p w:rsidR="00000000" w:rsidRPr="00D77EBE" w:rsidP="00D77EBE">
      <w:pPr>
        <w:pStyle w:val="ListBullet"/>
      </w:pPr>
      <w:r w:rsidRPr="00D77EBE">
        <w:t>PSPGOV521A Collect statistical data</w:t>
      </w:r>
    </w:p>
    <w:p w:rsidR="00000000" w:rsidRPr="00D77EBE" w:rsidP="00D77EBE">
      <w:pPr>
        <w:pStyle w:val="ListBullet"/>
      </w:pPr>
      <w:r w:rsidRPr="00D77EBE">
        <w:t>PSPGOV522A Process statistical data</w:t>
      </w:r>
    </w:p>
    <w:p w:rsidR="00000000" w:rsidRPr="00D77EBE" w:rsidP="00D77EBE">
      <w:pPr>
        <w:pStyle w:val="ListBullet"/>
      </w:pPr>
      <w:r w:rsidRPr="00D77EBE">
        <w:t>PSPGOV523A Interrogate and analyse statistical data</w:t>
      </w:r>
    </w:p>
    <w:p w:rsidR="00000000" w:rsidRPr="00D77EBE" w:rsidP="00D77EBE">
      <w:pPr>
        <w:pStyle w:val="BodyText"/>
      </w:pPr>
      <w:r w:rsidRPr="00D77EBE">
        <w:t>No licensing, legislat</w:t>
      </w:r>
      <w:r w:rsidRPr="00D77EBE">
        <w:t xml:space="preserve">ive, regulatory or certification requirements apply to this unit at the time of publication </w:t>
      </w:r>
    </w:p>
    <w:p w:rsidR="00000000" w:rsidRPr="00D77EBE" w:rsidP="00D77EBE">
      <w:pPr>
        <w:pStyle w:val="AllowPageBreak"/>
      </w:pPr>
    </w:p>
    <w:p w:rsidR="00000000" w:rsidRPr="00D77EBE" w:rsidP="00D77EBE">
      <w:pPr>
        <w:pStyle w:val="Heading1"/>
      </w:pPr>
      <w:bookmarkStart w:id="3" w:name="O_493649"/>
      <w:bookmarkEnd w:id="3"/>
      <w:r w:rsidRPr="00D77EBE">
        <w:t>Application of the Unit</w:t>
      </w:r>
    </w:p>
    <w:p w:rsidR="00000000" w:rsidRPr="00D77EBE" w:rsidP="00D77EBE">
      <w:pPr>
        <w:pStyle w:val="BodyText"/>
      </w:pPr>
      <w:r w:rsidRPr="00D77EBE">
        <w:t>Not applicable.</w:t>
      </w:r>
    </w:p>
    <w:p w:rsidR="00000000" w:rsidRPr="00D77EBE" w:rsidP="00D77EBE">
      <w:pPr>
        <w:pStyle w:val="AllowPageBreak"/>
      </w:pPr>
    </w:p>
    <w:p w:rsidR="00000000" w:rsidRPr="00D77EBE" w:rsidP="00D77EBE">
      <w:pPr>
        <w:pStyle w:val="Heading1"/>
      </w:pPr>
      <w:bookmarkStart w:id="4" w:name="O_493644"/>
      <w:bookmarkEnd w:id="4"/>
      <w:r w:rsidRPr="00D77EBE">
        <w:t>Licensing/Regulatory Information</w:t>
      </w:r>
    </w:p>
    <w:p w:rsidR="00000000" w:rsidRPr="00D77EBE" w:rsidP="00D77EBE">
      <w:pPr>
        <w:pStyle w:val="BodyText"/>
      </w:pPr>
      <w:r w:rsidRPr="00D77EBE">
        <w:t>Not applicable.</w:t>
      </w:r>
    </w:p>
    <w:p w:rsidR="00000000" w:rsidRPr="00D77EBE" w:rsidP="00D77EBE">
      <w:pPr>
        <w:pStyle w:val="AllowPageBreak"/>
      </w:pPr>
    </w:p>
    <w:p w:rsidR="00000000" w:rsidRPr="00D77EBE" w:rsidP="00D77EBE">
      <w:pPr>
        <w:pStyle w:val="Heading1"/>
      </w:pPr>
      <w:bookmarkStart w:id="5" w:name="O_493637"/>
      <w:bookmarkEnd w:id="5"/>
      <w:r w:rsidRPr="00D77EBE">
        <w:t>Pre-Requisites</w:t>
      </w:r>
    </w:p>
    <w:p w:rsidR="00000000" w:rsidRPr="00D77EBE" w:rsidP="00D77EBE">
      <w:pPr>
        <w:pStyle w:val="BodyText"/>
      </w:pPr>
      <w:r w:rsidRPr="00D77EBE">
        <w:t>Not applicable.</w:t>
      </w:r>
    </w:p>
    <w:p w:rsidR="00000000" w:rsidRPr="00D77EBE" w:rsidP="00D77EBE">
      <w:pPr>
        <w:pStyle w:val="AllowPageBreak"/>
      </w:pPr>
    </w:p>
    <w:p w:rsidR="00000000" w:rsidRPr="00D77EBE" w:rsidP="00D77EBE">
      <w:pPr>
        <w:pStyle w:val="Heading1"/>
      </w:pPr>
      <w:bookmarkStart w:id="6" w:name="O_493645"/>
      <w:bookmarkEnd w:id="6"/>
      <w:r w:rsidRPr="00D77EBE">
        <w:t>Employability Skills Information</w:t>
      </w:r>
    </w:p>
    <w:p w:rsidR="00000000" w:rsidRPr="00D77EBE" w:rsidP="00D77EBE">
      <w:pPr>
        <w:pStyle w:val="BodyText"/>
      </w:pPr>
      <w:r w:rsidRPr="00D77EBE">
        <w:t>This unit contains employability skills.</w:t>
      </w:r>
    </w:p>
    <w:p w:rsidR="00000000" w:rsidRPr="00D77EBE" w:rsidP="00D77EBE">
      <w:pPr>
        <w:pStyle w:val="AllowPageBreak"/>
      </w:pPr>
    </w:p>
    <w:p w:rsidR="00000000" w:rsidRPr="00D77EBE" w:rsidP="00D77EBE">
      <w:pPr>
        <w:pStyle w:val="Heading1"/>
      </w:pPr>
      <w:bookmarkStart w:id="7" w:name="O_493646"/>
      <w:bookmarkEnd w:id="7"/>
      <w:r w:rsidRPr="00D77EBE">
        <w:t>Elements and Performance Criteria Pre-Content</w:t>
      </w:r>
    </w:p>
    <w:tbl>
      <w:tblPr>
        <w:tblW w:w="9322" w:type="dxa"/>
        <w:tblLayout w:type="fixed"/>
        <w:tblCellMar>
          <w:left w:w="62" w:type="dxa"/>
          <w:right w:w="62" w:type="dxa"/>
        </w:tblCellMar>
        <w:tblLook w:val="0000"/>
      </w:tblPr>
      <w:tblGrid>
        <w:gridCol w:w="2660"/>
        <w:gridCol w:w="6662"/>
      </w:tblGrid>
      <w:tr w:rsidTr="00C646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77EBE">
            <w:pPr>
              <w:pStyle w:val="BodyText"/>
              <w:rPr>
                <w:lang w:val="en-NZ"/>
              </w:rPr>
            </w:pPr>
            <w:r w:rsidRPr="00D77EBE">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77EBE" w:rsidP="00D77EBE">
            <w:pPr>
              <w:pStyle w:val="BodyText"/>
            </w:pPr>
            <w:r w:rsidRPr="00D77EBE">
              <w:t>Together, per</w:t>
            </w:r>
            <w:r w:rsidRPr="00D77EBE">
              <w:t>formance criteria specify the requirements for competent performance. Text in</w:t>
            </w:r>
            <w:r w:rsidRPr="00D77EBE">
              <w:rPr>
                <w:rStyle w:val="BoldandItalics"/>
              </w:rPr>
              <w:t xml:space="preserve"> bold italics</w:t>
            </w:r>
            <w:r w:rsidRPr="00D77EBE">
              <w:t xml:space="preserve"> is explained in the Range Statement following.</w:t>
            </w:r>
          </w:p>
        </w:tc>
      </w:tr>
    </w:tbl>
    <w:p w:rsidR="00000000" w:rsidRPr="00D77EBE" w:rsidP="00D77EBE">
      <w:pPr>
        <w:pStyle w:val="BodyText"/>
      </w:pPr>
    </w:p>
    <w:p w:rsidR="00000000" w:rsidRPr="00D77EBE" w:rsidP="00D77EBE">
      <w:pPr>
        <w:pStyle w:val="AllowPageBreak"/>
      </w:pPr>
    </w:p>
    <w:p w:rsidR="00000000" w:rsidRPr="00D77EBE" w:rsidP="00D77EBE">
      <w:pPr>
        <w:pStyle w:val="Heading1"/>
      </w:pPr>
      <w:bookmarkStart w:id="8" w:name="O_493647"/>
      <w:bookmarkEnd w:id="8"/>
      <w:r w:rsidRPr="00D77EBE">
        <w:t>Elements and Performance Criteria</w:t>
      </w:r>
    </w:p>
    <w:tbl>
      <w:tblPr>
        <w:tblW w:w="9322" w:type="dxa"/>
        <w:tblLayout w:type="fixed"/>
        <w:tblCellMar>
          <w:left w:w="62" w:type="dxa"/>
          <w:right w:w="62" w:type="dxa"/>
        </w:tblCellMar>
        <w:tblLook w:val="0000"/>
      </w:tblPr>
      <w:tblGrid>
        <w:gridCol w:w="2660"/>
        <w:gridCol w:w="6662"/>
      </w:tblGrid>
      <w:tr w:rsidTr="00C6464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77EBE" w:rsidP="00D77EBE">
            <w:pPr>
              <w:pStyle w:val="BodyText"/>
            </w:pPr>
            <w:r w:rsidRPr="00D77EB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77EBE">
            <w:pPr>
              <w:pStyle w:val="BodyText"/>
              <w:rPr>
                <w:lang w:val="en-NZ"/>
              </w:rPr>
            </w:pPr>
            <w:r w:rsidRPr="00D77EBE">
              <w:rPr>
                <w:rStyle w:val="SpecialBold"/>
              </w:rPr>
              <w:t>PERFORMANCE CRITERIA</w:t>
            </w:r>
          </w:p>
        </w:tc>
      </w:tr>
      <w:tr w:rsidTr="00C646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77EBE">
            <w:pPr>
              <w:pStyle w:val="List"/>
              <w:rPr>
                <w:lang w:val="en-NZ"/>
              </w:rPr>
            </w:pPr>
            <w:r w:rsidRPr="00D77EBE">
              <w:rPr>
                <w:rStyle w:val="SpecialBold"/>
              </w:rPr>
              <w:t>1</w:t>
            </w:r>
            <w:r w:rsidRPr="00D77EBE">
              <w:t xml:space="preserve">. </w:t>
            </w:r>
            <w:r w:rsidRPr="00D77EBE">
              <w:tab/>
            </w:r>
            <w:r w:rsidRPr="00D77EBE">
              <w:rPr>
                <w:rStyle w:val="SpecialBold"/>
              </w:rPr>
              <w:t>Interpret a graph or table</w:t>
            </w:r>
            <w:r w:rsidRPr="00D77EBE">
              <w:t xml:space="preserve"> </w:t>
            </w:r>
          </w:p>
        </w:tc>
        <w:tc>
          <w:tcPr>
            <w:tcW w:w="6662" w:type="dxa"/>
            <w:tcBorders>
              <w:top w:val="nil"/>
              <w:left w:val="nil"/>
              <w:bottom w:val="nil"/>
              <w:right w:val="nil"/>
            </w:tcBorders>
            <w:tcMar>
              <w:top w:w="0" w:type="dxa"/>
              <w:left w:w="62" w:type="dxa"/>
              <w:bottom w:w="0" w:type="dxa"/>
              <w:right w:w="62" w:type="dxa"/>
            </w:tcMar>
          </w:tcPr>
          <w:p w:rsidR="00000000" w:rsidRPr="00D77EBE" w:rsidP="00D77EBE">
            <w:pPr>
              <w:pStyle w:val="List"/>
            </w:pPr>
            <w:r w:rsidRPr="00D77EBE">
              <w:t>1.1</w:t>
            </w:r>
            <w:r w:rsidRPr="00D77EBE">
              <w:tab/>
              <w:t>Reports based on the data are written which identify relevant relationships within the data.</w:t>
            </w:r>
          </w:p>
          <w:p w:rsidR="00000000" w:rsidRPr="00D77EBE" w:rsidP="00D77EBE">
            <w:pPr>
              <w:pStyle w:val="List"/>
            </w:pPr>
            <w:r w:rsidRPr="00D77EBE">
              <w:t>1.2</w:t>
            </w:r>
            <w:r w:rsidRPr="00D77EBE">
              <w:tab/>
              <w:t>Row and column percentages are calculated from a table.</w:t>
            </w:r>
          </w:p>
          <w:p w:rsidR="00000000" w:rsidP="00D77EBE">
            <w:pPr>
              <w:pStyle w:val="List"/>
              <w:rPr>
                <w:lang w:val="en-NZ"/>
              </w:rPr>
            </w:pPr>
            <w:r w:rsidRPr="00D77EBE">
              <w:t>1.3</w:t>
            </w:r>
            <w:r w:rsidRPr="00D77EBE">
              <w:tab/>
              <w:t>A table/graph is interpreted in accordance with data reflected.</w:t>
            </w:r>
          </w:p>
        </w:tc>
      </w:tr>
      <w:tr w:rsidTr="00C646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77EBE">
            <w:pPr>
              <w:pStyle w:val="List"/>
              <w:rPr>
                <w:lang w:val="en-NZ"/>
              </w:rPr>
            </w:pPr>
            <w:r w:rsidRPr="00D77EBE">
              <w:rPr>
                <w:rStyle w:val="SpecialBold"/>
              </w:rPr>
              <w:t>2</w:t>
            </w:r>
            <w:r w:rsidRPr="00D77EBE">
              <w:t xml:space="preserve">. </w:t>
            </w:r>
            <w:r w:rsidRPr="00D77EBE">
              <w:tab/>
            </w:r>
            <w:r w:rsidRPr="00D77EBE">
              <w:rPr>
                <w:rStyle w:val="SpecialBold"/>
              </w:rPr>
              <w:t>Interpret data and its summarised highlights</w:t>
            </w:r>
            <w:r w:rsidRPr="00D77EBE">
              <w:t xml:space="preserve"> </w:t>
            </w:r>
          </w:p>
        </w:tc>
        <w:tc>
          <w:tcPr>
            <w:tcW w:w="6662" w:type="dxa"/>
            <w:tcBorders>
              <w:top w:val="nil"/>
              <w:left w:val="nil"/>
              <w:bottom w:val="nil"/>
              <w:right w:val="nil"/>
            </w:tcBorders>
            <w:tcMar>
              <w:top w:w="0" w:type="dxa"/>
              <w:left w:w="62" w:type="dxa"/>
              <w:bottom w:w="0" w:type="dxa"/>
              <w:right w:w="62" w:type="dxa"/>
            </w:tcMar>
          </w:tcPr>
          <w:p w:rsidR="00000000" w:rsidRPr="00D77EBE" w:rsidP="00D77EBE">
            <w:pPr>
              <w:pStyle w:val="List"/>
            </w:pPr>
            <w:r w:rsidRPr="00D77EBE">
              <w:t>2.1</w:t>
            </w:r>
            <w:r w:rsidRPr="00D77EBE">
              <w:tab/>
              <w:t>Data summaries and trends are defined and explained in a manner suited to the audience.</w:t>
            </w:r>
          </w:p>
          <w:p w:rsidR="00000000" w:rsidRPr="00D77EBE" w:rsidP="00D77EBE">
            <w:pPr>
              <w:pStyle w:val="List"/>
            </w:pPr>
            <w:r w:rsidRPr="00D77EBE">
              <w:t>2.2</w:t>
            </w:r>
            <w:r w:rsidRPr="00D77EBE">
              <w:tab/>
              <w:t xml:space="preserve">Survey data is interpreted according to </w:t>
            </w:r>
            <w:r w:rsidRPr="00D77EBE">
              <w:rPr>
                <w:rStyle w:val="BoldandItalics"/>
              </w:rPr>
              <w:t>accepted standards</w:t>
            </w:r>
            <w:r w:rsidRPr="00D77EBE">
              <w:rPr>
                <w:rStyle w:val="Emphasis"/>
              </w:rPr>
              <w:t>.</w:t>
            </w:r>
          </w:p>
          <w:p w:rsidR="00000000" w:rsidRPr="00D77EBE" w:rsidP="00D77EBE">
            <w:pPr>
              <w:pStyle w:val="List"/>
            </w:pPr>
            <w:r w:rsidRPr="00D77EBE">
              <w:t>2.3</w:t>
            </w:r>
            <w:r w:rsidRPr="00D77EBE">
              <w:tab/>
              <w:t>Data is interpreted and its highlights are summari</w:t>
            </w:r>
            <w:r w:rsidRPr="00D77EBE">
              <w:t>sed.</w:t>
            </w:r>
          </w:p>
          <w:p w:rsidR="00000000" w:rsidP="00D77EBE">
            <w:pPr>
              <w:pStyle w:val="List"/>
              <w:rPr>
                <w:lang w:val="en-NZ"/>
              </w:rPr>
            </w:pPr>
            <w:r w:rsidRPr="00D77EBE">
              <w:t>2.4</w:t>
            </w:r>
            <w:r w:rsidRPr="00D77EBE">
              <w:tab/>
              <w:t>Interpretation is verified with a suitably qualified person.</w:t>
            </w:r>
          </w:p>
        </w:tc>
      </w:tr>
      <w:tr w:rsidTr="00C646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77EBE">
            <w:pPr>
              <w:pStyle w:val="List"/>
              <w:rPr>
                <w:lang w:val="en-NZ"/>
              </w:rPr>
            </w:pPr>
            <w:r w:rsidRPr="00D77EBE">
              <w:rPr>
                <w:rStyle w:val="SpecialBold"/>
              </w:rPr>
              <w:t>3</w:t>
            </w:r>
            <w:r w:rsidRPr="00D77EBE">
              <w:t xml:space="preserve">. </w:t>
            </w:r>
            <w:r w:rsidRPr="00D77EBE">
              <w:tab/>
            </w:r>
            <w:r w:rsidRPr="00D77EBE">
              <w:rPr>
                <w:rStyle w:val="SpecialBold"/>
              </w:rPr>
              <w:t>Interpret a range of official statistics in a policy environment</w:t>
            </w:r>
          </w:p>
        </w:tc>
        <w:tc>
          <w:tcPr>
            <w:tcW w:w="6662" w:type="dxa"/>
            <w:tcBorders>
              <w:top w:val="nil"/>
              <w:left w:val="nil"/>
              <w:bottom w:val="nil"/>
              <w:right w:val="nil"/>
            </w:tcBorders>
            <w:tcMar>
              <w:top w:w="0" w:type="dxa"/>
              <w:left w:w="62" w:type="dxa"/>
              <w:bottom w:w="0" w:type="dxa"/>
              <w:right w:w="62" w:type="dxa"/>
            </w:tcMar>
          </w:tcPr>
          <w:p w:rsidR="00000000" w:rsidRPr="00D77EBE" w:rsidP="00D77EBE">
            <w:pPr>
              <w:pStyle w:val="List"/>
            </w:pPr>
            <w:r w:rsidRPr="00D77EBE">
              <w:t>3.1</w:t>
            </w:r>
            <w:r w:rsidRPr="00D77EBE">
              <w:tab/>
              <w:t>Data summaries and trends are identified and explained.</w:t>
            </w:r>
          </w:p>
          <w:p w:rsidR="00000000" w:rsidRPr="00D77EBE" w:rsidP="00D77EBE">
            <w:pPr>
              <w:pStyle w:val="List"/>
            </w:pPr>
            <w:r w:rsidRPr="00D77EBE">
              <w:t>3.2</w:t>
            </w:r>
            <w:r w:rsidRPr="00D77EBE">
              <w:tab/>
            </w:r>
            <w:r w:rsidRPr="00D77EBE">
              <w:rPr>
                <w:rStyle w:val="BoldandItalics"/>
              </w:rPr>
              <w:t xml:space="preserve">Statistical tests </w:t>
            </w:r>
            <w:r w:rsidRPr="00D77EBE">
              <w:t>are interpreted and this interpret</w:t>
            </w:r>
            <w:r w:rsidRPr="00D77EBE">
              <w:t>ation explained.</w:t>
            </w:r>
          </w:p>
          <w:p w:rsidR="00000000" w:rsidRPr="00D77EBE" w:rsidP="00D77EBE">
            <w:pPr>
              <w:pStyle w:val="List"/>
            </w:pPr>
            <w:r w:rsidRPr="00D77EBE">
              <w:t>3.3</w:t>
            </w:r>
            <w:r w:rsidRPr="00D77EBE">
              <w:tab/>
              <w:t>The sampling method/survey design is critiqued.</w:t>
            </w:r>
          </w:p>
          <w:p w:rsidR="00000000" w:rsidRPr="00D77EBE" w:rsidP="00D77EBE">
            <w:pPr>
              <w:pStyle w:val="List"/>
            </w:pPr>
            <w:r w:rsidRPr="00D77EBE">
              <w:t>3.4</w:t>
            </w:r>
            <w:r w:rsidRPr="00D77EBE">
              <w:tab/>
              <w:t>Interpretation of the data is undertaken in such a way as to inform decision making.</w:t>
            </w:r>
          </w:p>
          <w:p w:rsidR="00000000" w:rsidRPr="00D77EBE" w:rsidP="00D77EBE">
            <w:pPr>
              <w:pStyle w:val="List"/>
            </w:pPr>
            <w:r w:rsidRPr="00D77EBE">
              <w:t>3.5</w:t>
            </w:r>
            <w:r w:rsidRPr="00D77EBE">
              <w:tab/>
              <w:t>Interpretation is verified with a suitably qualified person.</w:t>
            </w:r>
          </w:p>
          <w:p w:rsidR="00000000" w:rsidP="00D77EBE">
            <w:pPr>
              <w:pStyle w:val="List"/>
              <w:rPr>
                <w:lang w:val="en-NZ"/>
              </w:rPr>
            </w:pPr>
            <w:r w:rsidRPr="00D77EBE">
              <w:t>3.6</w:t>
            </w:r>
            <w:r w:rsidRPr="00D77EBE">
              <w:tab/>
              <w:t>The shortcomings of statistic</w:t>
            </w:r>
            <w:r w:rsidRPr="00D77EBE">
              <w:t>al applications in the policy environment are identified.</w:t>
            </w:r>
          </w:p>
        </w:tc>
      </w:tr>
      <w:tr w:rsidTr="00C646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77EBE">
            <w:pPr>
              <w:pStyle w:val="List"/>
              <w:rPr>
                <w:lang w:val="en-NZ"/>
              </w:rPr>
            </w:pPr>
            <w:r w:rsidRPr="00D77EBE">
              <w:rPr>
                <w:rStyle w:val="SpecialBold"/>
              </w:rPr>
              <w:t>4</w:t>
            </w:r>
            <w:r w:rsidRPr="00D77EBE">
              <w:t xml:space="preserve">. </w:t>
            </w:r>
            <w:r w:rsidRPr="00D77EBE">
              <w:tab/>
            </w:r>
            <w:r w:rsidRPr="00D77EBE">
              <w:rPr>
                <w:rStyle w:val="SpecialBold"/>
              </w:rPr>
              <w:t>Present statistical results</w:t>
            </w:r>
          </w:p>
        </w:tc>
        <w:tc>
          <w:tcPr>
            <w:tcW w:w="6662" w:type="dxa"/>
            <w:tcBorders>
              <w:top w:val="nil"/>
              <w:left w:val="nil"/>
              <w:bottom w:val="nil"/>
              <w:right w:val="nil"/>
            </w:tcBorders>
            <w:tcMar>
              <w:top w:w="0" w:type="dxa"/>
              <w:left w:w="62" w:type="dxa"/>
              <w:bottom w:w="0" w:type="dxa"/>
              <w:right w:w="62" w:type="dxa"/>
            </w:tcMar>
          </w:tcPr>
          <w:p w:rsidR="00000000" w:rsidRPr="00D77EBE" w:rsidP="00D77EBE">
            <w:pPr>
              <w:pStyle w:val="List"/>
            </w:pPr>
            <w:r w:rsidRPr="00D77EBE">
              <w:t>4.1</w:t>
            </w:r>
            <w:r w:rsidRPr="00D77EBE">
              <w:tab/>
              <w:t xml:space="preserve">Data is </w:t>
            </w:r>
            <w:r w:rsidRPr="00D77EBE">
              <w:rPr>
                <w:rStyle w:val="BoldandItalics"/>
              </w:rPr>
              <w:t xml:space="preserve">presented </w:t>
            </w:r>
            <w:r w:rsidRPr="00D77EBE">
              <w:t>in tables, charts and maps so that the reader does not misconstrue it.</w:t>
            </w:r>
          </w:p>
          <w:p w:rsidR="00000000" w:rsidRPr="00D77EBE" w:rsidP="00D77EBE">
            <w:pPr>
              <w:pStyle w:val="List"/>
            </w:pPr>
            <w:r w:rsidRPr="00D77EBE">
              <w:t>4.2</w:t>
            </w:r>
            <w:r w:rsidRPr="00D77EBE">
              <w:tab/>
              <w:t>Glossaries, technical notes and referencing are included where requi</w:t>
            </w:r>
            <w:r w:rsidRPr="00D77EBE">
              <w:t>red.</w:t>
            </w:r>
          </w:p>
          <w:p w:rsidR="00000000" w:rsidRPr="00D77EBE" w:rsidP="00D77EBE">
            <w:pPr>
              <w:pStyle w:val="List"/>
            </w:pPr>
            <w:r w:rsidRPr="00D77EBE">
              <w:t>4.3</w:t>
            </w:r>
            <w:r w:rsidRPr="00D77EBE">
              <w:tab/>
              <w:t>Reports that include</w:t>
            </w:r>
            <w:r w:rsidRPr="00D77EBE">
              <w:rPr>
                <w:rStyle w:val="BoldandItalics"/>
              </w:rPr>
              <w:t xml:space="preserve"> statistical concepts</w:t>
            </w:r>
            <w:r w:rsidRPr="00D77EBE">
              <w:t>, tables, charts and maps are prepared and presented in accordance with organisational policy and procedures.</w:t>
            </w:r>
          </w:p>
          <w:p w:rsidR="00000000" w:rsidRPr="00D77EBE" w:rsidP="00D77EBE">
            <w:pPr>
              <w:pStyle w:val="List"/>
            </w:pPr>
            <w:r w:rsidRPr="00D77EBE">
              <w:t>4.4</w:t>
            </w:r>
            <w:r w:rsidRPr="00D77EBE">
              <w:tab/>
            </w:r>
            <w:r w:rsidRPr="00D77EBE">
              <w:rPr>
                <w:rStyle w:val="BoldandItalics"/>
              </w:rPr>
              <w:t>Findings are presented</w:t>
            </w:r>
            <w:r w:rsidRPr="00D77EBE">
              <w:t xml:space="preserve"> in a way that is most appropriate for the audience.</w:t>
            </w:r>
          </w:p>
          <w:p w:rsidR="00000000" w:rsidP="00D77EBE">
            <w:pPr>
              <w:pStyle w:val="List"/>
              <w:rPr>
                <w:lang w:val="en-NZ"/>
              </w:rPr>
            </w:pPr>
            <w:r w:rsidRPr="00D77EBE">
              <w:t>4.5</w:t>
            </w:r>
            <w:r w:rsidRPr="00D77EBE">
              <w:tab/>
              <w:t>Charts are us</w:t>
            </w:r>
            <w:r w:rsidRPr="00D77EBE">
              <w:t xml:space="preserve">ed appropriately in presentations for the variables being charted and conform to </w:t>
            </w:r>
            <w:r w:rsidRPr="00D77EBE">
              <w:rPr>
                <w:rStyle w:val="BoldandItalics"/>
              </w:rPr>
              <w:t>accepted standards</w:t>
            </w:r>
            <w:r w:rsidRPr="00D77EBE">
              <w:rPr>
                <w:rStyle w:val="Emphasis"/>
              </w:rPr>
              <w:t>.</w:t>
            </w:r>
          </w:p>
        </w:tc>
      </w:tr>
      <w:tr w:rsidTr="00C646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77EBE">
            <w:pPr>
              <w:pStyle w:val="List"/>
              <w:rPr>
                <w:lang w:val="en-NZ"/>
              </w:rPr>
            </w:pPr>
            <w:r w:rsidRPr="00D77EBE">
              <w:rPr>
                <w:rStyle w:val="SpecialBold"/>
              </w:rPr>
              <w:t>5</w:t>
            </w:r>
            <w:r w:rsidRPr="00D77EBE">
              <w:t xml:space="preserve">. </w:t>
            </w:r>
            <w:r w:rsidRPr="00D77EBE">
              <w:tab/>
            </w:r>
            <w:r w:rsidRPr="00D77EBE">
              <w:rPr>
                <w:rStyle w:val="SpecialBold"/>
              </w:rPr>
              <w:t>Guide others in the interpretation of data</w:t>
            </w:r>
          </w:p>
        </w:tc>
        <w:tc>
          <w:tcPr>
            <w:tcW w:w="6662" w:type="dxa"/>
            <w:tcBorders>
              <w:top w:val="nil"/>
              <w:left w:val="nil"/>
              <w:bottom w:val="nil"/>
              <w:right w:val="nil"/>
            </w:tcBorders>
            <w:tcMar>
              <w:top w:w="0" w:type="dxa"/>
              <w:left w:w="62" w:type="dxa"/>
              <w:bottom w:w="0" w:type="dxa"/>
              <w:right w:w="62" w:type="dxa"/>
            </w:tcMar>
          </w:tcPr>
          <w:p w:rsidR="00000000" w:rsidRPr="00D77EBE" w:rsidP="00D77EBE">
            <w:pPr>
              <w:pStyle w:val="List"/>
            </w:pPr>
            <w:r w:rsidRPr="00D77EBE">
              <w:t>5.1</w:t>
            </w:r>
            <w:r w:rsidRPr="00D77EBE">
              <w:tab/>
              <w:t>Data summaries and trends are clearly defined and communicated to staff involved in the project.</w:t>
            </w:r>
          </w:p>
          <w:p w:rsidR="00000000" w:rsidRPr="00D77EBE" w:rsidP="00D77EBE">
            <w:pPr>
              <w:pStyle w:val="List"/>
            </w:pPr>
            <w:r w:rsidRPr="00D77EBE">
              <w:t>5.2</w:t>
            </w:r>
            <w:r w:rsidRPr="00D77EBE">
              <w:tab/>
            </w:r>
            <w:r w:rsidRPr="00D77EBE">
              <w:t>Report findings are presented in a way that is most appropriate for the audience.</w:t>
            </w:r>
          </w:p>
          <w:p w:rsidR="00000000" w:rsidRPr="00D77EBE" w:rsidP="00D77EBE">
            <w:pPr>
              <w:pStyle w:val="List"/>
            </w:pPr>
            <w:r w:rsidRPr="00D77EBE">
              <w:t>5.3</w:t>
            </w:r>
            <w:r w:rsidRPr="00D77EBE">
              <w:tab/>
              <w:t>The assumptions on which the interpretation is based are communicated in accordance with audience needs.</w:t>
            </w:r>
          </w:p>
        </w:tc>
      </w:tr>
    </w:tbl>
    <w:p w:rsidR="00000000" w:rsidRPr="00D77EBE" w:rsidP="00D77EBE">
      <w:pPr>
        <w:pStyle w:val="BodyText"/>
      </w:pPr>
    </w:p>
    <w:p w:rsidR="00000000" w:rsidRPr="00D77EBE" w:rsidP="00D77EBE">
      <w:pPr>
        <w:pStyle w:val="AllowPageBreak"/>
      </w:pPr>
    </w:p>
    <w:p w:rsidR="00000000" w:rsidRPr="00D77EBE" w:rsidP="00D77EBE">
      <w:pPr>
        <w:pStyle w:val="Heading1"/>
      </w:pPr>
      <w:bookmarkStart w:id="9" w:name="O_493639"/>
      <w:bookmarkEnd w:id="9"/>
      <w:r w:rsidRPr="00D77EBE">
        <w:t>Required Skills and Knowledge</w:t>
      </w:r>
    </w:p>
    <w:tbl>
      <w:tblPr>
        <w:tblW w:w="0" w:type="auto"/>
        <w:tblLayout w:type="fixed"/>
        <w:tblCellMar>
          <w:left w:w="62" w:type="dxa"/>
          <w:right w:w="62" w:type="dxa"/>
        </w:tblCellMar>
        <w:tblLook w:val="0000"/>
      </w:tblPr>
      <w:tblGrid>
        <w:gridCol w:w="8544"/>
        <w:gridCol w:w="9"/>
      </w:tblGrid>
      <w:tr w:rsidTr="00C64642">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D77EBE">
            <w:pPr>
              <w:pStyle w:val="BodyText"/>
              <w:rPr>
                <w:lang w:val="en-NZ"/>
              </w:rPr>
            </w:pPr>
            <w:r w:rsidRPr="00D77EBE">
              <w:t>This section des</w:t>
            </w:r>
            <w:r w:rsidRPr="00D77EBE">
              <w:t>cribes the essential skills and knowledge and their level, required for this unit.</w:t>
            </w:r>
          </w:p>
        </w:tc>
      </w:tr>
      <w:tr w:rsidTr="00C6464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77EBE" w:rsidP="00D77EBE">
            <w:pPr>
              <w:pStyle w:val="BodyText"/>
            </w:pPr>
            <w:r w:rsidRPr="00D77EBE">
              <w:rPr>
                <w:rStyle w:val="SpecialBold"/>
              </w:rPr>
              <w:t>Skill requirements</w:t>
            </w:r>
          </w:p>
          <w:p w:rsidR="00000000" w:rsidRPr="00D77EBE" w:rsidP="00D77EBE">
            <w:pPr>
              <w:pStyle w:val="BodyText"/>
            </w:pPr>
            <w:r w:rsidRPr="00D77EBE">
              <w:t>Look for evidence that confirms skills in:</w:t>
            </w:r>
          </w:p>
          <w:p w:rsidR="00000000" w:rsidRPr="00D77EBE" w:rsidP="00D77EBE">
            <w:pPr>
              <w:pStyle w:val="ListBullet"/>
            </w:pPr>
            <w:r w:rsidRPr="00D77EBE">
              <w:t xml:space="preserve">applying legislation, regulations and policies relating to statistical work </w:t>
            </w:r>
          </w:p>
          <w:p w:rsidR="00000000" w:rsidRPr="00D77EBE" w:rsidP="00D77EBE">
            <w:pPr>
              <w:pStyle w:val="ListBullet"/>
            </w:pPr>
            <w:r w:rsidRPr="00D77EBE">
              <w:t>explaining the results of an analysis in writing</w:t>
            </w:r>
          </w:p>
          <w:p w:rsidR="00000000" w:rsidRPr="00D77EBE" w:rsidP="00D77EBE">
            <w:pPr>
              <w:pStyle w:val="ListBullet"/>
            </w:pPr>
            <w:r w:rsidRPr="00D77EBE">
              <w:t>constructing graphs, tables and maps using software</w:t>
            </w:r>
          </w:p>
          <w:p w:rsidR="00000000" w:rsidRPr="00D77EBE" w:rsidP="00D77EBE">
            <w:pPr>
              <w:pStyle w:val="ListBullet"/>
            </w:pPr>
            <w:r w:rsidRPr="00D77EBE">
              <w:t>using presentation software</w:t>
            </w:r>
          </w:p>
          <w:p w:rsidR="00000000" w:rsidRPr="00D77EBE" w:rsidP="00D77EBE">
            <w:pPr>
              <w:pStyle w:val="ListBullet"/>
            </w:pPr>
            <w:r w:rsidRPr="00D77EBE">
              <w:t>communicating with diverse audiences including explaining, interpreting, presenting results</w:t>
            </w:r>
          </w:p>
          <w:p w:rsidR="00000000" w:rsidRPr="00D77EBE" w:rsidP="00D77EBE">
            <w:pPr>
              <w:pStyle w:val="ListBullet"/>
            </w:pPr>
            <w:r w:rsidRPr="00D77EBE">
              <w:t xml:space="preserve">responding to diversity, including </w:t>
            </w:r>
            <w:r w:rsidRPr="00D77EBE">
              <w:t>gender and disability</w:t>
            </w:r>
          </w:p>
          <w:p w:rsidR="00000000" w:rsidP="00D77EBE">
            <w:pPr>
              <w:pStyle w:val="ListBullet"/>
              <w:rPr>
                <w:lang w:val="en-NZ"/>
              </w:rPr>
            </w:pPr>
            <w:r w:rsidRPr="00D77EBE">
              <w:t>applying procedures relating to occupational health and safety and environment in the context of statistical interpretation</w:t>
            </w:r>
          </w:p>
        </w:tc>
      </w:tr>
      <w:tr w:rsidTr="00C6464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77EBE" w:rsidP="00D77EBE">
            <w:pPr>
              <w:pStyle w:val="BodyText"/>
            </w:pPr>
            <w:r w:rsidRPr="00D77EBE">
              <w:rPr>
                <w:rStyle w:val="SpecialBold"/>
              </w:rPr>
              <w:t>Knowledge requirements</w:t>
            </w:r>
            <w:r w:rsidRPr="00D77EBE">
              <w:t xml:space="preserve"> </w:t>
            </w:r>
          </w:p>
          <w:p w:rsidR="00000000" w:rsidRPr="00D77EBE" w:rsidP="00D77EBE">
            <w:pPr>
              <w:pStyle w:val="BodyText"/>
            </w:pPr>
            <w:r w:rsidRPr="00D77EBE">
              <w:t>Look for evidence that confirms knowledge and understanding of:</w:t>
            </w:r>
          </w:p>
          <w:p w:rsidR="00000000" w:rsidRPr="00D77EBE" w:rsidP="00D77EBE">
            <w:pPr>
              <w:pStyle w:val="ListBullet"/>
            </w:pPr>
            <w:r w:rsidRPr="00D77EBE">
              <w:t>legislation, regulations, policies, procedures and guidelines relating to statistical work</w:t>
            </w:r>
          </w:p>
          <w:p w:rsidR="00000000" w:rsidRPr="00D77EBE" w:rsidP="00D77EBE">
            <w:pPr>
              <w:pStyle w:val="ListBullet"/>
            </w:pPr>
            <w:r w:rsidRPr="00D77EBE">
              <w:t>summary statistics</w:t>
            </w:r>
          </w:p>
          <w:p w:rsidR="00000000" w:rsidRPr="00D77EBE" w:rsidP="00D77EBE">
            <w:pPr>
              <w:pStyle w:val="ListBullet"/>
            </w:pPr>
            <w:r w:rsidRPr="00D77EBE">
              <w:t>statistical tests and related assumptions</w:t>
            </w:r>
          </w:p>
          <w:p w:rsidR="00000000" w:rsidRPr="00D77EBE" w:rsidP="00D77EBE">
            <w:pPr>
              <w:pStyle w:val="ListBullet"/>
            </w:pPr>
            <w:r w:rsidRPr="00D77EBE">
              <w:t>different methodologies and related assumptions</w:t>
            </w:r>
          </w:p>
          <w:p w:rsidR="00000000" w:rsidRPr="00D77EBE" w:rsidP="00D77EBE">
            <w:pPr>
              <w:pStyle w:val="ListBullet"/>
            </w:pPr>
            <w:r w:rsidRPr="00D77EBE">
              <w:t>the quality of a statistic</w:t>
            </w:r>
          </w:p>
          <w:p w:rsidR="00000000" w:rsidRPr="00D77EBE" w:rsidP="00D77EBE">
            <w:pPr>
              <w:pStyle w:val="ListBullet"/>
            </w:pPr>
            <w:r w:rsidRPr="00D77EBE">
              <w:t>sources of error including st</w:t>
            </w:r>
            <w:r w:rsidRPr="00D77EBE">
              <w:t>andard error</w:t>
            </w:r>
          </w:p>
          <w:p w:rsidR="00000000" w:rsidRPr="00D77EBE" w:rsidP="00D77EBE">
            <w:pPr>
              <w:pStyle w:val="ListBullet"/>
            </w:pPr>
            <w:r w:rsidRPr="00D77EBE">
              <w:t>data collection methodologies</w:t>
            </w:r>
          </w:p>
          <w:p w:rsidR="00000000" w:rsidRPr="00D77EBE" w:rsidP="00D77EBE">
            <w:pPr>
              <w:pStyle w:val="ListBullet"/>
            </w:pPr>
            <w:r w:rsidRPr="00D77EBE">
              <w:t>sources of expertise within the organisation</w:t>
            </w:r>
          </w:p>
          <w:p w:rsidR="00000000" w:rsidRPr="00D77EBE" w:rsidP="00D77EBE">
            <w:pPr>
              <w:pStyle w:val="ListBullet"/>
            </w:pPr>
            <w:r w:rsidRPr="00D77EBE">
              <w:t>'how numbers relate' or the associations between statistics</w:t>
            </w:r>
          </w:p>
          <w:p w:rsidR="00000000" w:rsidRPr="00D77EBE" w:rsidP="00D77EBE">
            <w:pPr>
              <w:pStyle w:val="ListBullet"/>
            </w:pPr>
            <w:r w:rsidRPr="00D77EBE">
              <w:t>the ethical issues associated with presenting statistical results</w:t>
            </w:r>
          </w:p>
          <w:p w:rsidR="00000000" w:rsidRPr="00D77EBE" w:rsidP="00D77EBE">
            <w:pPr>
              <w:pStyle w:val="ListBullet"/>
            </w:pPr>
            <w:r w:rsidRPr="00D77EBE">
              <w:t>intellectual property issues and how they might relate to the data</w:t>
            </w:r>
          </w:p>
          <w:p w:rsidR="00000000" w:rsidRPr="00D77EBE" w:rsidP="00D77EBE">
            <w:pPr>
              <w:pStyle w:val="ListBullet"/>
            </w:pPr>
            <w:r w:rsidRPr="00D77EBE">
              <w:t>confidentiality issues relating to the data</w:t>
            </w:r>
          </w:p>
          <w:p w:rsidR="00000000" w:rsidRPr="00D77EBE" w:rsidP="00D77EBE">
            <w:pPr>
              <w:pStyle w:val="ListBullet"/>
            </w:pPr>
            <w:r w:rsidRPr="00D77EBE">
              <w:t>relevant style manuals</w:t>
            </w:r>
          </w:p>
          <w:p w:rsidR="00000000" w:rsidRPr="00D77EBE" w:rsidP="00D77EBE">
            <w:pPr>
              <w:pStyle w:val="ListBullet"/>
            </w:pPr>
            <w:r w:rsidRPr="00D77EBE">
              <w:t>equal employment opportunity, equity and diversity principles</w:t>
            </w:r>
          </w:p>
          <w:p w:rsidR="00000000" w:rsidRPr="00D77EBE" w:rsidP="00D77EBE">
            <w:pPr>
              <w:pStyle w:val="ListBullet"/>
            </w:pPr>
            <w:r w:rsidRPr="00D77EBE">
              <w:t>public sector legislation such as occupational health and sa</w:t>
            </w:r>
            <w:r w:rsidRPr="00D77EBE">
              <w:t>fety and environment in the context of statistical work</w:t>
            </w:r>
          </w:p>
        </w:tc>
      </w:tr>
    </w:tbl>
    <w:p w:rsidR="00000000" w:rsidRPr="00D77EBE" w:rsidP="00D77EBE">
      <w:pPr>
        <w:pStyle w:val="BodyText"/>
      </w:pPr>
    </w:p>
    <w:p w:rsidR="00000000" w:rsidRPr="00D77EBE" w:rsidP="00D77EBE">
      <w:pPr>
        <w:pStyle w:val="AllowPageBreak"/>
      </w:pPr>
    </w:p>
    <w:p w:rsidR="00000000" w:rsidRPr="00D77EBE" w:rsidP="00D77EBE">
      <w:pPr>
        <w:pStyle w:val="Heading1"/>
      </w:pPr>
      <w:bookmarkStart w:id="10" w:name="O_493643"/>
      <w:bookmarkEnd w:id="10"/>
      <w:r w:rsidRPr="00D77EBE">
        <w:t>Evidence Guide</w:t>
      </w:r>
    </w:p>
    <w:tbl>
      <w:tblPr>
        <w:tblW w:w="9322" w:type="dxa"/>
        <w:tblLayout w:type="fixed"/>
        <w:tblCellMar>
          <w:left w:w="62" w:type="dxa"/>
          <w:right w:w="62" w:type="dxa"/>
        </w:tblCellMar>
        <w:tblLook w:val="0000"/>
      </w:tblPr>
      <w:tblGrid>
        <w:gridCol w:w="2660"/>
        <w:gridCol w:w="6662"/>
      </w:tblGrid>
      <w:tr w:rsidTr="00C6464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77EBE">
            <w:pPr>
              <w:pStyle w:val="BodyText"/>
              <w:rPr>
                <w:lang w:val="en-NZ"/>
              </w:rPr>
            </w:pPr>
            <w:r w:rsidRPr="00D77EBE">
              <w:t>The Evidence Guide specifies the evidence required to demonstrate achievement in the unit of competency as a whole. It must be read in conjunction with the Unit descr</w:t>
            </w:r>
            <w:r w:rsidRPr="00D77EBE">
              <w:t>iptor, Performance Criteria, the Range Statement and the Assessment Guidelines for the Public Sector Training Package.</w:t>
            </w:r>
          </w:p>
        </w:tc>
      </w:tr>
      <w:tr w:rsidTr="00C646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77EBE" w:rsidP="00D77EBE">
            <w:pPr>
              <w:pStyle w:val="BodyText"/>
            </w:pPr>
            <w:r w:rsidRPr="00D77EBE">
              <w:rPr>
                <w:rStyle w:val="SpecialBold"/>
              </w:rPr>
              <w:t>Units to be assessed together</w:t>
            </w:r>
            <w:r w:rsidRPr="00D77EBE">
              <w:t xml:space="preserve"> </w:t>
            </w:r>
          </w:p>
        </w:tc>
        <w:tc>
          <w:tcPr>
            <w:tcW w:w="6662" w:type="dxa"/>
            <w:tcBorders>
              <w:top w:val="nil"/>
              <w:left w:val="nil"/>
              <w:bottom w:val="nil"/>
              <w:right w:val="nil"/>
            </w:tcBorders>
            <w:tcMar>
              <w:top w:w="0" w:type="dxa"/>
              <w:left w:w="62" w:type="dxa"/>
              <w:bottom w:w="0" w:type="dxa"/>
              <w:right w:w="62" w:type="dxa"/>
            </w:tcMar>
          </w:tcPr>
          <w:p w:rsidR="00000000" w:rsidRPr="00D77EBE" w:rsidP="00D77EBE">
            <w:pPr>
              <w:pStyle w:val="ListBullet"/>
            </w:pPr>
            <w:r w:rsidRPr="00D77EBE">
              <w:rPr>
                <w:rStyle w:val="Emphasis"/>
              </w:rPr>
              <w:t>Pre</w:t>
            </w:r>
            <w:r w:rsidRPr="00D77EBE">
              <w:t>-</w:t>
            </w:r>
            <w:r w:rsidRPr="00D77EBE">
              <w:rPr>
                <w:rStyle w:val="Emphasis"/>
              </w:rPr>
              <w:t>requisite</w:t>
            </w:r>
            <w:r w:rsidRPr="00D77EBE">
              <w:t xml:space="preserve"> units that </w:t>
            </w:r>
            <w:r w:rsidRPr="00D77EBE">
              <w:rPr>
                <w:rStyle w:val="Underline"/>
              </w:rPr>
              <w:t>must</w:t>
            </w:r>
            <w:r w:rsidRPr="00D77EBE">
              <w:t xml:space="preserve"> be achieved </w:t>
            </w:r>
            <w:r w:rsidRPr="00D77EBE">
              <w:rPr>
                <w:rStyle w:val="Underline"/>
              </w:rPr>
              <w:t>prior</w:t>
            </w:r>
            <w:r w:rsidRPr="00D77EBE">
              <w:t xml:space="preserve"> to this unit:</w:t>
            </w:r>
            <w:r w:rsidRPr="00D77EBE">
              <w:rPr>
                <w:rStyle w:val="Emphasis"/>
              </w:rPr>
              <w:t>Nil</w:t>
            </w:r>
          </w:p>
          <w:p w:rsidR="00000000" w:rsidRPr="00D77EBE" w:rsidP="00D77EBE">
            <w:pPr>
              <w:pStyle w:val="ListBullet"/>
            </w:pPr>
            <w:r w:rsidRPr="00D77EBE">
              <w:rPr>
                <w:rStyle w:val="Emphasis"/>
              </w:rPr>
              <w:t>Co</w:t>
            </w:r>
            <w:r w:rsidRPr="00D77EBE">
              <w:t>-</w:t>
            </w:r>
            <w:r w:rsidRPr="00D77EBE">
              <w:rPr>
                <w:rStyle w:val="Emphasis"/>
              </w:rPr>
              <w:t>requisite</w:t>
            </w:r>
            <w:r w:rsidRPr="00D77EBE">
              <w:t xml:space="preserve"> units that </w:t>
            </w:r>
            <w:r w:rsidRPr="00D77EBE">
              <w:rPr>
                <w:rStyle w:val="Underline"/>
              </w:rPr>
              <w:t>must</w:t>
            </w:r>
            <w:r w:rsidRPr="00D77EBE">
              <w:t xml:space="preserve"> be assessed </w:t>
            </w:r>
            <w:r w:rsidRPr="00D77EBE">
              <w:rPr>
                <w:rStyle w:val="Underline"/>
              </w:rPr>
              <w:t>with</w:t>
            </w:r>
            <w:r w:rsidRPr="00D77EBE">
              <w:t xml:space="preserve"> this unit:</w:t>
            </w:r>
            <w:r w:rsidRPr="00D77EBE">
              <w:rPr>
                <w:rStyle w:val="Emphasis"/>
              </w:rPr>
              <w:t>Nil</w:t>
            </w:r>
          </w:p>
          <w:p w:rsidR="00000000" w:rsidRPr="00D77EBE" w:rsidP="00D77EBE">
            <w:pPr>
              <w:pStyle w:val="ListBullet"/>
            </w:pPr>
            <w:r w:rsidRPr="00D77EBE">
              <w:rPr>
                <w:rStyle w:val="Emphasis"/>
              </w:rPr>
              <w:t>Co</w:t>
            </w:r>
            <w:r w:rsidRPr="00D77EBE">
              <w:t>-</w:t>
            </w:r>
            <w:r w:rsidRPr="00D77EBE">
              <w:rPr>
                <w:rStyle w:val="Emphasis"/>
              </w:rPr>
              <w:t>assessed units</w:t>
            </w:r>
            <w:r w:rsidRPr="00D77EBE">
              <w:t xml:space="preserve"> that </w:t>
            </w:r>
            <w:r w:rsidRPr="00D77EBE">
              <w:rPr>
                <w:rStyle w:val="Underline"/>
              </w:rPr>
              <w:t>may</w:t>
            </w:r>
            <w:r w:rsidRPr="00D77EBE">
              <w:t xml:space="preserve"> be assessed with this unit to increase the efficiency and realism of the assessment process include, but are not limited to:</w:t>
            </w:r>
          </w:p>
          <w:p w:rsidR="00000000" w:rsidRPr="00D77EBE" w:rsidP="00D77EBE">
            <w:pPr>
              <w:pStyle w:val="ListBullet2"/>
            </w:pPr>
            <w:r w:rsidRPr="00D77EBE">
              <w:t xml:space="preserve">PSPETHC501B Promote the values and ethos of public service </w:t>
            </w:r>
          </w:p>
          <w:p w:rsidR="00000000" w:rsidRPr="00D77EBE" w:rsidP="00D77EBE">
            <w:pPr>
              <w:pStyle w:val="ListBullet2"/>
            </w:pPr>
            <w:r w:rsidRPr="00D77EBE">
              <w:t>PSPGOV503B Coordinate resource allocation and usage</w:t>
            </w:r>
          </w:p>
          <w:p w:rsidR="00000000" w:rsidRPr="00D77EBE" w:rsidP="00D77EBE">
            <w:pPr>
              <w:pStyle w:val="ListBullet2"/>
            </w:pPr>
            <w:r w:rsidRPr="00D77EBE">
              <w:t>PSPGOV504B Undertake research and analysis</w:t>
            </w:r>
          </w:p>
          <w:p w:rsidR="00000000" w:rsidRPr="00D77EBE" w:rsidP="00D77EBE">
            <w:pPr>
              <w:pStyle w:val="ListBullet2"/>
            </w:pPr>
            <w:r w:rsidRPr="00D77EBE">
              <w:t>PSPGOV520A Scope statistical data collection</w:t>
            </w:r>
          </w:p>
          <w:p w:rsidR="00000000" w:rsidRPr="00D77EBE" w:rsidP="00D77EBE">
            <w:pPr>
              <w:pStyle w:val="ListBullet2"/>
            </w:pPr>
            <w:r w:rsidRPr="00D77EBE">
              <w:t>PSPGOV521A Collect statistical data</w:t>
            </w:r>
          </w:p>
          <w:p w:rsidR="00000000" w:rsidRPr="00D77EBE" w:rsidP="00D77EBE">
            <w:pPr>
              <w:pStyle w:val="ListBullet2"/>
            </w:pPr>
            <w:r w:rsidRPr="00D77EBE">
              <w:t>PSPGOV522A Process statistical data</w:t>
            </w:r>
          </w:p>
          <w:p w:rsidR="00000000" w:rsidRPr="00D77EBE" w:rsidP="00D77EBE">
            <w:pPr>
              <w:pStyle w:val="ListBullet2"/>
            </w:pPr>
            <w:r w:rsidRPr="00D77EBE">
              <w:t>PSPGOV523A Interrogate and analyse statistic</w:t>
            </w:r>
            <w:r w:rsidRPr="00D77EBE">
              <w:t>al data</w:t>
            </w:r>
          </w:p>
          <w:p w:rsidR="00000000" w:rsidP="00D77EBE">
            <w:pPr>
              <w:pStyle w:val="ListBullet2"/>
              <w:rPr>
                <w:lang w:val="en-NZ"/>
              </w:rPr>
            </w:pPr>
            <w:r w:rsidRPr="00D77EBE">
              <w:t>PSPLEGN501B Promote compliance with legislation in the public sector</w:t>
            </w:r>
          </w:p>
        </w:tc>
      </w:tr>
      <w:tr w:rsidTr="00C646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77EBE">
            <w:pPr>
              <w:pStyle w:val="BodyText"/>
              <w:rPr>
                <w:lang w:val="en-NZ"/>
              </w:rPr>
            </w:pPr>
            <w:r w:rsidRPr="00D77EB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77EBE" w:rsidP="00D77EBE">
            <w:pPr>
              <w:pStyle w:val="BodyText"/>
            </w:pPr>
            <w:r w:rsidRPr="00D77EBE">
              <w:t>In addition to integrated demonstration of the elements and their related performance criteria, look for evidence that confirms:</w:t>
            </w:r>
          </w:p>
          <w:p w:rsidR="00000000" w:rsidRPr="00D77EBE" w:rsidP="00D77EBE">
            <w:pPr>
              <w:pStyle w:val="ListBullet"/>
            </w:pPr>
            <w:r w:rsidRPr="00D77EBE">
              <w:t xml:space="preserve">the knowledge </w:t>
            </w:r>
            <w:r w:rsidRPr="00D77EBE">
              <w:t xml:space="preserve">requirements of this unit </w:t>
            </w:r>
          </w:p>
          <w:p w:rsidR="00000000" w:rsidRPr="00D77EBE" w:rsidP="00D77EBE">
            <w:pPr>
              <w:pStyle w:val="ListBullet"/>
            </w:pPr>
            <w:r w:rsidRPr="00D77EBE">
              <w:t>the skill requirements of this unit</w:t>
            </w:r>
          </w:p>
          <w:p w:rsidR="00000000" w:rsidRPr="00D77EBE" w:rsidP="00D77EBE">
            <w:pPr>
              <w:pStyle w:val="ListBullet"/>
            </w:pPr>
            <w:r w:rsidRPr="00D77EBE">
              <w:t xml:space="preserve">application of Employability Skills as they relate to this unit </w:t>
            </w:r>
          </w:p>
          <w:p w:rsidR="00000000" w:rsidP="00D77EBE">
            <w:pPr>
              <w:pStyle w:val="ListBullet"/>
              <w:rPr>
                <w:lang w:val="en-NZ"/>
              </w:rPr>
            </w:pPr>
            <w:r w:rsidRPr="00D77EBE">
              <w:t>interpretation of data and related statistics in a range of (3 or more) contexts (or occasions, over time)</w:t>
            </w:r>
          </w:p>
        </w:tc>
      </w:tr>
      <w:tr w:rsidTr="00C646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77EBE">
            <w:pPr>
              <w:pStyle w:val="BodyText"/>
              <w:rPr>
                <w:lang w:val="en-NZ"/>
              </w:rPr>
            </w:pPr>
            <w:r w:rsidRPr="00D77EBE">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77EBE" w:rsidP="00D77EBE">
            <w:pPr>
              <w:pStyle w:val="BodyText"/>
            </w:pPr>
            <w:r w:rsidRPr="00D77EBE">
              <w:t>These resources include:</w:t>
            </w:r>
          </w:p>
          <w:p w:rsidR="00000000" w:rsidRPr="00D77EBE" w:rsidP="00D77EBE">
            <w:pPr>
              <w:pStyle w:val="ListBullet"/>
            </w:pPr>
            <w:r w:rsidRPr="00D77EBE">
              <w:t>legislation, policy, procedures and protocols relating to interpretation of statistics</w:t>
            </w:r>
          </w:p>
          <w:p w:rsidR="00000000" w:rsidRPr="00D77EBE" w:rsidP="00D77EBE">
            <w:pPr>
              <w:pStyle w:val="ListBullet"/>
            </w:pPr>
            <w:r w:rsidRPr="00D77EBE">
              <w:t>tools/equipment for interpreting and explaining statistics</w:t>
            </w:r>
          </w:p>
          <w:p w:rsidR="00000000" w:rsidP="00D77EBE">
            <w:pPr>
              <w:pStyle w:val="ListBullet"/>
              <w:rPr>
                <w:lang w:val="en-NZ"/>
              </w:rPr>
            </w:pPr>
            <w:r w:rsidRPr="00D77EBE">
              <w:t>case studies and workplace scenarios to c</w:t>
            </w:r>
            <w:r w:rsidRPr="00D77EBE">
              <w:t>apture the range of situations likely to be encountered when undertaking statistical interpretation</w:t>
            </w:r>
          </w:p>
        </w:tc>
      </w:tr>
      <w:tr w:rsidTr="00C646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77EBE">
            <w:pPr>
              <w:pStyle w:val="BodyText"/>
              <w:rPr>
                <w:lang w:val="en-NZ"/>
              </w:rPr>
            </w:pPr>
            <w:r w:rsidRPr="00D77EB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77EBE" w:rsidP="00D77EBE">
            <w:pPr>
              <w:pStyle w:val="BodyText"/>
            </w:pPr>
            <w:r w:rsidRPr="00D77EBE">
              <w:t xml:space="preserve">Valid assessment of this unit requires: </w:t>
            </w:r>
          </w:p>
          <w:p w:rsidR="00000000" w:rsidRPr="00D77EBE" w:rsidP="00D77EBE">
            <w:pPr>
              <w:pStyle w:val="ListBullet"/>
            </w:pPr>
            <w:r w:rsidRPr="00D77EBE">
              <w:t>a workplace environment or one that closely resembles normal work practice and r</w:t>
            </w:r>
            <w:r w:rsidRPr="00D77EBE">
              <w:t>eplicates the range of conditions likely to be encountered when interpreting data and related statistics, including coping with difficulties, irregularities and breakdowns in routine</w:t>
            </w:r>
          </w:p>
          <w:p w:rsidR="00000000" w:rsidRPr="00D77EBE" w:rsidP="00D77EBE">
            <w:pPr>
              <w:pStyle w:val="ListBullet"/>
            </w:pPr>
            <w:r w:rsidRPr="00D77EBE">
              <w:t>interpretation of data and related statistics in a range of (3 or more) c</w:t>
            </w:r>
            <w:r w:rsidRPr="00D77EBE">
              <w:t>ontexts (or occasions, over time).</w:t>
            </w:r>
          </w:p>
          <w:p w:rsidR="00000000" w:rsidRPr="00D77EBE" w:rsidP="00D77EBE">
            <w:pPr>
              <w:pStyle w:val="BodyText"/>
            </w:pPr>
            <w:r w:rsidRPr="00D77EBE">
              <w:t>Assessment methods should reflect workplace demands, such as literacy, and the needs of particular groups, such as:</w:t>
            </w:r>
          </w:p>
          <w:p w:rsidR="00000000" w:rsidRPr="00D77EBE" w:rsidP="00D77EBE">
            <w:pPr>
              <w:pStyle w:val="ListBullet"/>
            </w:pPr>
            <w:r w:rsidRPr="00D77EBE">
              <w:t>people with disabilities</w:t>
            </w:r>
          </w:p>
          <w:p w:rsidR="00000000" w:rsidRPr="00D77EBE" w:rsidP="00D77EBE">
            <w:pPr>
              <w:pStyle w:val="ListBullet"/>
            </w:pPr>
            <w:r w:rsidRPr="00D77EBE">
              <w:t>people from culturally and linguistically diverse backgrounds</w:t>
            </w:r>
          </w:p>
          <w:p w:rsidR="00000000" w:rsidRPr="00D77EBE" w:rsidP="00D77EBE">
            <w:pPr>
              <w:pStyle w:val="ListBullet"/>
            </w:pPr>
            <w:r w:rsidRPr="00D77EBE">
              <w:t>Aboriginal and Torres Strait Islander people</w:t>
            </w:r>
          </w:p>
          <w:p w:rsidR="00000000" w:rsidRPr="00D77EBE" w:rsidP="00D77EBE">
            <w:pPr>
              <w:pStyle w:val="ListBullet"/>
            </w:pPr>
            <w:r w:rsidRPr="00D77EBE">
              <w:t>women</w:t>
            </w:r>
          </w:p>
          <w:p w:rsidR="00000000" w:rsidRPr="00D77EBE" w:rsidP="00D77EBE">
            <w:pPr>
              <w:pStyle w:val="ListBullet"/>
            </w:pPr>
            <w:r w:rsidRPr="00D77EBE">
              <w:t>young people</w:t>
            </w:r>
          </w:p>
          <w:p w:rsidR="00000000" w:rsidRPr="00D77EBE" w:rsidP="00D77EBE">
            <w:pPr>
              <w:pStyle w:val="ListBullet"/>
            </w:pPr>
            <w:r w:rsidRPr="00D77EBE">
              <w:t>older people</w:t>
            </w:r>
          </w:p>
          <w:p w:rsidR="00000000" w:rsidRPr="00D77EBE" w:rsidP="00D77EBE">
            <w:pPr>
              <w:pStyle w:val="ListBullet"/>
            </w:pPr>
            <w:r w:rsidRPr="00D77EBE">
              <w:t>people in rural and remote locations.</w:t>
            </w:r>
          </w:p>
          <w:p w:rsidR="00000000" w:rsidRPr="00D77EBE" w:rsidP="00D77EBE">
            <w:pPr>
              <w:pStyle w:val="BodyText"/>
            </w:pPr>
            <w:r w:rsidRPr="00D77EBE">
              <w:t>Assessment methods suitable for valid and reliable assessment of this competency may include, but are not limited to, a combination of 2 or m</w:t>
            </w:r>
            <w:r w:rsidRPr="00D77EBE">
              <w:t xml:space="preserve">ore of: </w:t>
            </w:r>
          </w:p>
          <w:p w:rsidR="00000000" w:rsidRPr="00D77EBE" w:rsidP="00D77EBE">
            <w:pPr>
              <w:pStyle w:val="ListBullet"/>
            </w:pPr>
            <w:r w:rsidRPr="00D77EBE">
              <w:t>case studies</w:t>
            </w:r>
          </w:p>
          <w:p w:rsidR="00000000" w:rsidRPr="00D77EBE" w:rsidP="00D77EBE">
            <w:pPr>
              <w:pStyle w:val="ListBullet"/>
            </w:pPr>
            <w:r w:rsidRPr="00D77EBE">
              <w:t xml:space="preserve">demonstration </w:t>
            </w:r>
          </w:p>
          <w:p w:rsidR="00000000" w:rsidRPr="00D77EBE" w:rsidP="00D77EBE">
            <w:pPr>
              <w:pStyle w:val="ListBullet"/>
            </w:pPr>
            <w:r w:rsidRPr="00D77EBE">
              <w:t xml:space="preserve">portfolios </w:t>
            </w:r>
          </w:p>
          <w:p w:rsidR="00000000" w:rsidRPr="00D77EBE" w:rsidP="00D77EBE">
            <w:pPr>
              <w:pStyle w:val="ListBullet"/>
            </w:pPr>
            <w:r w:rsidRPr="00D77EBE">
              <w:t>projects</w:t>
            </w:r>
          </w:p>
          <w:p w:rsidR="00000000" w:rsidRPr="00D77EBE" w:rsidP="00D77EBE">
            <w:pPr>
              <w:pStyle w:val="ListBullet"/>
            </w:pPr>
            <w:r w:rsidRPr="00D77EBE">
              <w:t>questioning</w:t>
            </w:r>
          </w:p>
          <w:p w:rsidR="00000000" w:rsidRPr="00D77EBE" w:rsidP="00D77EBE">
            <w:pPr>
              <w:pStyle w:val="ListBullet"/>
            </w:pPr>
            <w:r w:rsidRPr="00D77EBE">
              <w:t>scenarios</w:t>
            </w:r>
          </w:p>
          <w:p w:rsidR="00000000" w:rsidRPr="00D77EBE" w:rsidP="00D77EBE">
            <w:pPr>
              <w:pStyle w:val="ListBullet"/>
            </w:pPr>
            <w:r w:rsidRPr="00D77EBE">
              <w:t>simulation or role plays</w:t>
            </w:r>
          </w:p>
          <w:p w:rsidR="00000000" w:rsidP="00D77EBE">
            <w:pPr>
              <w:pStyle w:val="ListBullet"/>
              <w:rPr>
                <w:lang w:val="en-NZ"/>
              </w:rPr>
            </w:pPr>
            <w:r w:rsidRPr="00D77EBE">
              <w:t>authenticated evidence from the workplace and/or training courses</w:t>
            </w:r>
          </w:p>
        </w:tc>
      </w:tr>
      <w:tr w:rsidTr="00C6464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77EBE">
            <w:pPr>
              <w:pStyle w:val="BodyText"/>
              <w:rPr>
                <w:lang w:val="en-NZ"/>
              </w:rPr>
            </w:pPr>
            <w:r w:rsidRPr="00D77EB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77EBE" w:rsidP="00D77EBE">
            <w:pPr>
              <w:pStyle w:val="BodyText"/>
            </w:pPr>
            <w:r w:rsidRPr="00D77EBE">
              <w:t>Evidence must be gathered over time in a range of contexts to ensure the person can achieve the unit outcome and/or apply the competency in different situations or environments</w:t>
            </w:r>
          </w:p>
        </w:tc>
      </w:tr>
    </w:tbl>
    <w:p w:rsidR="00000000" w:rsidRPr="00D77EBE" w:rsidP="00D77EBE">
      <w:pPr>
        <w:pStyle w:val="BodyText"/>
      </w:pPr>
    </w:p>
    <w:p w:rsidR="00000000" w:rsidRPr="00D77EBE" w:rsidP="00D77EBE">
      <w:pPr>
        <w:pStyle w:val="AllowPageBreak"/>
      </w:pPr>
    </w:p>
    <w:p w:rsidR="00000000" w:rsidRPr="00D77EBE" w:rsidP="00D77EBE">
      <w:pPr>
        <w:pStyle w:val="Heading1"/>
      </w:pPr>
      <w:bookmarkStart w:id="11" w:name="O_493640"/>
      <w:bookmarkEnd w:id="11"/>
      <w:r w:rsidRPr="00D77EBE">
        <w:t>Range Statement</w:t>
      </w:r>
    </w:p>
    <w:tbl>
      <w:tblPr>
        <w:tblW w:w="9322" w:type="dxa"/>
        <w:tblLayout w:type="fixed"/>
        <w:tblCellMar>
          <w:left w:w="62" w:type="dxa"/>
          <w:right w:w="62" w:type="dxa"/>
        </w:tblCellMar>
        <w:tblLook w:val="0000"/>
      </w:tblPr>
      <w:tblGrid>
        <w:gridCol w:w="2660"/>
        <w:gridCol w:w="6662"/>
      </w:tblGrid>
      <w:tr w:rsidTr="00C64642">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t>The Range Statement provides information abo</w:t>
            </w:r>
            <w:r w:rsidRPr="00D77EBE">
              <w:t>ut the context in which the unit of competency is carried out. The variables cater for differences between States and Territories and the Commonwealth, and between organisations and workplaces. They allow for different work requirements, work practices and</w:t>
            </w:r>
            <w:r w:rsidRPr="00D77EBE">
              <w:t xml:space="preserve"> knowledge. The Range Statement also provides a focus for assessment. It relates to the unit as a whole. Text in</w:t>
            </w:r>
            <w:r w:rsidRPr="00D77EBE">
              <w:rPr>
                <w:rStyle w:val="BoldandItalics"/>
              </w:rPr>
              <w:t xml:space="preserve"> bold italics </w:t>
            </w:r>
            <w:r w:rsidRPr="00D77EBE">
              <w:t>in the Performance Criteria is explained here.</w:t>
            </w:r>
          </w:p>
        </w:tc>
      </w:tr>
      <w:tr w:rsidTr="00C6464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rPr>
                <w:rStyle w:val="BoldandItalics"/>
              </w:rPr>
              <w:t>Accepted standards</w:t>
            </w:r>
            <w:r w:rsidRPr="00D77EBE">
              <w:t xml:space="preserve"> for survey data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BE" w:rsidP="00D77EBE">
            <w:pPr>
              <w:pStyle w:val="ListBullet"/>
            </w:pPr>
            <w:r w:rsidRPr="00D77EBE">
              <w:t>showing awareness of data accura</w:t>
            </w:r>
            <w:r w:rsidRPr="00D77EBE">
              <w:t>cy and reliability</w:t>
            </w:r>
          </w:p>
          <w:p w:rsidR="00000000" w:rsidP="00D77EBE">
            <w:pPr>
              <w:pStyle w:val="ListBullet"/>
              <w:rPr>
                <w:lang w:val="en-NZ"/>
              </w:rPr>
            </w:pPr>
            <w:r w:rsidRPr="00D77EBE">
              <w:t>identifying other related issues, such as sample size</w:t>
            </w:r>
          </w:p>
        </w:tc>
      </w:tr>
      <w:tr w:rsidTr="00C6464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rPr>
                <w:rStyle w:val="BoldandItalics"/>
              </w:rPr>
              <w:t>Statistical tests</w:t>
            </w:r>
            <w:r w:rsidRPr="00D77EBE">
              <w:t xml:space="preserve">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BE" w:rsidP="00D77EBE">
            <w:pPr>
              <w:pStyle w:val="ListBullet"/>
            </w:pPr>
            <w:r w:rsidRPr="00D77EBE">
              <w:t>equivalence of means and proportions</w:t>
            </w:r>
          </w:p>
          <w:p w:rsidR="00000000" w:rsidP="00D77EBE">
            <w:pPr>
              <w:pStyle w:val="ListBullet"/>
              <w:rPr>
                <w:lang w:val="en-NZ"/>
              </w:rPr>
            </w:pPr>
            <w:r w:rsidRPr="00D77EBE">
              <w:t>tests of association and prediction</w:t>
            </w:r>
          </w:p>
        </w:tc>
      </w:tr>
      <w:tr w:rsidTr="00C6464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t>Data</w:t>
            </w:r>
            <w:r w:rsidRPr="00D77EBE">
              <w:rPr>
                <w:rStyle w:val="BoldandItalics"/>
              </w:rPr>
              <w:t xml:space="preserve"> presentation </w:t>
            </w:r>
            <w:r w:rsidRPr="00D77EBE">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ListBullet"/>
              <w:rPr>
                <w:lang w:val="en-NZ"/>
              </w:rPr>
            </w:pPr>
            <w:r w:rsidRPr="00D77EBE">
              <w:t>the use of footnotes, caveats and references</w:t>
            </w:r>
          </w:p>
        </w:tc>
      </w:tr>
      <w:tr w:rsidTr="00C6464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rPr>
                <w:rStyle w:val="BoldandItalics"/>
              </w:rPr>
              <w:t>Statistical concepts</w:t>
            </w:r>
            <w:r w:rsidRPr="00D77EBE">
              <w:t xml:space="preserve">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BE" w:rsidP="00D77EBE">
            <w:pPr>
              <w:pStyle w:val="ListBullet"/>
            </w:pPr>
            <w:r w:rsidRPr="00D77EBE">
              <w:t>the results of statistical tests</w:t>
            </w:r>
          </w:p>
          <w:p w:rsidR="00000000" w:rsidRPr="00D77EBE" w:rsidP="00D77EBE">
            <w:pPr>
              <w:pStyle w:val="ListBullet"/>
            </w:pPr>
            <w:r w:rsidRPr="00D77EBE">
              <w:t>trends over time</w:t>
            </w:r>
          </w:p>
          <w:p w:rsidR="00000000" w:rsidRPr="00D77EBE" w:rsidP="00D77EBE">
            <w:pPr>
              <w:pStyle w:val="ListBullet"/>
            </w:pPr>
            <w:r w:rsidRPr="00D77EBE">
              <w:t>statistical associations</w:t>
            </w:r>
          </w:p>
          <w:p w:rsidR="00000000" w:rsidRPr="00D77EBE" w:rsidP="00D77EBE">
            <w:pPr>
              <w:pStyle w:val="ListBullet"/>
            </w:pPr>
            <w:r w:rsidRPr="00D77EBE">
              <w:t>variability</w:t>
            </w:r>
          </w:p>
          <w:p w:rsidR="00000000" w:rsidP="00D77EBE">
            <w:pPr>
              <w:pStyle w:val="ListBullet"/>
              <w:rPr>
                <w:lang w:val="en-NZ"/>
              </w:rPr>
            </w:pPr>
            <w:r w:rsidRPr="00D77EBE">
              <w:t>sampling error</w:t>
            </w:r>
          </w:p>
        </w:tc>
      </w:tr>
      <w:tr w:rsidTr="00C6464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rPr>
                <w:rStyle w:val="BoldandItalics"/>
              </w:rPr>
              <w:t>Presentation of findings</w:t>
            </w:r>
            <w:r w:rsidRPr="00D77EB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ListBullet"/>
              <w:rPr>
                <w:lang w:val="en-NZ"/>
              </w:rPr>
            </w:pPr>
            <w:r w:rsidRPr="00D77EBE">
              <w:t>a mix of text, tables, charts, maps etc</w:t>
            </w:r>
          </w:p>
        </w:tc>
      </w:tr>
      <w:tr w:rsidTr="00C6464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EBE">
            <w:pPr>
              <w:pStyle w:val="BodyText"/>
              <w:rPr>
                <w:lang w:val="en-NZ"/>
              </w:rPr>
            </w:pPr>
            <w:r w:rsidRPr="00D77EBE">
              <w:rPr>
                <w:rStyle w:val="BoldandItalics"/>
              </w:rPr>
              <w:t xml:space="preserve">Accepted standards for charts </w:t>
            </w:r>
            <w:r w:rsidRPr="00D77EBE">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EBE" w:rsidP="00D77EBE">
            <w:pPr>
              <w:pStyle w:val="ListBullet"/>
            </w:pPr>
            <w:r w:rsidRPr="00D77EBE">
              <w:t>appropriately labelled</w:t>
            </w:r>
          </w:p>
          <w:p w:rsidR="00000000" w:rsidRPr="00D77EBE" w:rsidP="00D77EBE">
            <w:pPr>
              <w:pStyle w:val="ListBullet"/>
            </w:pPr>
            <w:r w:rsidRPr="00D77EBE">
              <w:t>appropriate scale selection</w:t>
            </w:r>
          </w:p>
          <w:p w:rsidR="00000000" w:rsidRPr="00D77EBE" w:rsidP="00D77EBE">
            <w:pPr>
              <w:pStyle w:val="ListBullet"/>
            </w:pPr>
            <w:r w:rsidRPr="00D77EBE">
              <w:t>clear formatting</w:t>
            </w:r>
          </w:p>
        </w:tc>
      </w:tr>
    </w:tbl>
    <w:p w:rsidR="00C64642" w:rsidP="00D77EBE">
      <w:pPr>
        <w:pStyle w:val="BodyText"/>
      </w:pPr>
    </w:p>
    <w:p w:rsidR="00C64642" w:rsidP="00D77EBE">
      <w:pPr>
        <w:pStyle w:val="BodyText"/>
      </w:pPr>
    </w:p>
    <w:p w:rsidR="00000000" w:rsidRPr="00D77EBE" w:rsidP="00D77EBE">
      <w:pPr>
        <w:pStyle w:val="Heading1"/>
      </w:pPr>
      <w:bookmarkStart w:id="12" w:name="O_493636"/>
      <w:bookmarkEnd w:id="12"/>
      <w:r w:rsidRPr="00D77EBE">
        <w:t>Unit Sector(s)</w:t>
      </w:r>
    </w:p>
    <w:p w:rsidR="00000000" w:rsidRPr="00D77EBE" w:rsidP="00D77EBE">
      <w:pPr>
        <w:pStyle w:val="BodyText"/>
      </w:pPr>
      <w:r w:rsidRPr="00D77EBE">
        <w:t>Not applicable.</w:t>
      </w:r>
    </w:p>
    <w:p w:rsidR="00000000" w:rsidRPr="00D77EBE" w:rsidP="00D77EBE">
      <w:pPr>
        <w:pStyle w:val="AllowPageBreak"/>
      </w:pPr>
    </w:p>
    <w:p w:rsidR="00000000" w:rsidRPr="00D77EBE" w:rsidP="00D77EBE">
      <w:pPr>
        <w:pStyle w:val="Heading1"/>
      </w:pPr>
      <w:bookmarkStart w:id="13" w:name="O_493648"/>
      <w:bookmarkEnd w:id="13"/>
      <w:r w:rsidRPr="00D77EBE">
        <w:t>Competency field</w:t>
      </w:r>
    </w:p>
    <w:p w:rsidR="00000000" w:rsidRPr="00D77EBE" w:rsidP="00D77EBE">
      <w:pPr>
        <w:pStyle w:val="BodyText"/>
      </w:pPr>
      <w:r w:rsidRPr="00D77EBE">
        <w:t>Working in Government.</w:t>
      </w:r>
    </w:p>
    <w:p w:rsidR="00000000" w:rsidRPr="00D77EBE" w:rsidP="00D77EBE"/>
    <w:sectPr w:rsidSect="00D77E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4642" w:rsidP="00C646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642" w:rsidP="00D77E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4642" w:rsidP="00D77E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64642" w:rsidP="00D77E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BE" w:rsidRPr="00C64642" w:rsidP="00C646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642" w:rsidRPr="002D2AF8" w:rsidP="00D77EBE">
    <w:pPr>
      <w:pStyle w:val="Header"/>
      <w:framePr w:wrap="around"/>
    </w:pPr>
    <w:r>
      <w:fldChar w:fldCharType="begin"/>
    </w:r>
    <w:r>
      <w:instrText xml:space="preserve"> TITLE   \* MERGEFORMAT </w:instrText>
    </w:r>
    <w:r>
      <w:fldChar w:fldCharType="separate"/>
    </w:r>
    <w:r>
      <w:t>PSPGOV524A Interpret data and related statistics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C64642" w:rsidP="00D77E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2E7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3A0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E26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E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EBE"/>
    <w:pPr>
      <w:spacing w:before="360" w:after="60"/>
      <w:outlineLvl w:val="0"/>
    </w:pPr>
    <w:rPr>
      <w:sz w:val="32"/>
    </w:rPr>
  </w:style>
  <w:style w:type="paragraph" w:styleId="Heading2">
    <w:name w:val="heading 2"/>
    <w:basedOn w:val="HeadingBase"/>
    <w:next w:val="BodyText"/>
    <w:link w:val="Heading2Char"/>
    <w:qFormat/>
    <w:rsid w:val="00D77EBE"/>
    <w:pPr>
      <w:keepLines/>
      <w:spacing w:before="240" w:after="120"/>
      <w:outlineLvl w:val="1"/>
    </w:pPr>
    <w:rPr>
      <w:sz w:val="28"/>
      <w:szCs w:val="40"/>
    </w:rPr>
  </w:style>
  <w:style w:type="paragraph" w:styleId="Heading3">
    <w:name w:val="heading 3"/>
    <w:basedOn w:val="HeadingBase"/>
    <w:next w:val="BodyText"/>
    <w:link w:val="Heading3Char"/>
    <w:qFormat/>
    <w:rsid w:val="00D77EBE"/>
    <w:pPr>
      <w:spacing w:before="180" w:after="120"/>
      <w:outlineLvl w:val="2"/>
    </w:pPr>
    <w:rPr>
      <w:spacing w:val="-10"/>
      <w:kern w:val="32"/>
    </w:rPr>
  </w:style>
  <w:style w:type="paragraph" w:styleId="Heading4">
    <w:name w:val="heading 4"/>
    <w:basedOn w:val="HeadingBase"/>
    <w:next w:val="BodyText"/>
    <w:link w:val="Heading4Char"/>
    <w:qFormat/>
    <w:rsid w:val="00D77EBE"/>
    <w:pPr>
      <w:spacing w:before="160" w:after="120"/>
      <w:outlineLvl w:val="3"/>
    </w:pPr>
    <w:rPr>
      <w:sz w:val="22"/>
    </w:rPr>
  </w:style>
  <w:style w:type="paragraph" w:styleId="Heading5">
    <w:name w:val="heading 5"/>
    <w:basedOn w:val="HeadingBase"/>
    <w:next w:val="Normal"/>
    <w:link w:val="Heading5Char"/>
    <w:qFormat/>
    <w:rsid w:val="00D77EBE"/>
    <w:pPr>
      <w:spacing w:before="80"/>
      <w:outlineLvl w:val="4"/>
    </w:pPr>
    <w:rPr>
      <w:color w:val="918585"/>
      <w:sz w:val="20"/>
    </w:rPr>
  </w:style>
  <w:style w:type="paragraph" w:styleId="Heading6">
    <w:name w:val="heading 6"/>
    <w:basedOn w:val="HeadingBase"/>
    <w:next w:val="Normal"/>
    <w:link w:val="Heading6Char"/>
    <w:qFormat/>
    <w:rsid w:val="00D77EBE"/>
    <w:pPr>
      <w:spacing w:before="60"/>
      <w:outlineLvl w:val="5"/>
    </w:pPr>
    <w:rPr>
      <w:color w:val="918585"/>
      <w:sz w:val="20"/>
    </w:rPr>
  </w:style>
  <w:style w:type="paragraph" w:styleId="Heading7">
    <w:name w:val="heading 7"/>
    <w:basedOn w:val="Normal"/>
    <w:next w:val="Normal"/>
    <w:link w:val="Heading7Char"/>
    <w:qFormat/>
    <w:rsid w:val="00D77EBE"/>
    <w:pPr>
      <w:ind w:left="720"/>
      <w:outlineLvl w:val="6"/>
    </w:pPr>
    <w:rPr>
      <w:i/>
    </w:rPr>
  </w:style>
  <w:style w:type="paragraph" w:styleId="Heading8">
    <w:name w:val="heading 8"/>
    <w:basedOn w:val="Normal"/>
    <w:next w:val="Normal"/>
    <w:link w:val="Heading8Char"/>
    <w:qFormat/>
    <w:rsid w:val="00D77EBE"/>
    <w:pPr>
      <w:ind w:left="720"/>
      <w:outlineLvl w:val="7"/>
    </w:pPr>
    <w:rPr>
      <w:i/>
    </w:rPr>
  </w:style>
  <w:style w:type="paragraph" w:styleId="Heading9">
    <w:name w:val="heading 9"/>
    <w:basedOn w:val="Normal"/>
    <w:next w:val="Normal"/>
    <w:link w:val="Heading9Char"/>
    <w:qFormat/>
    <w:rsid w:val="00D77EBE"/>
    <w:pPr>
      <w:ind w:left="720"/>
      <w:outlineLvl w:val="8"/>
    </w:pPr>
    <w:rPr>
      <w:i/>
    </w:rPr>
  </w:style>
  <w:style w:type="character" w:default="1" w:styleId="DefaultParagraphFont">
    <w:name w:val="Default Paragraph Font"/>
    <w:uiPriority w:val="1"/>
    <w:unhideWhenUsed/>
    <w:rsid w:val="00D77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EBE"/>
  </w:style>
  <w:style w:type="character" w:customStyle="1" w:styleId="Heading1Char">
    <w:name w:val="Heading 1 Char"/>
    <w:basedOn w:val="DefaultParagraphFont"/>
    <w:link w:val="Heading1"/>
    <w:rsid w:val="00D77EBE"/>
    <w:rPr>
      <w:rFonts w:ascii="Times New Roman" w:eastAsia="Times New Roman" w:hAnsi="Times New Roman" w:cs="Times New Roman"/>
      <w:b/>
      <w:sz w:val="32"/>
      <w:szCs w:val="20"/>
      <w:lang w:eastAsia="en-US"/>
    </w:rPr>
  </w:style>
  <w:style w:type="paragraph" w:styleId="BodyText">
    <w:name w:val="Body Text"/>
    <w:basedOn w:val="Normal"/>
    <w:link w:val="BodyTextChar"/>
    <w:rsid w:val="00D77E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7EBE"/>
    <w:rPr>
      <w:rFonts w:ascii="Times New Roman" w:eastAsia="Times New Roman" w:hAnsi="Times New Roman" w:cs="Times New Roman"/>
      <w:sz w:val="24"/>
      <w:lang w:eastAsia="en-US"/>
    </w:rPr>
  </w:style>
  <w:style w:type="paragraph" w:styleId="Footer">
    <w:name w:val="footer"/>
    <w:basedOn w:val="Normal"/>
    <w:link w:val="FooterChar"/>
    <w:rsid w:val="00D77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EBE"/>
    <w:rPr>
      <w:rFonts w:ascii="Times New Roman" w:eastAsia="Times New Roman" w:hAnsi="Times New Roman" w:cs="Times New Roman"/>
      <w:sz w:val="16"/>
      <w:lang w:eastAsia="en-US"/>
    </w:rPr>
  </w:style>
  <w:style w:type="paragraph" w:styleId="List">
    <w:name w:val="List"/>
    <w:basedOn w:val="BodyText"/>
    <w:next w:val="BodyText"/>
    <w:rsid w:val="00D77EBE"/>
    <w:pPr>
      <w:tabs>
        <w:tab w:val="left" w:pos="340"/>
      </w:tabs>
      <w:spacing w:before="60" w:after="60"/>
      <w:ind w:left="340" w:hanging="340"/>
    </w:pPr>
  </w:style>
  <w:style w:type="paragraph" w:styleId="ListBullet">
    <w:name w:val="List Bullet"/>
    <w:basedOn w:val="List"/>
    <w:rsid w:val="00D77EBE"/>
    <w:pPr>
      <w:numPr>
        <w:numId w:val="13"/>
      </w:numPr>
      <w:tabs>
        <w:tab w:val="clear" w:pos="340"/>
      </w:tabs>
      <w:spacing w:before="40" w:after="40"/>
    </w:pPr>
  </w:style>
  <w:style w:type="character" w:customStyle="1" w:styleId="SpecialBold">
    <w:name w:val="Special Bold"/>
    <w:basedOn w:val="DefaultParagraphFont"/>
    <w:rsid w:val="00D77EBE"/>
    <w:rPr>
      <w:b/>
      <w:spacing w:val="0"/>
    </w:rPr>
  </w:style>
  <w:style w:type="paragraph" w:styleId="ListBullet2">
    <w:name w:val="List Bullet 2"/>
    <w:basedOn w:val="List2"/>
    <w:rsid w:val="00D77EBE"/>
    <w:pPr>
      <w:numPr>
        <w:numId w:val="14"/>
      </w:numPr>
      <w:tabs>
        <w:tab w:val="clear" w:pos="680"/>
      </w:tabs>
    </w:pPr>
  </w:style>
  <w:style w:type="character" w:styleId="Emphasis">
    <w:name w:val="Emphasis"/>
    <w:basedOn w:val="DefaultParagraphFont"/>
    <w:qFormat/>
    <w:rsid w:val="00D77EBE"/>
    <w:rPr>
      <w:i/>
    </w:rPr>
  </w:style>
  <w:style w:type="paragraph" w:customStyle="1" w:styleId="SuperHeading">
    <w:name w:val="SuperHeading"/>
    <w:basedOn w:val="Normal"/>
    <w:rsid w:val="00D77EBE"/>
    <w:pPr>
      <w:spacing w:before="240" w:after="120"/>
      <w:outlineLvl w:val="0"/>
    </w:pPr>
    <w:rPr>
      <w:rFonts w:ascii="Times New Roman" w:hAnsi="Times New Roman"/>
      <w:b/>
      <w:sz w:val="28"/>
    </w:rPr>
  </w:style>
  <w:style w:type="paragraph" w:customStyle="1" w:styleId="AllowPageBreak">
    <w:name w:val="AllowPageBreak"/>
    <w:rsid w:val="00D77E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77EBE"/>
    <w:rPr>
      <w:u w:val="single"/>
    </w:rPr>
  </w:style>
  <w:style w:type="character" w:customStyle="1" w:styleId="BoldandItalics">
    <w:name w:val="Bold and Italics"/>
    <w:qFormat/>
    <w:rsid w:val="00D77EBE"/>
    <w:rPr>
      <w:b/>
      <w:i/>
      <w:u w:val="none"/>
    </w:rPr>
  </w:style>
  <w:style w:type="character" w:customStyle="1" w:styleId="Heading2Char">
    <w:name w:val="Heading 2 Char"/>
    <w:basedOn w:val="DefaultParagraphFont"/>
    <w:link w:val="Heading2"/>
    <w:rsid w:val="00D77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E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E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EBE"/>
    <w:rPr>
      <w:rFonts w:ascii="Courier New" w:eastAsia="Times New Roman" w:hAnsi="Courier New" w:cs="Times New Roman"/>
      <w:i/>
      <w:szCs w:val="20"/>
      <w:lang w:eastAsia="en-US"/>
    </w:rPr>
  </w:style>
  <w:style w:type="paragraph" w:customStyle="1" w:styleId="HeadingBase">
    <w:name w:val="Heading Base"/>
    <w:rsid w:val="00D77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EBE"/>
    <w:pPr>
      <w:tabs>
        <w:tab w:val="right" w:leader="dot" w:pos="9072"/>
      </w:tabs>
      <w:ind w:left="567"/>
    </w:pPr>
    <w:rPr>
      <w:szCs w:val="22"/>
    </w:rPr>
  </w:style>
  <w:style w:type="paragraph" w:customStyle="1" w:styleId="TOCBase">
    <w:name w:val="TOC Base"/>
    <w:rsid w:val="00D77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EBE"/>
    <w:pPr>
      <w:tabs>
        <w:tab w:val="right" w:leader="dot" w:pos="9072"/>
      </w:tabs>
      <w:spacing w:before="40" w:after="40"/>
      <w:ind w:left="284"/>
    </w:pPr>
    <w:rPr>
      <w:rFonts w:ascii="Times New Roman" w:hAnsi="Times New Roman"/>
    </w:rPr>
  </w:style>
  <w:style w:type="paragraph" w:styleId="TOC1">
    <w:name w:val="toc 1"/>
    <w:basedOn w:val="TOCBase"/>
    <w:next w:val="Normal"/>
    <w:rsid w:val="00D77E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7EBE"/>
    <w:pPr>
      <w:spacing w:before="5040"/>
      <w:jc w:val="center"/>
    </w:pPr>
    <w:rPr>
      <w:sz w:val="48"/>
      <w:szCs w:val="72"/>
      <w:lang w:val="en-US"/>
    </w:rPr>
  </w:style>
  <w:style w:type="character" w:customStyle="1" w:styleId="TitleChar">
    <w:name w:val="Title Char"/>
    <w:basedOn w:val="DefaultParagraphFont"/>
    <w:link w:val="Title"/>
    <w:rsid w:val="00D77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EBE"/>
    <w:pPr>
      <w:tabs>
        <w:tab w:val="left" w:pos="3600"/>
        <w:tab w:val="left" w:pos="3958"/>
      </w:tabs>
    </w:pPr>
  </w:style>
  <w:style w:type="paragraph" w:customStyle="1" w:styleId="Note">
    <w:name w:val="Note"/>
    <w:basedOn w:val="BodyText"/>
    <w:rsid w:val="00D77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EBE"/>
    <w:pPr>
      <w:framePr w:wrap="auto" w:hAnchor="text" w:y="6049"/>
    </w:pPr>
    <w:rPr>
      <w:color w:val="000000"/>
      <w:sz w:val="40"/>
    </w:rPr>
  </w:style>
  <w:style w:type="paragraph" w:customStyle="1" w:styleId="TOCTitle">
    <w:name w:val="TOCTitle"/>
    <w:basedOn w:val="Heading1"/>
    <w:rsid w:val="00D77EBE"/>
    <w:pPr>
      <w:spacing w:after="240"/>
      <w:jc w:val="center"/>
      <w:outlineLvl w:val="9"/>
    </w:pPr>
    <w:rPr>
      <w:caps/>
    </w:rPr>
  </w:style>
  <w:style w:type="paragraph" w:customStyle="1" w:styleId="Version">
    <w:name w:val="Version"/>
    <w:rsid w:val="00D77E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EBE"/>
    <w:pPr>
      <w:keepNext w:val="0"/>
      <w:tabs>
        <w:tab w:val="right" w:pos="4176"/>
      </w:tabs>
      <w:ind w:left="198" w:hanging="198"/>
    </w:pPr>
    <w:rPr>
      <w:rFonts w:ascii="Garamond" w:hAnsi="Garamond"/>
    </w:rPr>
  </w:style>
  <w:style w:type="paragraph" w:styleId="IndexHeading">
    <w:name w:val="index heading"/>
    <w:basedOn w:val="Normal"/>
    <w:next w:val="Index1"/>
    <w:semiHidden/>
    <w:rsid w:val="00D77EBE"/>
    <w:pPr>
      <w:spacing w:before="120" w:after="120"/>
    </w:pPr>
    <w:rPr>
      <w:rFonts w:ascii="Arial" w:hAnsi="Arial"/>
      <w:b/>
      <w:color w:val="918585"/>
      <w:sz w:val="24"/>
    </w:rPr>
  </w:style>
  <w:style w:type="paragraph" w:styleId="Header">
    <w:name w:val="header"/>
    <w:basedOn w:val="Normal"/>
    <w:link w:val="HeaderChar"/>
    <w:rsid w:val="00D77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EBE"/>
    <w:rPr>
      <w:rFonts w:ascii="Times New Roman" w:eastAsia="Times New Roman" w:hAnsi="Times New Roman" w:cs="Times New Roman"/>
      <w:sz w:val="16"/>
      <w:szCs w:val="20"/>
      <w:lang w:val="en-GB" w:eastAsia="en-US"/>
    </w:rPr>
  </w:style>
  <w:style w:type="paragraph" w:customStyle="1" w:styleId="Chapter">
    <w:name w:val="Chapter"/>
    <w:basedOn w:val="Normal"/>
    <w:rsid w:val="00D77EBE"/>
    <w:pPr>
      <w:spacing w:before="240"/>
    </w:pPr>
    <w:rPr>
      <w:rFonts w:ascii="Times New Roman" w:hAnsi="Times New Roman"/>
      <w:smallCaps/>
      <w:spacing w:val="80"/>
      <w:sz w:val="28"/>
    </w:rPr>
  </w:style>
  <w:style w:type="paragraph" w:customStyle="1" w:styleId="InChapter">
    <w:name w:val="InChapter"/>
    <w:basedOn w:val="Heading3"/>
    <w:rsid w:val="00D77EBE"/>
    <w:pPr>
      <w:spacing w:after="240"/>
      <w:outlineLvl w:val="9"/>
    </w:pPr>
    <w:rPr>
      <w:noProof/>
    </w:rPr>
  </w:style>
  <w:style w:type="paragraph" w:styleId="Index2">
    <w:name w:val="index 2"/>
    <w:basedOn w:val="Normal"/>
    <w:next w:val="Normal"/>
    <w:semiHidden/>
    <w:rsid w:val="00D77EBE"/>
    <w:pPr>
      <w:tabs>
        <w:tab w:val="right" w:pos="4176"/>
      </w:tabs>
      <w:ind w:left="568" w:hanging="284"/>
    </w:pPr>
    <w:rPr>
      <w:rFonts w:ascii="Garamond" w:hAnsi="Garamond"/>
    </w:rPr>
  </w:style>
  <w:style w:type="paragraph" w:customStyle="1" w:styleId="Byline">
    <w:name w:val="Byline"/>
    <w:rsid w:val="00D77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EBE"/>
    <w:pPr>
      <w:tabs>
        <w:tab w:val="clear" w:pos="3600"/>
        <w:tab w:val="clear" w:pos="3958"/>
      </w:tabs>
      <w:jc w:val="right"/>
    </w:pPr>
  </w:style>
  <w:style w:type="paragraph" w:styleId="Caption">
    <w:name w:val="caption"/>
    <w:basedOn w:val="BodyText"/>
    <w:next w:val="Normal"/>
    <w:qFormat/>
    <w:rsid w:val="00D77EBE"/>
    <w:pPr>
      <w:framePr w:w="2268" w:hSpace="181" w:vSpace="181" w:wrap="around" w:vAnchor="text" w:hAnchor="page" w:x="1135" w:y="285" w:anchorLock="1"/>
    </w:pPr>
    <w:rPr>
      <w:i/>
    </w:rPr>
  </w:style>
  <w:style w:type="paragraph" w:customStyle="1" w:styleId="MiniTOCTitle">
    <w:name w:val="MiniTOCTitle"/>
    <w:basedOn w:val="Heading4"/>
    <w:rsid w:val="00D77EBE"/>
    <w:pPr>
      <w:spacing w:before="240"/>
      <w:outlineLvl w:val="9"/>
    </w:pPr>
    <w:rPr>
      <w:noProof/>
      <w:sz w:val="24"/>
    </w:rPr>
  </w:style>
  <w:style w:type="paragraph" w:customStyle="1" w:styleId="MiniTOCItem">
    <w:name w:val="MiniTOCItem"/>
    <w:basedOn w:val="ListBullet"/>
    <w:rsid w:val="00D77EBE"/>
    <w:pPr>
      <w:numPr>
        <w:numId w:val="0"/>
      </w:numPr>
      <w:tabs>
        <w:tab w:val="right" w:leader="dot" w:pos="6521"/>
      </w:tabs>
      <w:spacing w:before="0" w:after="0"/>
    </w:pPr>
  </w:style>
  <w:style w:type="paragraph" w:customStyle="1" w:styleId="TOFTitle">
    <w:name w:val="TOFTitle"/>
    <w:basedOn w:val="TOCTitle"/>
    <w:rsid w:val="00D77EBE"/>
  </w:style>
  <w:style w:type="paragraph" w:styleId="TableofFigures">
    <w:name w:val="table of figures"/>
    <w:basedOn w:val="Normal"/>
    <w:next w:val="Normal"/>
    <w:semiHidden/>
    <w:rsid w:val="00D77EBE"/>
    <w:pPr>
      <w:tabs>
        <w:tab w:val="right" w:leader="dot" w:pos="9072"/>
      </w:tabs>
      <w:ind w:left="970" w:hanging="403"/>
    </w:pPr>
    <w:rPr>
      <w:rFonts w:ascii="Times New Roman" w:hAnsi="Times New Roman"/>
      <w:b/>
    </w:rPr>
  </w:style>
  <w:style w:type="paragraph" w:styleId="ListNumber">
    <w:name w:val="List Number"/>
    <w:basedOn w:val="List"/>
    <w:rsid w:val="00D77EBE"/>
    <w:pPr>
      <w:numPr>
        <w:numId w:val="11"/>
      </w:numPr>
    </w:pPr>
  </w:style>
  <w:style w:type="character" w:customStyle="1" w:styleId="WingdingSymbols">
    <w:name w:val="Wingding Symbols"/>
    <w:rsid w:val="00D77EBE"/>
    <w:rPr>
      <w:rFonts w:ascii="Wingdings" w:hAnsi="Wingdings"/>
    </w:rPr>
  </w:style>
  <w:style w:type="paragraph" w:customStyle="1" w:styleId="TableHeading">
    <w:name w:val="Table Heading"/>
    <w:basedOn w:val="HeadingBase"/>
    <w:rsid w:val="00D77EBE"/>
    <w:pPr>
      <w:keepLines/>
      <w:pBdr>
        <w:bottom w:val="single" w:sz="6" w:space="1" w:color="918585"/>
      </w:pBdr>
      <w:spacing w:before="240"/>
    </w:pPr>
  </w:style>
  <w:style w:type="character" w:customStyle="1" w:styleId="HotSpot">
    <w:name w:val="HotSpot"/>
    <w:rsid w:val="00D77EBE"/>
    <w:rPr>
      <w:color w:val="0033CC"/>
      <w:u w:val="none"/>
    </w:rPr>
  </w:style>
  <w:style w:type="paragraph" w:customStyle="1" w:styleId="BodyTextRight">
    <w:name w:val="Body Text Right"/>
    <w:basedOn w:val="BodyText"/>
    <w:rsid w:val="00D77EBE"/>
    <w:pPr>
      <w:spacing w:before="0" w:after="0"/>
      <w:jc w:val="right"/>
    </w:pPr>
  </w:style>
  <w:style w:type="paragraph" w:styleId="Index3">
    <w:name w:val="index 3"/>
    <w:basedOn w:val="ListNumber2"/>
    <w:next w:val="Normal"/>
    <w:semiHidden/>
    <w:rsid w:val="00D77EBE"/>
    <w:pPr>
      <w:numPr>
        <w:numId w:val="0"/>
      </w:numPr>
      <w:tabs>
        <w:tab w:val="right" w:leader="dot" w:pos="4176"/>
      </w:tabs>
    </w:pPr>
  </w:style>
  <w:style w:type="paragraph" w:styleId="ListNumber2">
    <w:name w:val="List Number 2"/>
    <w:basedOn w:val="List2"/>
    <w:rsid w:val="00D77EBE"/>
    <w:pPr>
      <w:numPr>
        <w:numId w:val="10"/>
      </w:numPr>
      <w:tabs>
        <w:tab w:val="clear" w:pos="1060"/>
      </w:tabs>
    </w:pPr>
  </w:style>
  <w:style w:type="paragraph" w:customStyle="1" w:styleId="MarginNote">
    <w:name w:val="Margin Note"/>
    <w:basedOn w:val="BodyText"/>
    <w:rsid w:val="00D77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E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EBE"/>
    <w:rPr>
      <w:sz w:val="32"/>
    </w:rPr>
  </w:style>
  <w:style w:type="paragraph" w:customStyle="1" w:styleId="HeadingProcedure">
    <w:name w:val="Heading Procedure"/>
    <w:basedOn w:val="HeadingBase"/>
    <w:next w:val="Normal"/>
    <w:rsid w:val="00D77EBE"/>
    <w:pPr>
      <w:tabs>
        <w:tab w:val="left" w:pos="0"/>
      </w:tabs>
      <w:spacing w:before="120" w:after="60"/>
    </w:pPr>
    <w:rPr>
      <w:i/>
      <w:color w:val="918585"/>
      <w:sz w:val="22"/>
    </w:rPr>
  </w:style>
  <w:style w:type="paragraph" w:customStyle="1" w:styleId="TableBodyText">
    <w:name w:val="Table Body Text"/>
    <w:basedOn w:val="BodyText"/>
    <w:rsid w:val="00D77EBE"/>
    <w:pPr>
      <w:spacing w:before="60" w:after="60"/>
    </w:pPr>
  </w:style>
  <w:style w:type="paragraph" w:styleId="ListContinue">
    <w:name w:val="List Continue"/>
    <w:basedOn w:val="List"/>
    <w:rsid w:val="00D77EBE"/>
    <w:pPr>
      <w:ind w:firstLine="0"/>
    </w:pPr>
  </w:style>
  <w:style w:type="paragraph" w:customStyle="1" w:styleId="ListNote">
    <w:name w:val="List Note"/>
    <w:basedOn w:val="List"/>
    <w:rsid w:val="00D77EBE"/>
    <w:pPr>
      <w:pBdr>
        <w:top w:val="single" w:sz="6" w:space="2" w:color="918585"/>
        <w:bottom w:val="single" w:sz="6" w:space="2" w:color="918585"/>
      </w:pBdr>
      <w:tabs>
        <w:tab w:val="left" w:pos="1021"/>
      </w:tabs>
      <w:ind w:firstLine="0"/>
    </w:pPr>
  </w:style>
  <w:style w:type="paragraph" w:customStyle="1" w:styleId="Warning">
    <w:name w:val="Warning"/>
    <w:basedOn w:val="BodyText"/>
    <w:rsid w:val="00D77EBE"/>
    <w:pPr>
      <w:shd w:val="clear" w:color="auto" w:fill="D9D9D9"/>
      <w:tabs>
        <w:tab w:val="left" w:pos="992"/>
      </w:tabs>
      <w:ind w:left="119" w:right="119"/>
    </w:pPr>
    <w:rPr>
      <w:sz w:val="20"/>
    </w:rPr>
  </w:style>
  <w:style w:type="paragraph" w:customStyle="1" w:styleId="MarginIcons">
    <w:name w:val="Margin Icons"/>
    <w:basedOn w:val="BodyText"/>
    <w:rsid w:val="00D77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EBE"/>
    <w:rPr>
      <w:rFonts w:ascii="Courier New" w:hAnsi="Courier New"/>
    </w:rPr>
  </w:style>
  <w:style w:type="paragraph" w:customStyle="1" w:styleId="NoteBullet">
    <w:name w:val="Note Bullet"/>
    <w:basedOn w:val="Note"/>
    <w:rsid w:val="00D77EBE"/>
    <w:pPr>
      <w:tabs>
        <w:tab w:val="clear" w:pos="680"/>
      </w:tabs>
      <w:spacing w:before="60" w:after="60"/>
    </w:pPr>
  </w:style>
  <w:style w:type="paragraph" w:customStyle="1" w:styleId="SubHeading2">
    <w:name w:val="SubHeading2"/>
    <w:basedOn w:val="HeadingBase"/>
    <w:rsid w:val="00D77EBE"/>
    <w:pPr>
      <w:spacing w:before="240" w:after="60"/>
    </w:pPr>
    <w:rPr>
      <w:sz w:val="20"/>
    </w:rPr>
  </w:style>
  <w:style w:type="paragraph" w:customStyle="1" w:styleId="SubHeading1">
    <w:name w:val="SubHeading1"/>
    <w:basedOn w:val="HeadingBase"/>
    <w:rsid w:val="00D77EBE"/>
    <w:pPr>
      <w:spacing w:before="240" w:after="60"/>
    </w:pPr>
    <w:rPr>
      <w:color w:val="918585"/>
      <w:sz w:val="22"/>
    </w:rPr>
  </w:style>
  <w:style w:type="paragraph" w:customStyle="1" w:styleId="SideHeading">
    <w:name w:val="Side Heading"/>
    <w:basedOn w:val="HeadingBase"/>
    <w:rsid w:val="00D77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EBE"/>
    <w:pPr>
      <w:numPr>
        <w:numId w:val="12"/>
      </w:numPr>
    </w:pPr>
  </w:style>
  <w:style w:type="paragraph" w:styleId="PlainText">
    <w:name w:val="Plain Text"/>
    <w:basedOn w:val="Normal"/>
    <w:link w:val="PlainTextChar"/>
    <w:rsid w:val="00D77EBE"/>
    <w:rPr>
      <w:sz w:val="20"/>
    </w:rPr>
  </w:style>
  <w:style w:type="character" w:customStyle="1" w:styleId="PlainTextChar">
    <w:name w:val="Plain Text Char"/>
    <w:basedOn w:val="DefaultParagraphFont"/>
    <w:link w:val="PlainText"/>
    <w:rsid w:val="00D77EBE"/>
    <w:rPr>
      <w:rFonts w:ascii="Courier New" w:eastAsia="Times New Roman" w:hAnsi="Courier New" w:cs="Times New Roman"/>
      <w:sz w:val="20"/>
      <w:szCs w:val="20"/>
      <w:lang w:eastAsia="en-US"/>
    </w:rPr>
  </w:style>
  <w:style w:type="character" w:customStyle="1" w:styleId="MenuOption">
    <w:name w:val="Menu Option"/>
    <w:basedOn w:val="DefaultParagraphFont"/>
    <w:rsid w:val="00D77EBE"/>
    <w:rPr>
      <w:b/>
      <w:smallCaps/>
    </w:rPr>
  </w:style>
  <w:style w:type="paragraph" w:customStyle="1" w:styleId="TableListNumber">
    <w:name w:val="Table List Number"/>
    <w:basedOn w:val="ListNumber"/>
    <w:rsid w:val="00D77EBE"/>
    <w:pPr>
      <w:numPr>
        <w:numId w:val="0"/>
      </w:numPr>
    </w:pPr>
  </w:style>
  <w:style w:type="paragraph" w:styleId="TOC4">
    <w:name w:val="toc 4"/>
    <w:basedOn w:val="TOCBase"/>
    <w:next w:val="Normal"/>
    <w:semiHidden/>
    <w:rsid w:val="00D77EBE"/>
    <w:pPr>
      <w:tabs>
        <w:tab w:val="right" w:leader="dot" w:pos="9071"/>
      </w:tabs>
      <w:ind w:left="1701"/>
    </w:pPr>
  </w:style>
  <w:style w:type="paragraph" w:customStyle="1" w:styleId="ListAlpha">
    <w:name w:val="List Alpha"/>
    <w:basedOn w:val="List"/>
    <w:rsid w:val="00D77EBE"/>
    <w:pPr>
      <w:numPr>
        <w:numId w:val="9"/>
      </w:numPr>
    </w:pPr>
  </w:style>
  <w:style w:type="paragraph" w:customStyle="1" w:styleId="ListAlpha2">
    <w:name w:val="List Alpha 2"/>
    <w:basedOn w:val="List2"/>
    <w:rsid w:val="00D77EBE"/>
    <w:pPr>
      <w:numPr>
        <w:numId w:val="8"/>
      </w:numPr>
    </w:pPr>
  </w:style>
  <w:style w:type="paragraph" w:styleId="List2">
    <w:name w:val="List 2"/>
    <w:basedOn w:val="BodyText"/>
    <w:rsid w:val="00D77EBE"/>
    <w:pPr>
      <w:tabs>
        <w:tab w:val="left" w:pos="680"/>
      </w:tabs>
      <w:spacing w:before="60" w:after="60"/>
      <w:ind w:left="680" w:hanging="340"/>
    </w:pPr>
  </w:style>
  <w:style w:type="paragraph" w:styleId="List3">
    <w:name w:val="List 3"/>
    <w:basedOn w:val="BodyText"/>
    <w:rsid w:val="00D77EBE"/>
    <w:pPr>
      <w:tabs>
        <w:tab w:val="left" w:pos="1021"/>
      </w:tabs>
      <w:spacing w:before="60" w:after="60"/>
      <w:ind w:left="1020" w:hanging="340"/>
    </w:pPr>
  </w:style>
  <w:style w:type="paragraph" w:styleId="List4">
    <w:name w:val="List 4"/>
    <w:basedOn w:val="BodyText"/>
    <w:rsid w:val="00D77EBE"/>
    <w:pPr>
      <w:tabs>
        <w:tab w:val="left" w:pos="1361"/>
      </w:tabs>
      <w:spacing w:before="60" w:after="60"/>
      <w:ind w:left="1361" w:hanging="340"/>
    </w:pPr>
  </w:style>
  <w:style w:type="paragraph" w:styleId="List5">
    <w:name w:val="List 5"/>
    <w:basedOn w:val="BodyText"/>
    <w:rsid w:val="00D77EBE"/>
    <w:pPr>
      <w:tabs>
        <w:tab w:val="left" w:pos="1701"/>
      </w:tabs>
      <w:spacing w:before="60" w:after="60"/>
      <w:ind w:left="1701" w:hanging="340"/>
    </w:pPr>
  </w:style>
  <w:style w:type="paragraph" w:styleId="ListBullet3">
    <w:name w:val="List Bullet 3"/>
    <w:basedOn w:val="List3"/>
    <w:rsid w:val="00D77EBE"/>
    <w:pPr>
      <w:numPr>
        <w:numId w:val="15"/>
      </w:numPr>
      <w:tabs>
        <w:tab w:val="clear" w:pos="1021"/>
      </w:tabs>
      <w:ind w:left="1037" w:hanging="357"/>
    </w:pPr>
  </w:style>
  <w:style w:type="paragraph" w:styleId="ListBullet4">
    <w:name w:val="List Bullet 4"/>
    <w:basedOn w:val="List4"/>
    <w:rsid w:val="00D77EBE"/>
    <w:pPr>
      <w:numPr>
        <w:numId w:val="3"/>
      </w:numPr>
    </w:pPr>
  </w:style>
  <w:style w:type="paragraph" w:styleId="ListBullet5">
    <w:name w:val="List Bullet 5"/>
    <w:basedOn w:val="List5"/>
    <w:rsid w:val="00D77EBE"/>
    <w:pPr>
      <w:numPr>
        <w:numId w:val="4"/>
      </w:numPr>
    </w:pPr>
  </w:style>
  <w:style w:type="paragraph" w:styleId="ListContinue2">
    <w:name w:val="List Continue 2"/>
    <w:basedOn w:val="List2"/>
    <w:rsid w:val="00D77EBE"/>
    <w:pPr>
      <w:ind w:firstLine="0"/>
    </w:pPr>
  </w:style>
  <w:style w:type="paragraph" w:styleId="ListContinue3">
    <w:name w:val="List Continue 3"/>
    <w:basedOn w:val="List3"/>
    <w:rsid w:val="00D77EBE"/>
    <w:pPr>
      <w:ind w:left="1021" w:firstLine="0"/>
    </w:pPr>
  </w:style>
  <w:style w:type="paragraph" w:styleId="ListContinue4">
    <w:name w:val="List Continue 4"/>
    <w:basedOn w:val="List4"/>
    <w:rsid w:val="00D77EBE"/>
    <w:pPr>
      <w:ind w:firstLine="0"/>
    </w:pPr>
  </w:style>
  <w:style w:type="paragraph" w:styleId="ListContinue5">
    <w:name w:val="List Continue 5"/>
    <w:basedOn w:val="List5"/>
    <w:rsid w:val="00D77EBE"/>
    <w:pPr>
      <w:ind w:firstLine="0"/>
    </w:pPr>
  </w:style>
  <w:style w:type="paragraph" w:styleId="ListNumber3">
    <w:name w:val="List Number 3"/>
    <w:basedOn w:val="List3"/>
    <w:rsid w:val="00D77EBE"/>
    <w:pPr>
      <w:numPr>
        <w:numId w:val="5"/>
      </w:numPr>
    </w:pPr>
  </w:style>
  <w:style w:type="paragraph" w:styleId="ListNumber4">
    <w:name w:val="List Number 4"/>
    <w:basedOn w:val="List4"/>
    <w:rsid w:val="00D77EBE"/>
    <w:pPr>
      <w:numPr>
        <w:numId w:val="6"/>
      </w:numPr>
    </w:pPr>
  </w:style>
  <w:style w:type="paragraph" w:styleId="ListNumber5">
    <w:name w:val="List Number 5"/>
    <w:basedOn w:val="List5"/>
    <w:rsid w:val="00D77EBE"/>
    <w:pPr>
      <w:numPr>
        <w:numId w:val="7"/>
      </w:numPr>
    </w:pPr>
  </w:style>
  <w:style w:type="paragraph" w:styleId="BlockText">
    <w:name w:val="Block Text"/>
    <w:basedOn w:val="Normal"/>
    <w:rsid w:val="00D77EBE"/>
    <w:pPr>
      <w:spacing w:after="120"/>
      <w:ind w:left="1440" w:right="1440"/>
    </w:pPr>
  </w:style>
  <w:style w:type="character" w:customStyle="1" w:styleId="Subscript">
    <w:name w:val="Subscript"/>
    <w:basedOn w:val="DefaultParagraphFont"/>
    <w:rsid w:val="00D77EBE"/>
    <w:rPr>
      <w:sz w:val="16"/>
      <w:vertAlign w:val="subscript"/>
    </w:rPr>
  </w:style>
  <w:style w:type="character" w:customStyle="1" w:styleId="Superscript">
    <w:name w:val="Superscript"/>
    <w:basedOn w:val="DefaultParagraphFont"/>
    <w:rsid w:val="00D77EBE"/>
    <w:rPr>
      <w:sz w:val="16"/>
      <w:vertAlign w:val="superscript"/>
    </w:rPr>
  </w:style>
  <w:style w:type="character" w:customStyle="1" w:styleId="Symbols">
    <w:name w:val="Symbols"/>
    <w:basedOn w:val="DefaultParagraphFont"/>
    <w:rsid w:val="00D77EBE"/>
    <w:rPr>
      <w:rFonts w:ascii="Symbol" w:hAnsi="Symbol"/>
    </w:rPr>
  </w:style>
  <w:style w:type="character" w:customStyle="1" w:styleId="MenuOptions">
    <w:name w:val="Menu Options"/>
    <w:basedOn w:val="DefaultParagraphFont"/>
    <w:rsid w:val="00D77EBE"/>
    <w:rPr>
      <w:rFonts w:ascii="Arial Narrow" w:hAnsi="Arial Narrow"/>
      <w:smallCaps/>
    </w:rPr>
  </w:style>
  <w:style w:type="character" w:customStyle="1" w:styleId="Buttons">
    <w:name w:val="Buttons"/>
    <w:basedOn w:val="DefaultParagraphFont"/>
    <w:rsid w:val="00D77EBE"/>
    <w:rPr>
      <w:b/>
    </w:rPr>
  </w:style>
  <w:style w:type="character" w:customStyle="1" w:styleId="Underlined">
    <w:name w:val="Underlined"/>
    <w:basedOn w:val="DefaultParagraphFont"/>
    <w:rsid w:val="00D77EBE"/>
    <w:rPr>
      <w:u w:val="single"/>
    </w:rPr>
  </w:style>
  <w:style w:type="paragraph" w:customStyle="1" w:styleId="TableBodyTextRight">
    <w:name w:val="Table Body Text Right"/>
    <w:basedOn w:val="TableBodyText"/>
    <w:rsid w:val="00D77EBE"/>
    <w:pPr>
      <w:widowControl w:val="0"/>
      <w:autoSpaceDE w:val="0"/>
      <w:autoSpaceDN w:val="0"/>
      <w:adjustRightInd w:val="0"/>
      <w:jc w:val="right"/>
    </w:pPr>
    <w:rPr>
      <w:rFonts w:cs="Arial"/>
      <w:szCs w:val="18"/>
    </w:rPr>
  </w:style>
  <w:style w:type="paragraph" w:customStyle="1" w:styleId="CopyrightText">
    <w:name w:val="Copyright Text"/>
    <w:basedOn w:val="BodyText"/>
    <w:rsid w:val="00D77EBE"/>
    <w:rPr>
      <w:sz w:val="18"/>
    </w:rPr>
  </w:style>
  <w:style w:type="paragraph" w:customStyle="1" w:styleId="BodySmallRight">
    <w:name w:val="Body Small Right"/>
    <w:basedOn w:val="BodyTextRight"/>
    <w:rsid w:val="00D77EBE"/>
    <w:rPr>
      <w:sz w:val="18"/>
      <w:szCs w:val="18"/>
    </w:rPr>
  </w:style>
  <w:style w:type="paragraph" w:customStyle="1" w:styleId="MarginEdition">
    <w:name w:val="Margin Edition"/>
    <w:basedOn w:val="MarginNote"/>
    <w:rsid w:val="00D77EBE"/>
    <w:pPr>
      <w:spacing w:before="0" w:after="0"/>
    </w:pPr>
    <w:rPr>
      <w:rFonts w:ascii="Times New Roman" w:hAnsi="Times New Roman"/>
      <w:color w:val="999999"/>
    </w:rPr>
  </w:style>
  <w:style w:type="paragraph" w:customStyle="1" w:styleId="Spacer">
    <w:name w:val="Spacer"/>
    <w:basedOn w:val="Normal"/>
    <w:rsid w:val="00D77EBE"/>
    <w:rPr>
      <w:sz w:val="2"/>
      <w:szCs w:val="2"/>
    </w:rPr>
  </w:style>
  <w:style w:type="character" w:customStyle="1" w:styleId="Small">
    <w:name w:val="Small"/>
    <w:basedOn w:val="DefaultParagraphFont"/>
    <w:rsid w:val="00D77EBE"/>
    <w:rPr>
      <w:sz w:val="16"/>
    </w:rPr>
  </w:style>
  <w:style w:type="paragraph" w:customStyle="1" w:styleId="WideTable">
    <w:name w:val="Wide Table"/>
    <w:basedOn w:val="Normal"/>
    <w:rsid w:val="00D77EBE"/>
    <w:pPr>
      <w:ind w:left="-1418"/>
    </w:pPr>
    <w:rPr>
      <w:sz w:val="2"/>
      <w:szCs w:val="2"/>
    </w:rPr>
  </w:style>
  <w:style w:type="character" w:styleId="PageNumber">
    <w:name w:val="page number"/>
    <w:basedOn w:val="DefaultParagraphFont"/>
    <w:rsid w:val="00D77EBE"/>
  </w:style>
  <w:style w:type="paragraph" w:styleId="Quote">
    <w:name w:val="Quote"/>
    <w:basedOn w:val="Heading1"/>
    <w:link w:val="QuoteChar"/>
    <w:qFormat/>
    <w:rsid w:val="00D77EBE"/>
    <w:rPr>
      <w:b w:val="0"/>
      <w:sz w:val="72"/>
      <w:szCs w:val="72"/>
      <w:lang w:val="en-NZ"/>
    </w:rPr>
  </w:style>
  <w:style w:type="character" w:customStyle="1" w:styleId="QuoteChar">
    <w:name w:val="Quote Char"/>
    <w:basedOn w:val="DefaultParagraphFont"/>
    <w:link w:val="Quote"/>
    <w:rsid w:val="00D77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EBE"/>
    <w:pPr>
      <w:pageBreakBefore/>
    </w:pPr>
  </w:style>
  <w:style w:type="paragraph" w:customStyle="1" w:styleId="Border">
    <w:name w:val="Border"/>
    <w:basedOn w:val="Normal"/>
    <w:qFormat/>
    <w:rsid w:val="00D77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EBE"/>
    <w:rPr>
      <w:b/>
      <w:bCs/>
      <w:i/>
      <w:iCs/>
      <w:color w:val="auto"/>
    </w:rPr>
  </w:style>
  <w:style w:type="paragraph" w:styleId="IntenseQuote">
    <w:name w:val="Intense Quote"/>
    <w:basedOn w:val="Normal"/>
    <w:next w:val="Normal"/>
    <w:link w:val="IntenseQuoteChar"/>
    <w:uiPriority w:val="30"/>
    <w:qFormat/>
    <w:rsid w:val="00D77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E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EBE"/>
    <w:rPr>
      <w:smallCaps/>
      <w:color w:val="auto"/>
      <w:u w:val="single"/>
    </w:rPr>
  </w:style>
  <w:style w:type="character" w:styleId="IntenseReference">
    <w:name w:val="Intense Reference"/>
    <w:basedOn w:val="DefaultParagraphFont"/>
    <w:uiPriority w:val="32"/>
    <w:qFormat/>
    <w:rsid w:val="00D77EBE"/>
    <w:rPr>
      <w:b/>
      <w:bCs/>
      <w:smallCaps/>
      <w:color w:val="auto"/>
      <w:spacing w:val="5"/>
      <w:u w:val="single"/>
    </w:rPr>
  </w:style>
  <w:style w:type="paragraph" w:customStyle="1" w:styleId="2ColumnHeading">
    <w:name w:val="2Column Heading"/>
    <w:basedOn w:val="BodyText"/>
    <w:qFormat/>
    <w:rsid w:val="00D77EBE"/>
    <w:pPr>
      <w:spacing w:after="60"/>
      <w:ind w:left="-2268"/>
    </w:pPr>
    <w:rPr>
      <w:b/>
    </w:rPr>
  </w:style>
  <w:style w:type="paragraph" w:customStyle="1" w:styleId="Heading1TOC">
    <w:name w:val="Heading1 TOC"/>
    <w:basedOn w:val="Normal"/>
    <w:qFormat/>
    <w:rsid w:val="00D77EBE"/>
    <w:pPr>
      <w:spacing w:before="240" w:after="120"/>
    </w:pPr>
    <w:rPr>
      <w:rFonts w:ascii="Times New Roman" w:hAnsi="Times New Roman"/>
      <w:b/>
      <w:sz w:val="32"/>
    </w:rPr>
  </w:style>
  <w:style w:type="paragraph" w:customStyle="1" w:styleId="Heading2TOC">
    <w:name w:val="Heading2 TOC"/>
    <w:basedOn w:val="Normal"/>
    <w:qFormat/>
    <w:rsid w:val="00D77EBE"/>
    <w:pPr>
      <w:spacing w:before="240" w:after="60"/>
    </w:pPr>
    <w:rPr>
      <w:rFonts w:ascii="Times New Roman" w:hAnsi="Times New Roman"/>
      <w:b/>
      <w:sz w:val="28"/>
    </w:rPr>
  </w:style>
  <w:style w:type="paragraph" w:styleId="BalloonText">
    <w:name w:val="Balloon Text"/>
    <w:basedOn w:val="Normal"/>
    <w:link w:val="BalloonTextChar"/>
    <w:rsid w:val="00D77EBE"/>
    <w:rPr>
      <w:rFonts w:ascii="Tahoma" w:hAnsi="Tahoma" w:cs="Tahoma"/>
      <w:sz w:val="16"/>
      <w:szCs w:val="16"/>
    </w:rPr>
  </w:style>
  <w:style w:type="character" w:customStyle="1" w:styleId="BalloonTextChar">
    <w:name w:val="Balloon Text Char"/>
    <w:basedOn w:val="DefaultParagraphFont"/>
    <w:link w:val="BalloonText"/>
    <w:rsid w:val="00D77E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E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7E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EBE"/>
    <w:rPr>
      <w:b/>
      <w:color w:val="660033"/>
      <w:spacing w:val="0"/>
    </w:rPr>
  </w:style>
  <w:style w:type="paragraph" w:customStyle="1" w:styleId="Nameditemlist">
    <w:name w:val="Named item list"/>
    <w:basedOn w:val="BodyText"/>
    <w:qFormat/>
    <w:rsid w:val="00D77E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1343</Words>
  <Characters>8275</Characters>
  <Application>Microsoft Office Word</Application>
  <DocSecurity>0</DocSecurity>
  <Lines>264</Lines>
  <Paragraphs>167</Paragraphs>
  <ScaleCrop>false</ScaleCrop>
  <Company>Author-it Software Corporation Ltd.</Company>
  <LinksUpToDate>false</LinksUpToDate>
  <CharactersWithSpaces>9544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PSPGOV524A Interpret data and related statistics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2012-11-01T18:10:00Z</dcterms:created>
  <dcterms:modified xsi:type="dcterms:W3CDTF">2012-11-01T18:10:00Z</dcterms:modified>
</cp:coreProperties>
</file>