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FD6" w:rsidP="008F7FD6">
      <w:pPr>
        <w:pStyle w:val="Title"/>
      </w:pPr>
      <w:bookmarkStart w:id="0" w:name="_GoBack"/>
      <w:bookmarkEnd w:id="0"/>
      <w:r>
        <w:fldChar w:fldCharType="begin"/>
      </w:r>
      <w:r>
        <w:instrText xml:space="preserve"> TITLE   \* MERGEFORMAT </w:instrText>
      </w:r>
      <w:r>
        <w:fldChar w:fldCharType="separate"/>
      </w:r>
      <w:r>
        <w:t>PSPGOV520A Scope statistical data collection</w:t>
      </w:r>
      <w:r>
        <w:fldChar w:fldCharType="end"/>
      </w:r>
    </w:p>
    <w:p w:rsidR="008F7FD6" w:rsidP="008F7FD6">
      <w:pPr>
        <w:pStyle w:val="Version"/>
        <w:sectPr w:rsidSect="00B661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66109" w:rsidP="00B66109">
      <w:pPr>
        <w:pStyle w:val="SuperHeading"/>
      </w:pPr>
      <w:r w:rsidRPr="00B66109">
        <w:t>PSPGOV520A Scope statistical data collection</w:t>
      </w:r>
    </w:p>
    <w:p w:rsidR="00000000" w:rsidRPr="00B66109" w:rsidP="00B66109">
      <w:pPr>
        <w:pStyle w:val="SuperHeading"/>
      </w:pPr>
    </w:p>
    <w:p w:rsidR="00000000" w:rsidRPr="00B66109" w:rsidP="00B66109">
      <w:pPr>
        <w:pStyle w:val="Heading1"/>
      </w:pPr>
      <w:bookmarkStart w:id="1" w:name="O_493580"/>
      <w:bookmarkEnd w:id="1"/>
      <w:r w:rsidRPr="00B66109">
        <w:t>Modification History</w:t>
      </w:r>
    </w:p>
    <w:tbl>
      <w:tblPr>
        <w:tblW w:w="0" w:type="auto"/>
        <w:tblLayout w:type="fixed"/>
        <w:tblCellMar>
          <w:left w:w="62" w:type="dxa"/>
          <w:right w:w="62" w:type="dxa"/>
        </w:tblCellMar>
        <w:tblLook w:val="0000"/>
      </w:tblPr>
      <w:tblGrid>
        <w:gridCol w:w="3052"/>
        <w:gridCol w:w="3052"/>
        <w:gridCol w:w="3052"/>
      </w:tblGrid>
      <w:tr w:rsidTr="008F7FD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109" w:rsidP="00B66109">
            <w:pPr>
              <w:pStyle w:val="BodyText"/>
            </w:pPr>
            <w:r w:rsidRPr="00B6610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109" w:rsidP="00B66109">
            <w:pPr>
              <w:pStyle w:val="BodyText"/>
            </w:pPr>
            <w:r w:rsidRPr="00B6610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rPr>
                <w:rStyle w:val="SpecialBold"/>
              </w:rPr>
              <w:t>Comments</w:t>
            </w:r>
          </w:p>
        </w:tc>
      </w:tr>
      <w:tr w:rsidTr="008F7FD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Unit descriptor edited.</w:t>
            </w:r>
          </w:p>
        </w:tc>
      </w:tr>
      <w:tr w:rsidTr="008F7FD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Layout adjusted. No changes to content.</w:t>
            </w:r>
          </w:p>
        </w:tc>
      </w:tr>
      <w:tr w:rsidTr="008F7FD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109" w:rsidP="00B66109">
            <w:pPr>
              <w:pStyle w:val="BodyText"/>
            </w:pPr>
            <w:r w:rsidRPr="00B66109">
              <w:t>Primary release.</w:t>
            </w:r>
          </w:p>
        </w:tc>
      </w:tr>
    </w:tbl>
    <w:p w:rsidR="008F7FD6" w:rsidP="00B66109">
      <w:pPr>
        <w:pStyle w:val="BodyText"/>
      </w:pPr>
    </w:p>
    <w:p w:rsidR="008F7FD6" w:rsidP="00B66109">
      <w:pPr>
        <w:pStyle w:val="BodyText"/>
      </w:pPr>
    </w:p>
    <w:p w:rsidR="00000000" w:rsidRPr="00B66109" w:rsidP="00B66109">
      <w:pPr>
        <w:pStyle w:val="Heading1"/>
      </w:pPr>
      <w:bookmarkStart w:id="2" w:name="O_493582"/>
      <w:bookmarkEnd w:id="2"/>
      <w:r w:rsidRPr="00B66109">
        <w:t>Unit Descriptor</w:t>
      </w:r>
    </w:p>
    <w:p w:rsidR="00000000" w:rsidRPr="00B66109" w:rsidP="00B66109">
      <w:pPr>
        <w:pStyle w:val="BodyText"/>
      </w:pPr>
      <w:r w:rsidRPr="00B66109">
        <w:t>This unit covers the process of clearly identifying the scope of a statistical data collection project and the expected outputs to meet user require</w:t>
      </w:r>
      <w:r w:rsidRPr="00B66109">
        <w:t>ments. It includes defining the purpose/outputs, defining the scope, researching and identifying possible sources of data, developing project documentation, determining resource requirements and confirming project feasibility.</w:t>
      </w:r>
    </w:p>
    <w:p w:rsidR="00000000" w:rsidRPr="00B66109" w:rsidP="00B66109">
      <w:pPr>
        <w:pStyle w:val="BodyText"/>
      </w:pPr>
      <w:r w:rsidRPr="00B66109">
        <w:t>In practice, scoping data col</w:t>
      </w:r>
      <w:r w:rsidRPr="00B66109">
        <w:t xml:space="preserve">lection may overlap with other generalist or specialist public sector work activities such as acting ethically, complying with legislation, providing client service, working safely, initiating a project, undertaking research and analysis, etc. </w:t>
      </w:r>
    </w:p>
    <w:p w:rsidR="00000000" w:rsidRPr="00B66109" w:rsidP="00B66109">
      <w:pPr>
        <w:pStyle w:val="BodyText"/>
      </w:pPr>
      <w:r w:rsidRPr="00B66109">
        <w:t>This is one</w:t>
      </w:r>
      <w:r w:rsidRPr="00B66109">
        <w:t xml:space="preserve"> of 5 units of competency in the </w:t>
      </w:r>
      <w:r w:rsidRPr="00B66109">
        <w:rPr>
          <w:rStyle w:val="Emphasis"/>
        </w:rPr>
        <w:t>Working in Government</w:t>
      </w:r>
      <w:r w:rsidRPr="00B66109">
        <w:t xml:space="preserve"> Competency Field that deal with statistics. Related units are:</w:t>
      </w:r>
    </w:p>
    <w:p w:rsidR="00000000" w:rsidRPr="00B66109" w:rsidP="00B66109">
      <w:pPr>
        <w:pStyle w:val="ListBullet"/>
      </w:pPr>
      <w:r w:rsidRPr="00B66109">
        <w:t>PSPGOV521A Collect statistical data</w:t>
      </w:r>
    </w:p>
    <w:p w:rsidR="00000000" w:rsidRPr="00B66109" w:rsidP="00B66109">
      <w:pPr>
        <w:pStyle w:val="ListBullet"/>
      </w:pPr>
      <w:r w:rsidRPr="00B66109">
        <w:t>PSPGOV522A Process statistical data</w:t>
      </w:r>
    </w:p>
    <w:p w:rsidR="00000000" w:rsidRPr="00B66109" w:rsidP="00B66109">
      <w:pPr>
        <w:pStyle w:val="ListBullet"/>
      </w:pPr>
      <w:r w:rsidRPr="00B66109">
        <w:t>PSPGOV523A Interrogate and analyse statistical data</w:t>
      </w:r>
    </w:p>
    <w:p w:rsidR="00000000" w:rsidRPr="00B66109" w:rsidP="00B66109">
      <w:pPr>
        <w:pStyle w:val="ListBullet"/>
      </w:pPr>
      <w:r w:rsidRPr="00B66109">
        <w:t>PSPGOV524A Interpret data and related statistics</w:t>
      </w:r>
    </w:p>
    <w:p w:rsidR="00000000" w:rsidRPr="00B66109" w:rsidP="00B66109">
      <w:pPr>
        <w:pStyle w:val="ListBullet"/>
      </w:pPr>
    </w:p>
    <w:p w:rsidR="00000000" w:rsidRPr="00B66109" w:rsidP="00B66109">
      <w:pPr>
        <w:pStyle w:val="ListBullet"/>
      </w:pPr>
      <w:r w:rsidRPr="00B66109">
        <w:t>No licensing, legislative, regulatory or certification requirements apply to this unit at the time of publication</w:t>
      </w:r>
    </w:p>
    <w:p w:rsidR="00000000" w:rsidRPr="00B66109" w:rsidP="00B66109">
      <w:pPr>
        <w:pStyle w:val="AllowPageBreak"/>
      </w:pPr>
    </w:p>
    <w:p w:rsidR="00000000" w:rsidRPr="00B66109" w:rsidP="00B66109">
      <w:pPr>
        <w:pStyle w:val="Heading1"/>
      </w:pPr>
      <w:bookmarkStart w:id="3" w:name="O_493589"/>
      <w:bookmarkEnd w:id="3"/>
      <w:r w:rsidRPr="00B66109">
        <w:t>Application of the Unit</w:t>
      </w:r>
    </w:p>
    <w:p w:rsidR="00000000" w:rsidRPr="00B66109" w:rsidP="00B66109">
      <w:pPr>
        <w:pStyle w:val="BodyText"/>
      </w:pPr>
      <w:r w:rsidRPr="00B66109">
        <w:t>Not applicable.</w:t>
      </w:r>
    </w:p>
    <w:p w:rsidR="00000000" w:rsidRPr="00B66109" w:rsidP="00B66109">
      <w:pPr>
        <w:pStyle w:val="AllowPageBreak"/>
      </w:pPr>
    </w:p>
    <w:p w:rsidR="00000000" w:rsidRPr="00B66109" w:rsidP="00B66109">
      <w:pPr>
        <w:pStyle w:val="Heading1"/>
      </w:pPr>
      <w:bookmarkStart w:id="4" w:name="O_493576"/>
      <w:bookmarkEnd w:id="4"/>
      <w:r w:rsidRPr="00B66109">
        <w:t>Licensing/Regulato</w:t>
      </w:r>
      <w:r w:rsidRPr="00B66109">
        <w:t>ry Information</w:t>
      </w:r>
    </w:p>
    <w:p w:rsidR="00000000" w:rsidRPr="00B66109" w:rsidP="00B66109">
      <w:pPr>
        <w:pStyle w:val="BodyText"/>
      </w:pPr>
      <w:r w:rsidRPr="00B66109">
        <w:t>Not applicable.</w:t>
      </w:r>
    </w:p>
    <w:p w:rsidR="00000000" w:rsidRPr="00B66109" w:rsidP="00B66109">
      <w:pPr>
        <w:pStyle w:val="AllowPageBreak"/>
      </w:pPr>
    </w:p>
    <w:p w:rsidR="00000000" w:rsidRPr="00B66109" w:rsidP="00B66109">
      <w:pPr>
        <w:pStyle w:val="Heading1"/>
      </w:pPr>
      <w:bookmarkStart w:id="5" w:name="O_493577"/>
      <w:bookmarkEnd w:id="5"/>
      <w:r w:rsidRPr="00B66109">
        <w:t>Pre-Requisites</w:t>
      </w:r>
    </w:p>
    <w:p w:rsidR="00000000" w:rsidRPr="00B66109" w:rsidP="00B66109">
      <w:pPr>
        <w:pStyle w:val="BodyText"/>
      </w:pPr>
      <w:r w:rsidRPr="00B66109">
        <w:t>Not applicable.</w:t>
      </w:r>
    </w:p>
    <w:p w:rsidR="00000000" w:rsidRPr="00B66109" w:rsidP="00B66109">
      <w:pPr>
        <w:pStyle w:val="AllowPageBreak"/>
      </w:pPr>
    </w:p>
    <w:p w:rsidR="00000000" w:rsidRPr="00B66109" w:rsidP="00B66109">
      <w:pPr>
        <w:pStyle w:val="Heading1"/>
      </w:pPr>
      <w:bookmarkStart w:id="6" w:name="O_493585"/>
      <w:bookmarkEnd w:id="6"/>
      <w:r w:rsidRPr="00B66109">
        <w:t>Employability Skills Information</w:t>
      </w:r>
    </w:p>
    <w:p w:rsidR="00000000" w:rsidRPr="00B66109" w:rsidP="00B66109">
      <w:pPr>
        <w:pStyle w:val="BodyText"/>
      </w:pPr>
      <w:r w:rsidRPr="00B66109">
        <w:t>This unit contains employability skills.</w:t>
      </w:r>
    </w:p>
    <w:p w:rsidR="00000000" w:rsidRPr="00B66109" w:rsidP="00B66109">
      <w:pPr>
        <w:pStyle w:val="AllowPageBreak"/>
      </w:pPr>
    </w:p>
    <w:p w:rsidR="00000000" w:rsidRPr="00B66109" w:rsidP="00B66109">
      <w:pPr>
        <w:pStyle w:val="Heading1"/>
      </w:pPr>
      <w:bookmarkStart w:id="7" w:name="O_493586"/>
      <w:bookmarkEnd w:id="7"/>
      <w:r w:rsidRPr="00B66109">
        <w:t>Elements and Performance Criteria Pre-Content</w:t>
      </w:r>
    </w:p>
    <w:tbl>
      <w:tblPr>
        <w:tblW w:w="9322" w:type="dxa"/>
        <w:tblLayout w:type="fixed"/>
        <w:tblCellMar>
          <w:left w:w="62" w:type="dxa"/>
          <w:right w:w="62" w:type="dxa"/>
        </w:tblCellMar>
        <w:tblLook w:val="0000"/>
      </w:tblPr>
      <w:tblGrid>
        <w:gridCol w:w="2660"/>
        <w:gridCol w:w="6662"/>
      </w:tblGrid>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BodyText"/>
              <w:rPr>
                <w:lang w:val="en-NZ"/>
              </w:rPr>
            </w:pPr>
            <w:r w:rsidRPr="00B6610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t>Together, performance criteria specify the requirements for competent performance. Text in</w:t>
            </w:r>
            <w:r w:rsidRPr="00B66109">
              <w:rPr>
                <w:rStyle w:val="BoldandItalics"/>
              </w:rPr>
              <w:t xml:space="preserve"> bold italics</w:t>
            </w:r>
            <w:r w:rsidRPr="00B66109">
              <w:t xml:space="preserve"> is explained in the Range Statement following.</w:t>
            </w:r>
          </w:p>
        </w:tc>
      </w:tr>
    </w:tbl>
    <w:p w:rsidR="00000000" w:rsidRPr="00B66109" w:rsidP="00B66109">
      <w:pPr>
        <w:pStyle w:val="BodyText"/>
      </w:pPr>
    </w:p>
    <w:p w:rsidR="00000000" w:rsidRPr="00B66109" w:rsidP="00B66109">
      <w:pPr>
        <w:pStyle w:val="AllowPageBreak"/>
      </w:pPr>
    </w:p>
    <w:p w:rsidR="00000000" w:rsidRPr="00B66109" w:rsidP="00B66109">
      <w:pPr>
        <w:pStyle w:val="Heading1"/>
      </w:pPr>
      <w:bookmarkStart w:id="8" w:name="O_493587"/>
      <w:bookmarkEnd w:id="8"/>
      <w:r w:rsidRPr="00B66109">
        <w:t>Elements and Performance Criteria</w:t>
      </w:r>
    </w:p>
    <w:tbl>
      <w:tblPr>
        <w:tblW w:w="9322" w:type="dxa"/>
        <w:tblLayout w:type="fixed"/>
        <w:tblCellMar>
          <w:left w:w="62" w:type="dxa"/>
          <w:right w:w="62" w:type="dxa"/>
        </w:tblCellMar>
        <w:tblLook w:val="0000"/>
      </w:tblPr>
      <w:tblGrid>
        <w:gridCol w:w="2660"/>
        <w:gridCol w:w="6662"/>
      </w:tblGrid>
      <w:tr w:rsidTr="008F7FD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66109">
            <w:pPr>
              <w:pStyle w:val="BodyText"/>
              <w:rPr>
                <w:lang w:val="en-NZ"/>
              </w:rPr>
            </w:pPr>
            <w:r w:rsidRPr="00B66109">
              <w:rPr>
                <w:rStyle w:val="SpecialBold"/>
              </w:rPr>
              <w:t>PERFORMANCE CRITERIA</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List"/>
              <w:rPr>
                <w:lang w:val="en-NZ"/>
              </w:rPr>
            </w:pPr>
            <w:r w:rsidRPr="00B66109">
              <w:rPr>
                <w:rStyle w:val="SpecialBold"/>
              </w:rPr>
              <w:t>1</w:t>
            </w:r>
            <w:r w:rsidRPr="00B66109">
              <w:t xml:space="preserve">. </w:t>
            </w:r>
            <w:r w:rsidRPr="00B66109">
              <w:tab/>
            </w:r>
            <w:r w:rsidRPr="00B66109">
              <w:rPr>
                <w:rStyle w:val="SpecialBold"/>
              </w:rPr>
              <w:t>Define purpose</w:t>
            </w:r>
            <w:r w:rsidRPr="00B66109">
              <w:t>/</w:t>
            </w:r>
            <w:r w:rsidRPr="00B66109">
              <w:rPr>
                <w:rStyle w:val="SpecialBold"/>
              </w:rPr>
              <w:t>outputs</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List"/>
            </w:pPr>
            <w:r w:rsidRPr="00B66109">
              <w:t>1.1</w:t>
            </w:r>
            <w:r w:rsidRPr="00B66109">
              <w:tab/>
              <w:t>Required deliverables are confirmed with relevant personnel/stakeholders.</w:t>
            </w:r>
          </w:p>
          <w:p w:rsidR="00000000" w:rsidRPr="00B66109" w:rsidP="00B66109">
            <w:pPr>
              <w:pStyle w:val="List"/>
            </w:pPr>
            <w:r w:rsidRPr="00B66109">
              <w:t>1.2</w:t>
            </w:r>
            <w:r w:rsidRPr="00B66109">
              <w:tab/>
              <w:t>Tasks are reviewed to identify requirements.</w:t>
            </w:r>
          </w:p>
          <w:p w:rsidR="00000000" w:rsidP="00B66109">
            <w:pPr>
              <w:pStyle w:val="List"/>
              <w:rPr>
                <w:lang w:val="en-NZ"/>
              </w:rPr>
            </w:pPr>
            <w:r w:rsidRPr="00B66109">
              <w:t>1.3</w:t>
            </w:r>
            <w:r w:rsidRPr="00B66109">
              <w:tab/>
              <w:t>Requirements are specified and con</w:t>
            </w:r>
            <w:r w:rsidRPr="00B66109">
              <w:t>firmed in accordance with organisational policy and procedures.</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List"/>
              <w:rPr>
                <w:lang w:val="en-NZ"/>
              </w:rPr>
            </w:pPr>
            <w:r w:rsidRPr="00B66109">
              <w:rPr>
                <w:rStyle w:val="SpecialBold"/>
              </w:rPr>
              <w:t>2</w:t>
            </w:r>
            <w:r w:rsidRPr="00B66109">
              <w:t xml:space="preserve">. </w:t>
            </w:r>
            <w:r w:rsidRPr="00B66109">
              <w:tab/>
            </w:r>
            <w:r w:rsidRPr="00B66109">
              <w:rPr>
                <w:rStyle w:val="SpecialBold"/>
              </w:rPr>
              <w:t>Define scope</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List"/>
            </w:pPr>
            <w:r w:rsidRPr="00B66109">
              <w:t>2.1</w:t>
            </w:r>
            <w:r w:rsidRPr="00B66109">
              <w:tab/>
              <w:t xml:space="preserve">The </w:t>
            </w:r>
            <w:r w:rsidRPr="00B66109">
              <w:rPr>
                <w:rStyle w:val="BoldandItalics"/>
              </w:rPr>
              <w:t xml:space="preserve">population </w:t>
            </w:r>
            <w:r w:rsidRPr="00B66109">
              <w:t>for the study is defined.</w:t>
            </w:r>
          </w:p>
          <w:p w:rsidR="00000000" w:rsidRPr="00B66109" w:rsidP="00B66109">
            <w:pPr>
              <w:pStyle w:val="List"/>
            </w:pPr>
            <w:r w:rsidRPr="00B66109">
              <w:t>2.2</w:t>
            </w:r>
            <w:r w:rsidRPr="00B66109">
              <w:tab/>
              <w:t>The audience for the project's outputs is defined.</w:t>
            </w:r>
          </w:p>
          <w:p w:rsidR="00000000" w:rsidRPr="00B66109" w:rsidP="00B66109">
            <w:pPr>
              <w:pStyle w:val="List"/>
            </w:pPr>
            <w:r w:rsidRPr="00B66109">
              <w:t>2.3</w:t>
            </w:r>
            <w:r w:rsidRPr="00B66109">
              <w:tab/>
              <w:t>Proposed hypotheses are defined and any anticipated issues identified.</w:t>
            </w:r>
          </w:p>
          <w:p w:rsidR="00000000" w:rsidRPr="00B66109" w:rsidP="00B66109">
            <w:pPr>
              <w:pStyle w:val="List"/>
            </w:pPr>
            <w:r w:rsidRPr="00B66109">
              <w:t>2.4</w:t>
            </w:r>
            <w:r w:rsidRPr="00B66109">
              <w:tab/>
              <w:t>The duration, sequence and inter-dependence of tasks are determined in consultation with stakeholders.</w:t>
            </w:r>
          </w:p>
          <w:p w:rsidR="00000000" w:rsidP="00B66109">
            <w:pPr>
              <w:pStyle w:val="List"/>
              <w:rPr>
                <w:lang w:val="en-NZ"/>
              </w:rPr>
            </w:pPr>
            <w:r w:rsidRPr="00B66109">
              <w:t>2.5</w:t>
            </w:r>
            <w:r w:rsidRPr="00B66109">
              <w:tab/>
              <w:t>The scope is specified and agreed in accordance with organisational policy and procedures.</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List"/>
              <w:rPr>
                <w:lang w:val="en-NZ"/>
              </w:rPr>
            </w:pPr>
            <w:r w:rsidRPr="00B66109">
              <w:rPr>
                <w:rStyle w:val="SpecialBold"/>
              </w:rPr>
              <w:t>3</w:t>
            </w:r>
            <w:r w:rsidRPr="00B66109">
              <w:t xml:space="preserve">. </w:t>
            </w:r>
            <w:r w:rsidRPr="00B66109">
              <w:tab/>
            </w:r>
            <w:r w:rsidRPr="00B66109">
              <w:rPr>
                <w:rStyle w:val="SpecialBold"/>
              </w:rPr>
              <w:t>Research and identify possible sources of data</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List"/>
            </w:pPr>
            <w:r w:rsidRPr="00B66109">
              <w:t>3</w:t>
            </w:r>
            <w:r w:rsidRPr="00B66109">
              <w:t>.1</w:t>
            </w:r>
            <w:r w:rsidRPr="00B66109">
              <w:tab/>
            </w:r>
            <w:r w:rsidRPr="00B66109">
              <w:rPr>
                <w:rStyle w:val="BoldandItalics"/>
              </w:rPr>
              <w:t>Data sources</w:t>
            </w:r>
            <w:r w:rsidRPr="00B66109">
              <w:t xml:space="preserve"> and statistics already in existence are identified.</w:t>
            </w:r>
          </w:p>
          <w:p w:rsidR="00000000" w:rsidRPr="00B66109" w:rsidP="00B66109">
            <w:pPr>
              <w:pStyle w:val="List"/>
            </w:pPr>
            <w:r w:rsidRPr="00B66109">
              <w:t>3.2</w:t>
            </w:r>
            <w:r w:rsidRPr="00B66109">
              <w:tab/>
              <w:t>Alternative sources of data are identified.</w:t>
            </w:r>
          </w:p>
          <w:p w:rsidR="00000000" w:rsidP="00B66109">
            <w:pPr>
              <w:pStyle w:val="List"/>
              <w:rPr>
                <w:lang w:val="en-NZ"/>
              </w:rPr>
            </w:pPr>
            <w:r w:rsidRPr="00B66109">
              <w:t>3.3</w:t>
            </w:r>
            <w:r w:rsidRPr="00B66109">
              <w:tab/>
              <w:t>Data is sourced to test hypotheses.</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List"/>
              <w:rPr>
                <w:lang w:val="en-NZ"/>
              </w:rPr>
            </w:pPr>
            <w:r w:rsidRPr="00B66109">
              <w:rPr>
                <w:rStyle w:val="SpecialBold"/>
              </w:rPr>
              <w:t>4</w:t>
            </w:r>
            <w:r w:rsidRPr="00B66109">
              <w:t xml:space="preserve">. </w:t>
            </w:r>
            <w:r w:rsidRPr="00B66109">
              <w:tab/>
            </w:r>
            <w:r w:rsidRPr="00B66109">
              <w:rPr>
                <w:rStyle w:val="SpecialBold"/>
              </w:rPr>
              <w:t>Develop project documentation</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List"/>
            </w:pPr>
            <w:r w:rsidRPr="00B66109">
              <w:t>4.1</w:t>
            </w:r>
            <w:r w:rsidRPr="00B66109">
              <w:tab/>
              <w:t xml:space="preserve">Information is collated and examined to determine the detail </w:t>
            </w:r>
            <w:r w:rsidRPr="00B66109">
              <w:t>required in project brief and specifications.</w:t>
            </w:r>
          </w:p>
          <w:p w:rsidR="00000000" w:rsidRPr="00B66109" w:rsidP="00B66109">
            <w:pPr>
              <w:pStyle w:val="List"/>
            </w:pPr>
            <w:r w:rsidRPr="00B66109">
              <w:t>4.2</w:t>
            </w:r>
            <w:r w:rsidRPr="00B66109">
              <w:tab/>
            </w:r>
            <w:r w:rsidRPr="00B66109">
              <w:rPr>
                <w:rStyle w:val="BoldandItalics"/>
              </w:rPr>
              <w:t>Statistical processes</w:t>
            </w:r>
            <w:r w:rsidRPr="00B66109">
              <w:t xml:space="preserve"> are identified for later use in conjunction with a suitably qualified person.</w:t>
            </w:r>
          </w:p>
          <w:p w:rsidR="00000000" w:rsidRPr="00B66109" w:rsidP="00B66109">
            <w:pPr>
              <w:pStyle w:val="List"/>
            </w:pPr>
            <w:r w:rsidRPr="00B66109">
              <w:t>4.3</w:t>
            </w:r>
            <w:r w:rsidRPr="00B66109">
              <w:tab/>
            </w:r>
            <w:r w:rsidRPr="00B66109">
              <w:rPr>
                <w:rStyle w:val="BoldandItalics"/>
              </w:rPr>
              <w:t>Legal and ethical issues</w:t>
            </w:r>
            <w:r w:rsidRPr="00B66109">
              <w:t xml:space="preserve"> relating to the collection of data are identified and addressed.</w:t>
            </w:r>
          </w:p>
          <w:p w:rsidR="00000000" w:rsidRPr="00B66109" w:rsidP="00B66109">
            <w:pPr>
              <w:pStyle w:val="List"/>
            </w:pPr>
            <w:r w:rsidRPr="00B66109">
              <w:t>4.4</w:t>
            </w:r>
            <w:r w:rsidRPr="00B66109">
              <w:tab/>
              <w:t>The fina</w:t>
            </w:r>
            <w:r w:rsidRPr="00B66109">
              <w:t>l reporting medium is identified.</w:t>
            </w:r>
          </w:p>
          <w:p w:rsidR="00000000" w:rsidRPr="00B66109" w:rsidP="00B66109">
            <w:pPr>
              <w:pStyle w:val="List"/>
            </w:pPr>
            <w:r w:rsidRPr="00B66109">
              <w:t>4.5</w:t>
            </w:r>
            <w:r w:rsidRPr="00B66109">
              <w:tab/>
              <w:t>Anticipated communication strategies are determined.</w:t>
            </w:r>
          </w:p>
          <w:p w:rsidR="00000000" w:rsidP="00B66109">
            <w:pPr>
              <w:pStyle w:val="List"/>
              <w:rPr>
                <w:lang w:val="en-NZ"/>
              </w:rPr>
            </w:pPr>
            <w:r w:rsidRPr="00B66109">
              <w:t>4.6</w:t>
            </w:r>
            <w:r w:rsidRPr="00B66109">
              <w:tab/>
              <w:t>Risk management strategies are developed in accordance with organisational policy and procedures.</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List"/>
              <w:rPr>
                <w:lang w:val="en-NZ"/>
              </w:rPr>
            </w:pPr>
            <w:r w:rsidRPr="00B66109">
              <w:rPr>
                <w:rStyle w:val="SpecialBold"/>
              </w:rPr>
              <w:t>5</w:t>
            </w:r>
            <w:r w:rsidRPr="00B66109">
              <w:t xml:space="preserve">. </w:t>
            </w:r>
            <w:r w:rsidRPr="00B66109">
              <w:tab/>
            </w:r>
            <w:r w:rsidRPr="00B66109">
              <w:rPr>
                <w:rStyle w:val="SpecialBold"/>
              </w:rPr>
              <w:t>Determine resource requirements</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List"/>
            </w:pPr>
            <w:r w:rsidRPr="00B66109">
              <w:t>5.1</w:t>
            </w:r>
            <w:r w:rsidRPr="00B66109">
              <w:tab/>
              <w:t>Project/survey costs a</w:t>
            </w:r>
            <w:r w:rsidRPr="00B66109">
              <w:t>re estimated to enable budgets to be developed and implemented in accordance with</w:t>
            </w:r>
            <w:r w:rsidRPr="00B66109">
              <w:rPr>
                <w:rStyle w:val="BoldandItalics"/>
              </w:rPr>
              <w:t xml:space="preserve"> legislation, policy and procedures</w:t>
            </w:r>
            <w:r w:rsidRPr="00B66109">
              <w:rPr>
                <w:rStyle w:val="Emphasis"/>
              </w:rPr>
              <w:t>.</w:t>
            </w:r>
          </w:p>
          <w:p w:rsidR="00000000" w:rsidRPr="00B66109" w:rsidP="00B66109">
            <w:pPr>
              <w:pStyle w:val="List"/>
            </w:pPr>
            <w:r w:rsidRPr="00B66109">
              <w:t>5.2</w:t>
            </w:r>
            <w:r w:rsidRPr="00B66109">
              <w:tab/>
              <w:t>Information technology requirements are identified.</w:t>
            </w:r>
          </w:p>
          <w:p w:rsidR="00000000" w:rsidRPr="00B66109" w:rsidP="00B66109">
            <w:pPr>
              <w:pStyle w:val="List"/>
            </w:pPr>
            <w:r w:rsidRPr="00B66109">
              <w:t>5.3</w:t>
            </w:r>
            <w:r w:rsidRPr="00B66109">
              <w:tab/>
              <w:t>Any special equipment or resource requirements are identified.</w:t>
            </w:r>
          </w:p>
          <w:p w:rsidR="00000000" w:rsidP="00B66109">
            <w:pPr>
              <w:pStyle w:val="List"/>
              <w:rPr>
                <w:lang w:val="en-NZ"/>
              </w:rPr>
            </w:pPr>
            <w:r w:rsidRPr="00B66109">
              <w:t>5.4</w:t>
            </w:r>
            <w:r w:rsidRPr="00B66109">
              <w:tab/>
            </w:r>
            <w:r w:rsidRPr="00B66109">
              <w:t>Equipment and material requirements are accessed according to the project/survey requirements.</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List"/>
              <w:rPr>
                <w:lang w:val="en-NZ"/>
              </w:rPr>
            </w:pPr>
            <w:r w:rsidRPr="00B66109">
              <w:rPr>
                <w:rStyle w:val="SpecialBold"/>
              </w:rPr>
              <w:t>6</w:t>
            </w:r>
            <w:r w:rsidRPr="00B66109">
              <w:t xml:space="preserve">. </w:t>
            </w:r>
            <w:r w:rsidRPr="00B66109">
              <w:tab/>
            </w:r>
            <w:r w:rsidRPr="00B66109">
              <w:rPr>
                <w:rStyle w:val="SpecialBold"/>
              </w:rPr>
              <w:t>Confirm feasibility</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List"/>
            </w:pPr>
            <w:r w:rsidRPr="00B66109">
              <w:t>6.1</w:t>
            </w:r>
            <w:r w:rsidRPr="00B66109">
              <w:tab/>
              <w:t>Identified variations to the feasibility of the project/survey are determined and documented to enable adjustments to be made.</w:t>
            </w:r>
          </w:p>
          <w:p w:rsidR="00000000" w:rsidRPr="00B66109" w:rsidP="00B66109">
            <w:pPr>
              <w:pStyle w:val="List"/>
            </w:pPr>
            <w:r w:rsidRPr="00B66109">
              <w:t>6.2</w:t>
            </w:r>
            <w:r w:rsidRPr="00B66109">
              <w:tab/>
              <w:t>A</w:t>
            </w:r>
            <w:r w:rsidRPr="00B66109">
              <w:t>djusted feasibility of the project/survey is evaluated to confirm progress of the project.</w:t>
            </w:r>
          </w:p>
          <w:p w:rsidR="00000000" w:rsidRPr="00B66109" w:rsidP="00B66109">
            <w:pPr>
              <w:pStyle w:val="List"/>
            </w:pPr>
            <w:r w:rsidRPr="00B66109">
              <w:t>6.3</w:t>
            </w:r>
            <w:r w:rsidRPr="00B66109">
              <w:tab/>
              <w:t>Feasibility is confirmed and the project is approved in accordance with organisational policy and procedures.</w:t>
            </w:r>
          </w:p>
        </w:tc>
      </w:tr>
    </w:tbl>
    <w:p w:rsidR="00000000" w:rsidRPr="00B66109" w:rsidP="00B66109">
      <w:pPr>
        <w:pStyle w:val="BodyText"/>
      </w:pPr>
    </w:p>
    <w:p w:rsidR="00000000" w:rsidRPr="00B66109" w:rsidP="00B66109">
      <w:pPr>
        <w:pStyle w:val="AllowPageBreak"/>
      </w:pPr>
    </w:p>
    <w:p w:rsidR="00000000" w:rsidRPr="00B66109" w:rsidP="00B66109">
      <w:pPr>
        <w:pStyle w:val="Heading1"/>
      </w:pPr>
      <w:bookmarkStart w:id="9" w:name="O_493579"/>
      <w:bookmarkEnd w:id="9"/>
      <w:r w:rsidRPr="00B66109">
        <w:t>Required Skills and Knowledge</w:t>
      </w:r>
    </w:p>
    <w:tbl>
      <w:tblPr>
        <w:tblW w:w="0" w:type="auto"/>
        <w:tblLayout w:type="fixed"/>
        <w:tblCellMar>
          <w:left w:w="62" w:type="dxa"/>
          <w:right w:w="62" w:type="dxa"/>
        </w:tblCellMar>
        <w:tblLook w:val="0000"/>
      </w:tblPr>
      <w:tblGrid>
        <w:gridCol w:w="8544"/>
        <w:gridCol w:w="9"/>
      </w:tblGrid>
      <w:tr w:rsidTr="008F7FD6">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B66109">
            <w:pPr>
              <w:pStyle w:val="BodyText"/>
              <w:rPr>
                <w:lang w:val="en-NZ"/>
              </w:rPr>
            </w:pPr>
            <w:r w:rsidRPr="00B66109">
              <w:t>This section describes the essential skills and knowledge and their level, required for this unit.</w:t>
            </w:r>
          </w:p>
        </w:tc>
      </w:tr>
      <w:tr w:rsidTr="008F7FD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rPr>
                <w:rStyle w:val="SpecialBold"/>
              </w:rPr>
              <w:t>Skill requirements</w:t>
            </w:r>
          </w:p>
          <w:p w:rsidR="00000000" w:rsidRPr="00B66109" w:rsidP="00B66109">
            <w:pPr>
              <w:pStyle w:val="BodyText"/>
            </w:pPr>
            <w:r w:rsidRPr="00B66109">
              <w:t>Look for evidence that confirms skills in:</w:t>
            </w:r>
          </w:p>
          <w:p w:rsidR="00000000" w:rsidRPr="00B66109" w:rsidP="00B66109">
            <w:pPr>
              <w:pStyle w:val="ListBullet"/>
            </w:pPr>
            <w:r w:rsidRPr="00B66109">
              <w:t xml:space="preserve">applying legislation, regulations and policies relating to statistical data </w:t>
            </w:r>
            <w:r w:rsidRPr="00B66109">
              <w:t xml:space="preserve">collection in the public sector </w:t>
            </w:r>
          </w:p>
          <w:p w:rsidR="00000000" w:rsidRPr="00B66109" w:rsidP="00B66109">
            <w:pPr>
              <w:pStyle w:val="ListBullet"/>
            </w:pPr>
            <w:r w:rsidRPr="00B66109">
              <w:t>using numeracy skills to estimate costs, assess data sources and schedule tasks</w:t>
            </w:r>
          </w:p>
          <w:p w:rsidR="00000000" w:rsidRPr="00B66109" w:rsidP="00B66109">
            <w:pPr>
              <w:pStyle w:val="ListBullet"/>
            </w:pPr>
            <w:r w:rsidRPr="00B66109">
              <w:t>managing statistical projects</w:t>
            </w:r>
          </w:p>
          <w:p w:rsidR="00000000" w:rsidRPr="00B66109" w:rsidP="00B66109">
            <w:pPr>
              <w:pStyle w:val="ListBullet"/>
            </w:pPr>
            <w:r w:rsidRPr="00B66109">
              <w:t xml:space="preserve">communicating with a diverse range of stakeholders including consultation and negotiation </w:t>
            </w:r>
          </w:p>
          <w:p w:rsidR="00000000" w:rsidRPr="00B66109" w:rsidP="00B66109">
            <w:pPr>
              <w:pStyle w:val="ListBullet"/>
            </w:pPr>
            <w:r w:rsidRPr="00B66109">
              <w:t>applying time manageme</w:t>
            </w:r>
            <w:r w:rsidRPr="00B66109">
              <w:t xml:space="preserve">nt </w:t>
            </w:r>
          </w:p>
          <w:p w:rsidR="00000000" w:rsidRPr="00B66109" w:rsidP="00B66109">
            <w:pPr>
              <w:pStyle w:val="ListBullet"/>
            </w:pPr>
            <w:r w:rsidRPr="00B66109">
              <w:t xml:space="preserve">applying problem solving </w:t>
            </w:r>
          </w:p>
          <w:p w:rsidR="00000000" w:rsidRPr="00B66109" w:rsidP="00B66109">
            <w:pPr>
              <w:pStyle w:val="ListBullet"/>
            </w:pPr>
            <w:r w:rsidRPr="00B66109">
              <w:t>using information technology including databases and spreadsheets</w:t>
            </w:r>
          </w:p>
          <w:p w:rsidR="00000000" w:rsidRPr="00B66109" w:rsidP="00B66109">
            <w:pPr>
              <w:pStyle w:val="ListBullet"/>
            </w:pPr>
            <w:r w:rsidRPr="00B66109">
              <w:t>differentiating between primary and secondary data sources</w:t>
            </w:r>
          </w:p>
          <w:p w:rsidR="00000000" w:rsidRPr="00B66109" w:rsidP="00B66109">
            <w:pPr>
              <w:pStyle w:val="ListBullet"/>
            </w:pPr>
            <w:r w:rsidRPr="00B66109">
              <w:t>responding to diversity, including gender and disability</w:t>
            </w:r>
          </w:p>
          <w:p w:rsidR="00000000" w:rsidP="00B66109">
            <w:pPr>
              <w:pStyle w:val="ListBullet"/>
              <w:rPr>
                <w:lang w:val="en-NZ"/>
              </w:rPr>
            </w:pPr>
            <w:r w:rsidRPr="00B66109">
              <w:t>applying procedures relating to occupational</w:t>
            </w:r>
            <w:r w:rsidRPr="00B66109">
              <w:t xml:space="preserve"> health and safety and environment in the context of statistical data collection</w:t>
            </w:r>
          </w:p>
        </w:tc>
      </w:tr>
      <w:tr w:rsidTr="008F7FD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rPr>
                <w:rStyle w:val="SpecialBold"/>
              </w:rPr>
              <w:t>Knowledge requirements</w:t>
            </w:r>
            <w:r w:rsidRPr="00B66109">
              <w:t xml:space="preserve"> </w:t>
            </w:r>
          </w:p>
          <w:p w:rsidR="00000000" w:rsidRPr="00B66109" w:rsidP="00B66109">
            <w:pPr>
              <w:pStyle w:val="BodyText"/>
            </w:pPr>
            <w:r w:rsidRPr="00B66109">
              <w:t>Look for evidence that confirms knowledge and understanding of:</w:t>
            </w:r>
          </w:p>
          <w:p w:rsidR="00000000" w:rsidRPr="00B66109" w:rsidP="00B66109">
            <w:pPr>
              <w:pStyle w:val="ListBullet"/>
            </w:pPr>
            <w:r w:rsidRPr="00B66109">
              <w:t>legislation, regulations, policies, procedures and guidelines relating to statistical data collection in the public sector, such as freedom of information, privacy</w:t>
            </w:r>
          </w:p>
          <w:p w:rsidR="00000000" w:rsidRPr="00B66109" w:rsidP="00B66109">
            <w:pPr>
              <w:pStyle w:val="ListBullet"/>
            </w:pPr>
            <w:r w:rsidRPr="00B66109">
              <w:t>the limitations of the statistics being worked on</w:t>
            </w:r>
          </w:p>
          <w:p w:rsidR="00000000" w:rsidRPr="00B66109" w:rsidP="00B66109">
            <w:pPr>
              <w:pStyle w:val="ListBullet"/>
            </w:pPr>
            <w:r w:rsidRPr="00B66109">
              <w:t>the way statistics can be used to inform p</w:t>
            </w:r>
            <w:r w:rsidRPr="00B66109">
              <w:t>olicy development</w:t>
            </w:r>
          </w:p>
          <w:p w:rsidR="00000000" w:rsidRPr="00B66109" w:rsidP="00B66109">
            <w:pPr>
              <w:pStyle w:val="ListBullet"/>
            </w:pPr>
            <w:r w:rsidRPr="00B66109">
              <w:t>statistical standards and classification systems</w:t>
            </w:r>
          </w:p>
          <w:p w:rsidR="00000000" w:rsidRPr="00B66109" w:rsidP="00B66109">
            <w:pPr>
              <w:pStyle w:val="ListBullet"/>
            </w:pPr>
            <w:r w:rsidRPr="00B66109">
              <w:t>the differences between primary and secondary data sources</w:t>
            </w:r>
          </w:p>
          <w:p w:rsidR="00000000" w:rsidRPr="00B66109" w:rsidP="00B66109">
            <w:pPr>
              <w:pStyle w:val="ListBullet"/>
            </w:pPr>
            <w:r w:rsidRPr="00B66109">
              <w:t>equal employment opportunity, equity and diversity principles</w:t>
            </w:r>
          </w:p>
          <w:p w:rsidR="00000000" w:rsidRPr="00B66109" w:rsidP="00B66109">
            <w:pPr>
              <w:pStyle w:val="ListBullet"/>
            </w:pPr>
            <w:r w:rsidRPr="00B66109">
              <w:t>public sector legislation such as occupational health and safety and</w:t>
            </w:r>
            <w:r w:rsidRPr="00B66109">
              <w:t xml:space="preserve"> environment in the context of statistical data collection</w:t>
            </w:r>
          </w:p>
        </w:tc>
      </w:tr>
    </w:tbl>
    <w:p w:rsidR="00000000" w:rsidRPr="00B66109" w:rsidP="00B66109">
      <w:pPr>
        <w:pStyle w:val="BodyText"/>
      </w:pPr>
    </w:p>
    <w:p w:rsidR="00000000" w:rsidRPr="00B66109" w:rsidP="00B66109">
      <w:pPr>
        <w:pStyle w:val="AllowPageBreak"/>
      </w:pPr>
    </w:p>
    <w:p w:rsidR="00000000" w:rsidRPr="00B66109" w:rsidP="00B66109">
      <w:pPr>
        <w:pStyle w:val="Heading1"/>
      </w:pPr>
      <w:bookmarkStart w:id="10" w:name="O_493584"/>
      <w:bookmarkEnd w:id="10"/>
      <w:r w:rsidRPr="00B66109">
        <w:t>Evidence Guide</w:t>
      </w:r>
    </w:p>
    <w:tbl>
      <w:tblPr>
        <w:tblW w:w="9322" w:type="dxa"/>
        <w:tblLayout w:type="fixed"/>
        <w:tblCellMar>
          <w:left w:w="62" w:type="dxa"/>
          <w:right w:w="62" w:type="dxa"/>
        </w:tblCellMar>
        <w:tblLook w:val="0000"/>
      </w:tblPr>
      <w:tblGrid>
        <w:gridCol w:w="2660"/>
        <w:gridCol w:w="6662"/>
      </w:tblGrid>
      <w:tr w:rsidTr="008F7FD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66109">
            <w:pPr>
              <w:pStyle w:val="BodyText"/>
              <w:rPr>
                <w:lang w:val="en-NZ"/>
              </w:rPr>
            </w:pPr>
            <w:r w:rsidRPr="00B66109">
              <w:t>The Evidence Guide specifies the evidence required to demonstrate achievement in the unit of competency as a whole. It must be read in conjunction with the Unit de</w:t>
            </w:r>
            <w:r w:rsidRPr="00B66109">
              <w:t>scriptor, Performance Criteria, the Range Statement and the Assessment Guidelines for the Public Sector Training Package.</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rPr>
                <w:rStyle w:val="SpecialBold"/>
              </w:rPr>
              <w:t>Units to be assessed together</w:t>
            </w:r>
            <w:r w:rsidRPr="00B66109">
              <w:t xml:space="preserve"> </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ListBullet"/>
            </w:pPr>
            <w:r w:rsidRPr="00B66109">
              <w:rPr>
                <w:rStyle w:val="Emphasis"/>
              </w:rPr>
              <w:t>Pre</w:t>
            </w:r>
            <w:r w:rsidRPr="00B66109">
              <w:t>-</w:t>
            </w:r>
            <w:r w:rsidRPr="00B66109">
              <w:rPr>
                <w:rStyle w:val="Emphasis"/>
              </w:rPr>
              <w:t>requisite</w:t>
            </w:r>
            <w:r w:rsidRPr="00B66109">
              <w:t xml:space="preserve"> units that </w:t>
            </w:r>
            <w:r w:rsidRPr="00B66109">
              <w:rPr>
                <w:rStyle w:val="Underline"/>
              </w:rPr>
              <w:t>must</w:t>
            </w:r>
            <w:r w:rsidRPr="00B66109">
              <w:t xml:space="preserve"> be achieved </w:t>
            </w:r>
            <w:r w:rsidRPr="00B66109">
              <w:rPr>
                <w:rStyle w:val="Underline"/>
              </w:rPr>
              <w:t>prior</w:t>
            </w:r>
            <w:r w:rsidRPr="00B66109">
              <w:t xml:space="preserve"> to this unit:</w:t>
            </w:r>
            <w:r w:rsidRPr="00B66109">
              <w:rPr>
                <w:rStyle w:val="Emphasis"/>
              </w:rPr>
              <w:t>Nil</w:t>
            </w:r>
          </w:p>
          <w:p w:rsidR="00000000" w:rsidRPr="00B66109" w:rsidP="00B66109">
            <w:pPr>
              <w:pStyle w:val="ListBullet"/>
            </w:pPr>
            <w:r w:rsidRPr="00B66109">
              <w:rPr>
                <w:rStyle w:val="Emphasis"/>
              </w:rPr>
              <w:t>Co</w:t>
            </w:r>
            <w:r w:rsidRPr="00B66109">
              <w:t>-</w:t>
            </w:r>
            <w:r w:rsidRPr="00B66109">
              <w:rPr>
                <w:rStyle w:val="Emphasis"/>
              </w:rPr>
              <w:t>requisite</w:t>
            </w:r>
            <w:r w:rsidRPr="00B66109">
              <w:t xml:space="preserve"> units that </w:t>
            </w:r>
            <w:r w:rsidRPr="00B66109">
              <w:rPr>
                <w:rStyle w:val="Underline"/>
              </w:rPr>
              <w:t>must</w:t>
            </w:r>
            <w:r w:rsidRPr="00B66109">
              <w:t xml:space="preserve"> be assessed </w:t>
            </w:r>
            <w:r w:rsidRPr="00B66109">
              <w:rPr>
                <w:rStyle w:val="Underline"/>
              </w:rPr>
              <w:t>with</w:t>
            </w:r>
            <w:r w:rsidRPr="00B66109">
              <w:t xml:space="preserve"> this unit:</w:t>
            </w:r>
            <w:r w:rsidRPr="00B66109">
              <w:rPr>
                <w:rStyle w:val="Emphasis"/>
              </w:rPr>
              <w:t>Nil</w:t>
            </w:r>
          </w:p>
          <w:p w:rsidR="00000000" w:rsidRPr="00B66109" w:rsidP="00B66109">
            <w:pPr>
              <w:pStyle w:val="ListBullet"/>
            </w:pPr>
            <w:r w:rsidRPr="00B66109">
              <w:rPr>
                <w:rStyle w:val="Emphasis"/>
              </w:rPr>
              <w:t>Co</w:t>
            </w:r>
            <w:r w:rsidRPr="00B66109">
              <w:t>-</w:t>
            </w:r>
            <w:r w:rsidRPr="00B66109">
              <w:rPr>
                <w:rStyle w:val="Emphasis"/>
              </w:rPr>
              <w:t>assessed units</w:t>
            </w:r>
            <w:r w:rsidRPr="00B66109">
              <w:t xml:space="preserve"> that </w:t>
            </w:r>
            <w:r w:rsidRPr="00B66109">
              <w:rPr>
                <w:rStyle w:val="Underline"/>
              </w:rPr>
              <w:t>may</w:t>
            </w:r>
            <w:r w:rsidRPr="00B66109">
              <w:t xml:space="preserve"> be assessed with this unit to increase the efficiency and realism of the assessment process include, but are not limited to:</w:t>
            </w:r>
          </w:p>
          <w:p w:rsidR="00000000" w:rsidRPr="00B66109" w:rsidP="00B66109">
            <w:pPr>
              <w:pStyle w:val="ListBullet2"/>
            </w:pPr>
            <w:r w:rsidRPr="00B66109">
              <w:t xml:space="preserve">PSPETHC501B Promote the values and ethos of public service </w:t>
            </w:r>
          </w:p>
          <w:p w:rsidR="00000000" w:rsidRPr="00B66109" w:rsidP="00B66109">
            <w:pPr>
              <w:pStyle w:val="ListBullet2"/>
            </w:pPr>
            <w:r w:rsidRPr="00B66109">
              <w:t>PSPGOV502B Develop client services</w:t>
            </w:r>
          </w:p>
          <w:p w:rsidR="00000000" w:rsidRPr="00B66109" w:rsidP="00B66109">
            <w:pPr>
              <w:pStyle w:val="ListBullet2"/>
            </w:pPr>
            <w:r w:rsidRPr="00B66109">
              <w:t>PSPGOV503B Coordinate resource allocation and usage</w:t>
            </w:r>
          </w:p>
          <w:p w:rsidR="00000000" w:rsidRPr="00B66109" w:rsidP="00B66109">
            <w:pPr>
              <w:pStyle w:val="ListBullet2"/>
            </w:pPr>
            <w:r w:rsidRPr="00B66109">
              <w:t>PSPGOV504B Undertake research and analysis</w:t>
            </w:r>
          </w:p>
          <w:p w:rsidR="00000000" w:rsidRPr="00B66109" w:rsidP="00B66109">
            <w:pPr>
              <w:pStyle w:val="ListBullet2"/>
            </w:pPr>
            <w:r w:rsidRPr="00B66109">
              <w:t>PSPGOV521A Collect statistical data</w:t>
            </w:r>
          </w:p>
          <w:p w:rsidR="00000000" w:rsidRPr="00B66109" w:rsidP="00B66109">
            <w:pPr>
              <w:pStyle w:val="ListBullet2"/>
            </w:pPr>
            <w:r w:rsidRPr="00B66109">
              <w:t>PSPGOV522A Process statistical data</w:t>
            </w:r>
          </w:p>
          <w:p w:rsidR="00000000" w:rsidRPr="00B66109" w:rsidP="00B66109">
            <w:pPr>
              <w:pStyle w:val="ListBullet2"/>
            </w:pPr>
            <w:r w:rsidRPr="00B66109">
              <w:t>PSPGOV523A Interrogate and analyse statistical data</w:t>
            </w:r>
          </w:p>
          <w:p w:rsidR="00000000" w:rsidRPr="00B66109" w:rsidP="00B66109">
            <w:pPr>
              <w:pStyle w:val="ListBullet2"/>
            </w:pPr>
            <w:r w:rsidRPr="00B66109">
              <w:t>PS</w:t>
            </w:r>
            <w:r w:rsidRPr="00B66109">
              <w:t>PGOV524A Interpret data and related statistics</w:t>
            </w:r>
          </w:p>
          <w:p w:rsidR="00000000" w:rsidP="00B66109">
            <w:pPr>
              <w:pStyle w:val="ListBullet2"/>
              <w:rPr>
                <w:lang w:val="en-NZ"/>
              </w:rPr>
            </w:pPr>
            <w:r w:rsidRPr="00B66109">
              <w:t>PSPLEGN501B Promote compliance with legislation in the public sector</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BodyText"/>
              <w:rPr>
                <w:lang w:val="en-NZ"/>
              </w:rPr>
            </w:pPr>
            <w:r w:rsidRPr="00B6610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t xml:space="preserve">In addition to integrated demonstration of the elements and their related performance criteria, look for </w:t>
            </w:r>
            <w:r w:rsidRPr="00B66109">
              <w:t>evidence that confirms:</w:t>
            </w:r>
          </w:p>
          <w:p w:rsidR="00000000" w:rsidRPr="00B66109" w:rsidP="00B66109">
            <w:pPr>
              <w:pStyle w:val="ListBullet"/>
            </w:pPr>
            <w:r w:rsidRPr="00B66109">
              <w:t xml:space="preserve">the knowledge requirements of this unit </w:t>
            </w:r>
          </w:p>
          <w:p w:rsidR="00000000" w:rsidRPr="00B66109" w:rsidP="00B66109">
            <w:pPr>
              <w:pStyle w:val="ListBullet"/>
            </w:pPr>
            <w:r w:rsidRPr="00B66109">
              <w:t>the skill requirements of this unit</w:t>
            </w:r>
          </w:p>
          <w:p w:rsidR="00000000" w:rsidRPr="00B66109" w:rsidP="00B66109">
            <w:pPr>
              <w:pStyle w:val="ListBullet"/>
            </w:pPr>
            <w:r w:rsidRPr="00B66109">
              <w:t xml:space="preserve">application of Employability Skills as they relate to this unit </w:t>
            </w:r>
          </w:p>
          <w:p w:rsidR="00000000" w:rsidP="00B66109">
            <w:pPr>
              <w:pStyle w:val="ListBullet"/>
              <w:rPr>
                <w:lang w:val="en-NZ"/>
              </w:rPr>
            </w:pPr>
            <w:r w:rsidRPr="00B66109">
              <w:t>statistical data collection projects scoped in a range of (3 or more) contexts (or occasions, over time)</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BodyText"/>
              <w:rPr>
                <w:lang w:val="en-NZ"/>
              </w:rPr>
            </w:pPr>
            <w:r w:rsidRPr="00B6610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t>These resources include:</w:t>
            </w:r>
          </w:p>
          <w:p w:rsidR="00000000" w:rsidRPr="00B66109" w:rsidP="00B66109">
            <w:pPr>
              <w:pStyle w:val="ListBullet"/>
            </w:pPr>
            <w:r w:rsidRPr="00B66109">
              <w:t>legislation, policy, procedures and protocols relating to statistical data collec</w:t>
            </w:r>
            <w:r w:rsidRPr="00B66109">
              <w:t>tion</w:t>
            </w:r>
          </w:p>
          <w:p w:rsidR="00000000" w:rsidRPr="00B66109" w:rsidP="00B66109">
            <w:pPr>
              <w:pStyle w:val="ListBullet"/>
            </w:pPr>
            <w:r w:rsidRPr="00B66109">
              <w:t>access to existing sources of statistical data</w:t>
            </w:r>
          </w:p>
          <w:p w:rsidR="00000000" w:rsidP="00B66109">
            <w:pPr>
              <w:pStyle w:val="ListBullet"/>
              <w:rPr>
                <w:lang w:val="en-NZ"/>
              </w:rPr>
            </w:pPr>
            <w:r w:rsidRPr="00B66109">
              <w:t>case studies and workplace scenarios to capture the range of statistical data collection projects likely to be encountered in the public sector</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BodyText"/>
              <w:rPr>
                <w:lang w:val="en-NZ"/>
              </w:rPr>
            </w:pPr>
            <w:r w:rsidRPr="00B6610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t>Valid assessment of this u</w:t>
            </w:r>
            <w:r w:rsidRPr="00B66109">
              <w:t xml:space="preserve">nit requires: </w:t>
            </w:r>
          </w:p>
          <w:p w:rsidR="00000000" w:rsidRPr="00B66109" w:rsidP="00B66109">
            <w:pPr>
              <w:pStyle w:val="ListBullet"/>
            </w:pPr>
            <w:r w:rsidRPr="00B66109">
              <w:t>a workplace environment or one that closely resembles normal work practice and replicates the range of conditions likely to be encountered when scoping statistical data collection projects, including coping with difficulties, irregularities</w:t>
            </w:r>
            <w:r w:rsidRPr="00B66109">
              <w:t xml:space="preserve"> and breakdowns in routine</w:t>
            </w:r>
          </w:p>
          <w:p w:rsidR="00000000" w:rsidRPr="00B66109" w:rsidP="00B66109">
            <w:pPr>
              <w:pStyle w:val="ListBullet"/>
            </w:pPr>
            <w:r w:rsidRPr="00B66109">
              <w:t>statistical data collection projects scoped in a range of (3 or more) contexts (or occasions, over time).</w:t>
            </w:r>
          </w:p>
          <w:p w:rsidR="00000000" w:rsidRPr="00B66109" w:rsidP="00B66109">
            <w:pPr>
              <w:pStyle w:val="BodyText"/>
            </w:pPr>
            <w:r w:rsidRPr="00B66109">
              <w:t>Assessment methods should reflect workplace demands, such as literacy, and the needs of particular groups, such as:</w:t>
            </w:r>
          </w:p>
          <w:p w:rsidR="00000000" w:rsidRPr="00B66109" w:rsidP="00B66109">
            <w:pPr>
              <w:pStyle w:val="ListBullet"/>
            </w:pPr>
            <w:r w:rsidRPr="00B66109">
              <w:t>people with disabilities</w:t>
            </w:r>
          </w:p>
          <w:p w:rsidR="00000000" w:rsidRPr="00B66109" w:rsidP="00B66109">
            <w:pPr>
              <w:pStyle w:val="ListBullet"/>
            </w:pPr>
            <w:r w:rsidRPr="00B66109">
              <w:t>people from culturally and linguistically diverse backgrounds</w:t>
            </w:r>
          </w:p>
          <w:p w:rsidR="00000000" w:rsidRPr="00B66109" w:rsidP="00B66109">
            <w:pPr>
              <w:pStyle w:val="ListBullet"/>
            </w:pPr>
            <w:r w:rsidRPr="00B66109">
              <w:t>Aboriginal and Torres Strait Islander people</w:t>
            </w:r>
          </w:p>
          <w:p w:rsidR="00000000" w:rsidRPr="00B66109" w:rsidP="00B66109">
            <w:pPr>
              <w:pStyle w:val="ListBullet"/>
            </w:pPr>
            <w:r w:rsidRPr="00B66109">
              <w:t>women</w:t>
            </w:r>
          </w:p>
          <w:p w:rsidR="00000000" w:rsidRPr="00B66109" w:rsidP="00B66109">
            <w:pPr>
              <w:pStyle w:val="ListBullet"/>
            </w:pPr>
            <w:r w:rsidRPr="00B66109">
              <w:t>young people</w:t>
            </w:r>
          </w:p>
          <w:p w:rsidR="00000000" w:rsidRPr="00B66109" w:rsidP="00B66109">
            <w:pPr>
              <w:pStyle w:val="ListBullet"/>
            </w:pPr>
            <w:r w:rsidRPr="00B66109">
              <w:t>older people</w:t>
            </w:r>
          </w:p>
          <w:p w:rsidR="00000000" w:rsidRPr="00B66109" w:rsidP="00B66109">
            <w:pPr>
              <w:pStyle w:val="ListBullet"/>
            </w:pPr>
            <w:r w:rsidRPr="00B66109">
              <w:t>people in rural and remote locations.</w:t>
            </w:r>
          </w:p>
          <w:p w:rsidR="00000000" w:rsidRPr="00B66109" w:rsidP="00B66109">
            <w:pPr>
              <w:pStyle w:val="BodyText"/>
            </w:pPr>
            <w:r w:rsidRPr="00B66109">
              <w:t>Assessment methods suitable for valid and reliable ass</w:t>
            </w:r>
            <w:r w:rsidRPr="00B66109">
              <w:t xml:space="preserve">essment of this competency may include, but are not limited to, a combination of 2 or more of: </w:t>
            </w:r>
          </w:p>
          <w:p w:rsidR="00000000" w:rsidRPr="00B66109" w:rsidP="00B66109">
            <w:pPr>
              <w:pStyle w:val="ListBullet"/>
            </w:pPr>
            <w:r w:rsidRPr="00B66109">
              <w:t>case studies</w:t>
            </w:r>
          </w:p>
          <w:p w:rsidR="00000000" w:rsidRPr="00B66109" w:rsidP="00B66109">
            <w:pPr>
              <w:pStyle w:val="ListBullet"/>
            </w:pPr>
            <w:r w:rsidRPr="00B66109">
              <w:t xml:space="preserve">portfolios </w:t>
            </w:r>
          </w:p>
          <w:p w:rsidR="00000000" w:rsidRPr="00B66109" w:rsidP="00B66109">
            <w:pPr>
              <w:pStyle w:val="ListBullet"/>
            </w:pPr>
            <w:r w:rsidRPr="00B66109">
              <w:t>projects</w:t>
            </w:r>
          </w:p>
          <w:p w:rsidR="00000000" w:rsidRPr="00B66109" w:rsidP="00B66109">
            <w:pPr>
              <w:pStyle w:val="ListBullet"/>
            </w:pPr>
            <w:r w:rsidRPr="00B66109">
              <w:t>questioning</w:t>
            </w:r>
          </w:p>
          <w:p w:rsidR="00000000" w:rsidRPr="00B66109" w:rsidP="00B66109">
            <w:pPr>
              <w:pStyle w:val="ListBullet"/>
            </w:pPr>
            <w:r w:rsidRPr="00B66109">
              <w:t>scenarios</w:t>
            </w:r>
          </w:p>
          <w:p w:rsidR="00000000" w:rsidP="00B66109">
            <w:pPr>
              <w:pStyle w:val="ListBullet"/>
              <w:rPr>
                <w:lang w:val="en-NZ"/>
              </w:rPr>
            </w:pPr>
            <w:r w:rsidRPr="00B66109">
              <w:t>authenticated evidence from the workplace and/or training courses</w:t>
            </w:r>
          </w:p>
        </w:tc>
      </w:tr>
      <w:tr w:rsidTr="008F7FD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6109">
            <w:pPr>
              <w:pStyle w:val="BodyText"/>
              <w:rPr>
                <w:lang w:val="en-NZ"/>
              </w:rPr>
            </w:pPr>
            <w:r w:rsidRPr="00B6610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66109" w:rsidP="00B66109">
            <w:pPr>
              <w:pStyle w:val="BodyText"/>
            </w:pPr>
            <w:r w:rsidRPr="00B66109">
              <w:t>Evidence must be gathered over time in a range of contexts to ensure the person can achieve the unit outcome and apply the competency in different situations or environments</w:t>
            </w:r>
          </w:p>
        </w:tc>
      </w:tr>
    </w:tbl>
    <w:p w:rsidR="00000000" w:rsidRPr="00B66109" w:rsidP="00B66109">
      <w:pPr>
        <w:pStyle w:val="BodyText"/>
      </w:pPr>
    </w:p>
    <w:p w:rsidR="00000000" w:rsidRPr="00B66109" w:rsidP="00B66109">
      <w:pPr>
        <w:pStyle w:val="AllowPageBreak"/>
      </w:pPr>
    </w:p>
    <w:p w:rsidR="00000000" w:rsidRPr="00B66109" w:rsidP="00B66109">
      <w:pPr>
        <w:pStyle w:val="Heading1"/>
      </w:pPr>
      <w:bookmarkStart w:id="11" w:name="O_493581"/>
      <w:bookmarkEnd w:id="11"/>
      <w:r w:rsidRPr="00B66109">
        <w:t>Range Statement</w:t>
      </w:r>
    </w:p>
    <w:tbl>
      <w:tblPr>
        <w:tblW w:w="0" w:type="auto"/>
        <w:tblLayout w:type="fixed"/>
        <w:tblCellMar>
          <w:left w:w="62" w:type="dxa"/>
          <w:right w:w="62" w:type="dxa"/>
        </w:tblCellMar>
        <w:tblLook w:val="0000"/>
      </w:tblPr>
      <w:tblGrid>
        <w:gridCol w:w="2441"/>
        <w:gridCol w:w="6112"/>
      </w:tblGrid>
      <w:tr w:rsidTr="008F7FD6">
        <w:tblPrEx>
          <w:tblW w:w="0" w:type="auto"/>
          <w:tblLayout w:type="fixed"/>
          <w:tblCellMar>
            <w:left w:w="62" w:type="dxa"/>
            <w:right w:w="62" w:type="dxa"/>
          </w:tblCellMar>
          <w:tblLook w:val="0000"/>
        </w:tblPrEx>
        <w:tc>
          <w:tcPr>
            <w:tcW w:w="85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t xml:space="preserve">The Range Statement provides information about </w:t>
            </w:r>
            <w:r w:rsidRPr="00B66109">
              <w:t>the context in which the unit of competency is carried out. The variables cater for differences between States and Territories and the Commonwealth, and between organisations and workplaces. They allow for different work requirements, work practices and kn</w:t>
            </w:r>
            <w:r w:rsidRPr="00B66109">
              <w:t xml:space="preserve">owledge. The Range Statement also provides a focus for assessment. It relates to the unit as a whole. Text in </w:t>
            </w:r>
            <w:r w:rsidRPr="00B66109">
              <w:rPr>
                <w:rStyle w:val="BoldandItalics"/>
              </w:rPr>
              <w:t xml:space="preserve">bold italics </w:t>
            </w:r>
            <w:r w:rsidRPr="00B66109">
              <w:t>in the Performance Criteria is explained here.</w:t>
            </w:r>
          </w:p>
        </w:tc>
      </w:tr>
      <w:tr w:rsidTr="008F7FD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rPr>
                <w:rStyle w:val="BoldandItalics"/>
              </w:rPr>
              <w:t xml:space="preserve">Population </w:t>
            </w:r>
            <w:r w:rsidRPr="00B66109">
              <w:t>is:</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ListBullet"/>
              <w:rPr>
                <w:lang w:val="en-NZ"/>
              </w:rPr>
            </w:pPr>
            <w:r w:rsidRPr="00B66109">
              <w:t>the group to which the study's conclusions are to apply</w:t>
            </w:r>
          </w:p>
        </w:tc>
      </w:tr>
      <w:tr w:rsidTr="008F7FD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rPr>
                <w:rStyle w:val="BoldandItalics"/>
              </w:rPr>
              <w:t xml:space="preserve">Data sources </w:t>
            </w:r>
            <w:r w:rsidRPr="00B6610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109" w:rsidP="00B66109">
            <w:pPr>
              <w:pStyle w:val="ListBullet"/>
            </w:pPr>
            <w:r w:rsidRPr="00B66109">
              <w:t>online sources, such as Australian Bureau of Statistics</w:t>
            </w:r>
          </w:p>
          <w:p w:rsidR="00000000" w:rsidP="00B66109">
            <w:pPr>
              <w:pStyle w:val="ListBullet"/>
              <w:rPr>
                <w:lang w:val="en-NZ"/>
              </w:rPr>
            </w:pPr>
            <w:r w:rsidRPr="00B66109">
              <w:t>text sources</w:t>
            </w:r>
          </w:p>
        </w:tc>
      </w:tr>
      <w:tr w:rsidTr="008F7FD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rPr>
                <w:rStyle w:val="BoldandItalics"/>
              </w:rPr>
              <w:t>Statistical processes</w:t>
            </w:r>
            <w:r w:rsidRPr="00B66109">
              <w:t xml:space="preserve"> 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109" w:rsidP="00B66109">
            <w:pPr>
              <w:pStyle w:val="ListBullet"/>
            </w:pPr>
            <w:r w:rsidRPr="00B66109">
              <w:t>survey design</w:t>
            </w:r>
          </w:p>
          <w:p w:rsidR="00000000" w:rsidP="00B66109">
            <w:pPr>
              <w:pStyle w:val="ListBullet"/>
              <w:rPr>
                <w:lang w:val="en-NZ"/>
              </w:rPr>
            </w:pPr>
            <w:r w:rsidRPr="00B66109">
              <w:t xml:space="preserve"> methods of accessing, storing and analysing data</w:t>
            </w:r>
          </w:p>
        </w:tc>
      </w:tr>
      <w:tr w:rsidTr="008F7FD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rPr>
                <w:rStyle w:val="BoldandItalics"/>
              </w:rPr>
              <w:t xml:space="preserve">Legal and ethical issues </w:t>
            </w:r>
            <w:r w:rsidRPr="00B6610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109" w:rsidP="00B66109">
            <w:pPr>
              <w:pStyle w:val="ListBullet"/>
            </w:pPr>
            <w:r w:rsidRPr="00B66109">
              <w:t>confidentiality</w:t>
            </w:r>
          </w:p>
          <w:p w:rsidR="00000000" w:rsidRPr="00B66109" w:rsidP="00B66109">
            <w:pPr>
              <w:pStyle w:val="ListBullet"/>
            </w:pPr>
            <w:r w:rsidRPr="00B66109">
              <w:t>cop</w:t>
            </w:r>
            <w:r w:rsidRPr="00B66109">
              <w:t>yright</w:t>
            </w:r>
          </w:p>
          <w:p w:rsidR="00000000" w:rsidP="00B66109">
            <w:pPr>
              <w:pStyle w:val="ListBullet"/>
              <w:rPr>
                <w:lang w:val="en-NZ"/>
              </w:rPr>
            </w:pPr>
            <w:r w:rsidRPr="00B66109">
              <w:t>privacy</w:t>
            </w:r>
          </w:p>
        </w:tc>
      </w:tr>
      <w:tr w:rsidTr="008F7FD6">
        <w:tblPrEx>
          <w:tblW w:w="0" w:type="auto"/>
          <w:tblLayout w:type="fixed"/>
          <w:tblCellMar>
            <w:left w:w="62" w:type="dxa"/>
            <w:right w:w="62" w:type="dxa"/>
          </w:tblCellMar>
          <w:tblLook w:val="0000"/>
        </w:tblPrEx>
        <w:tc>
          <w:tcPr>
            <w:tcW w:w="2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109">
            <w:pPr>
              <w:pStyle w:val="BodyText"/>
              <w:rPr>
                <w:lang w:val="en-NZ"/>
              </w:rPr>
            </w:pPr>
            <w:r w:rsidRPr="00B66109">
              <w:rPr>
                <w:rStyle w:val="BoldandItalics"/>
              </w:rPr>
              <w:t>Legislation</w:t>
            </w:r>
            <w:r w:rsidRPr="00B66109">
              <w:t xml:space="preserve">, </w:t>
            </w:r>
            <w:r w:rsidRPr="00B66109">
              <w:rPr>
                <w:rStyle w:val="BoldandItalics"/>
              </w:rPr>
              <w:t xml:space="preserve">policy and procedures </w:t>
            </w:r>
            <w:r w:rsidRPr="00B66109">
              <w:t>may include:</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109" w:rsidP="00B66109">
            <w:pPr>
              <w:pStyle w:val="ListBullet"/>
            </w:pPr>
            <w:r w:rsidRPr="00B66109">
              <w:t>State/Territory and Commonwealth legislation and regulations such as:</w:t>
            </w:r>
          </w:p>
          <w:p w:rsidR="00000000" w:rsidRPr="00B66109" w:rsidP="00B66109">
            <w:pPr>
              <w:pStyle w:val="ListBullet2"/>
            </w:pPr>
            <w:r w:rsidRPr="00B66109">
              <w:t xml:space="preserve">public sector management acts </w:t>
            </w:r>
          </w:p>
          <w:p w:rsidR="00000000" w:rsidRPr="00B66109" w:rsidP="00B66109">
            <w:pPr>
              <w:pStyle w:val="ListBullet2"/>
            </w:pPr>
            <w:r w:rsidRPr="00B66109">
              <w:t>financial management acts</w:t>
            </w:r>
          </w:p>
          <w:p w:rsidR="00000000" w:rsidRPr="00B66109" w:rsidP="00B66109">
            <w:pPr>
              <w:pStyle w:val="ListBullet2"/>
            </w:pPr>
            <w:r w:rsidRPr="00B66109">
              <w:t>privacy legislation</w:t>
            </w:r>
          </w:p>
          <w:p w:rsidR="00000000" w:rsidRPr="00B66109" w:rsidP="00B66109">
            <w:pPr>
              <w:pStyle w:val="ListBullet2"/>
            </w:pPr>
            <w:r w:rsidRPr="00B66109">
              <w:t xml:space="preserve">equal employment opportunity and anti-discrimination legislation </w:t>
            </w:r>
          </w:p>
          <w:p w:rsidR="00000000" w:rsidRPr="00B66109" w:rsidP="00B66109">
            <w:pPr>
              <w:pStyle w:val="ListBullet2"/>
            </w:pPr>
            <w:r w:rsidRPr="00B66109">
              <w:t>occupational health and safety legislation.</w:t>
            </w:r>
          </w:p>
          <w:p w:rsidR="00000000" w:rsidRPr="00B66109" w:rsidP="00B66109">
            <w:pPr>
              <w:pStyle w:val="ListBullet2"/>
            </w:pPr>
            <w:r w:rsidRPr="00B66109">
              <w:t>ethics and accountability standards</w:t>
            </w:r>
          </w:p>
          <w:p w:rsidR="00000000" w:rsidRPr="00B66109" w:rsidP="00B66109">
            <w:pPr>
              <w:pStyle w:val="ListBullet"/>
            </w:pPr>
            <w:r w:rsidRPr="00B66109">
              <w:t>public sector standards</w:t>
            </w:r>
          </w:p>
          <w:p w:rsidR="00000000" w:rsidRPr="00B66109" w:rsidP="00B66109">
            <w:pPr>
              <w:pStyle w:val="ListBullet"/>
            </w:pPr>
            <w:r w:rsidRPr="00B66109">
              <w:t>risk management standards</w:t>
            </w:r>
          </w:p>
          <w:p w:rsidR="00000000" w:rsidRPr="00B66109" w:rsidP="00B66109">
            <w:pPr>
              <w:pStyle w:val="ListBullet"/>
            </w:pPr>
            <w:r w:rsidRPr="00B66109">
              <w:t>fraud control standards</w:t>
            </w:r>
          </w:p>
          <w:p w:rsidR="00000000" w:rsidRPr="00B66109" w:rsidP="00B66109">
            <w:pPr>
              <w:pStyle w:val="ListBullet"/>
            </w:pPr>
            <w:r w:rsidRPr="00B66109">
              <w:t>government security standards</w:t>
            </w:r>
          </w:p>
          <w:p w:rsidR="00000000" w:rsidRPr="00B66109" w:rsidP="00B66109">
            <w:pPr>
              <w:pStyle w:val="ListBullet"/>
            </w:pPr>
            <w:r w:rsidRPr="00B66109">
              <w:t>knowl</w:t>
            </w:r>
            <w:r w:rsidRPr="00B66109">
              <w:t>edge management standards</w:t>
            </w:r>
          </w:p>
          <w:p w:rsidR="00000000" w:rsidRPr="00B66109" w:rsidP="00B66109">
            <w:pPr>
              <w:pStyle w:val="ListBullet"/>
            </w:pPr>
            <w:r w:rsidRPr="00B66109">
              <w:t>organisational policy, procedures and protocols</w:t>
            </w:r>
          </w:p>
        </w:tc>
      </w:tr>
    </w:tbl>
    <w:p w:rsidR="008F7FD6" w:rsidP="00B66109">
      <w:pPr>
        <w:pStyle w:val="BodyText"/>
      </w:pPr>
    </w:p>
    <w:p w:rsidR="008F7FD6" w:rsidP="00B66109">
      <w:pPr>
        <w:pStyle w:val="BodyText"/>
      </w:pPr>
    </w:p>
    <w:p w:rsidR="00000000" w:rsidRPr="00B66109" w:rsidP="00B66109">
      <w:pPr>
        <w:pStyle w:val="Heading1"/>
      </w:pPr>
      <w:bookmarkStart w:id="12" w:name="O_493578"/>
      <w:bookmarkEnd w:id="12"/>
      <w:r w:rsidRPr="00B66109">
        <w:t>Unit Sector(s)</w:t>
      </w:r>
    </w:p>
    <w:p w:rsidR="00000000" w:rsidRPr="00B66109" w:rsidP="00B66109">
      <w:pPr>
        <w:pStyle w:val="BodyText"/>
      </w:pPr>
      <w:r w:rsidRPr="00B66109">
        <w:t>Not applicable.</w:t>
      </w:r>
    </w:p>
    <w:p w:rsidR="00000000" w:rsidRPr="00B66109" w:rsidP="00B66109">
      <w:pPr>
        <w:pStyle w:val="AllowPageBreak"/>
      </w:pPr>
    </w:p>
    <w:p w:rsidR="00000000" w:rsidRPr="00B66109" w:rsidP="00B66109">
      <w:pPr>
        <w:pStyle w:val="Heading1"/>
      </w:pPr>
      <w:bookmarkStart w:id="13" w:name="O_493588"/>
      <w:bookmarkEnd w:id="13"/>
      <w:r w:rsidRPr="00B66109">
        <w:t>Competency field</w:t>
      </w:r>
    </w:p>
    <w:p w:rsidR="00000000" w:rsidRPr="00B66109" w:rsidP="00B66109">
      <w:pPr>
        <w:pStyle w:val="BodyText"/>
      </w:pPr>
      <w:r w:rsidRPr="00B66109">
        <w:t>Working in Government</w:t>
      </w:r>
    </w:p>
    <w:p w:rsidR="00000000" w:rsidRPr="00B66109" w:rsidP="00B66109"/>
    <w:sectPr w:rsidSect="00B661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7FD6" w:rsidP="008F7F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FD6" w:rsidP="00B661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7FD6" w:rsidP="00B661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F7FD6" w:rsidP="00B661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09" w:rsidRPr="008F7FD6" w:rsidP="008F7F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FD6" w:rsidRPr="002D2AF8" w:rsidP="00B66109">
    <w:pPr>
      <w:pStyle w:val="Header"/>
      <w:framePr w:wrap="around"/>
    </w:pPr>
    <w:r>
      <w:fldChar w:fldCharType="begin"/>
    </w:r>
    <w:r>
      <w:instrText xml:space="preserve"> TITLE   \* MERGEFORMAT </w:instrText>
    </w:r>
    <w:r>
      <w:fldChar w:fldCharType="separate"/>
    </w:r>
    <w:r>
      <w:t>PSPGOV520A Scope statistical data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8F7FD6" w:rsidP="00B661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C43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FEA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24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1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109"/>
    <w:pPr>
      <w:spacing w:before="360" w:after="60"/>
      <w:outlineLvl w:val="0"/>
    </w:pPr>
    <w:rPr>
      <w:sz w:val="32"/>
    </w:rPr>
  </w:style>
  <w:style w:type="paragraph" w:styleId="Heading2">
    <w:name w:val="heading 2"/>
    <w:basedOn w:val="HeadingBase"/>
    <w:next w:val="BodyText"/>
    <w:link w:val="Heading2Char"/>
    <w:qFormat/>
    <w:rsid w:val="00B66109"/>
    <w:pPr>
      <w:keepLines/>
      <w:spacing w:before="240" w:after="120"/>
      <w:outlineLvl w:val="1"/>
    </w:pPr>
    <w:rPr>
      <w:sz w:val="28"/>
      <w:szCs w:val="40"/>
    </w:rPr>
  </w:style>
  <w:style w:type="paragraph" w:styleId="Heading3">
    <w:name w:val="heading 3"/>
    <w:basedOn w:val="HeadingBase"/>
    <w:next w:val="BodyText"/>
    <w:link w:val="Heading3Char"/>
    <w:qFormat/>
    <w:rsid w:val="00B66109"/>
    <w:pPr>
      <w:spacing w:before="180" w:after="120"/>
      <w:outlineLvl w:val="2"/>
    </w:pPr>
    <w:rPr>
      <w:spacing w:val="-10"/>
      <w:kern w:val="32"/>
    </w:rPr>
  </w:style>
  <w:style w:type="paragraph" w:styleId="Heading4">
    <w:name w:val="heading 4"/>
    <w:basedOn w:val="HeadingBase"/>
    <w:next w:val="BodyText"/>
    <w:link w:val="Heading4Char"/>
    <w:qFormat/>
    <w:rsid w:val="00B66109"/>
    <w:pPr>
      <w:spacing w:before="160" w:after="120"/>
      <w:outlineLvl w:val="3"/>
    </w:pPr>
    <w:rPr>
      <w:sz w:val="22"/>
    </w:rPr>
  </w:style>
  <w:style w:type="paragraph" w:styleId="Heading5">
    <w:name w:val="heading 5"/>
    <w:basedOn w:val="HeadingBase"/>
    <w:next w:val="Normal"/>
    <w:link w:val="Heading5Char"/>
    <w:qFormat/>
    <w:rsid w:val="00B66109"/>
    <w:pPr>
      <w:spacing w:before="80"/>
      <w:outlineLvl w:val="4"/>
    </w:pPr>
    <w:rPr>
      <w:color w:val="918585"/>
      <w:sz w:val="20"/>
    </w:rPr>
  </w:style>
  <w:style w:type="paragraph" w:styleId="Heading6">
    <w:name w:val="heading 6"/>
    <w:basedOn w:val="HeadingBase"/>
    <w:next w:val="Normal"/>
    <w:link w:val="Heading6Char"/>
    <w:qFormat/>
    <w:rsid w:val="00B66109"/>
    <w:pPr>
      <w:spacing w:before="60"/>
      <w:outlineLvl w:val="5"/>
    </w:pPr>
    <w:rPr>
      <w:color w:val="918585"/>
      <w:sz w:val="20"/>
    </w:rPr>
  </w:style>
  <w:style w:type="paragraph" w:styleId="Heading7">
    <w:name w:val="heading 7"/>
    <w:basedOn w:val="Normal"/>
    <w:next w:val="Normal"/>
    <w:link w:val="Heading7Char"/>
    <w:qFormat/>
    <w:rsid w:val="00B66109"/>
    <w:pPr>
      <w:ind w:left="720"/>
      <w:outlineLvl w:val="6"/>
    </w:pPr>
    <w:rPr>
      <w:i/>
    </w:rPr>
  </w:style>
  <w:style w:type="paragraph" w:styleId="Heading8">
    <w:name w:val="heading 8"/>
    <w:basedOn w:val="Normal"/>
    <w:next w:val="Normal"/>
    <w:link w:val="Heading8Char"/>
    <w:qFormat/>
    <w:rsid w:val="00B66109"/>
    <w:pPr>
      <w:ind w:left="720"/>
      <w:outlineLvl w:val="7"/>
    </w:pPr>
    <w:rPr>
      <w:i/>
    </w:rPr>
  </w:style>
  <w:style w:type="paragraph" w:styleId="Heading9">
    <w:name w:val="heading 9"/>
    <w:basedOn w:val="Normal"/>
    <w:next w:val="Normal"/>
    <w:link w:val="Heading9Char"/>
    <w:qFormat/>
    <w:rsid w:val="00B66109"/>
    <w:pPr>
      <w:ind w:left="720"/>
      <w:outlineLvl w:val="8"/>
    </w:pPr>
    <w:rPr>
      <w:i/>
    </w:rPr>
  </w:style>
  <w:style w:type="character" w:default="1" w:styleId="DefaultParagraphFont">
    <w:name w:val="Default Paragraph Font"/>
    <w:uiPriority w:val="1"/>
    <w:unhideWhenUsed/>
    <w:rsid w:val="00B66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109"/>
  </w:style>
  <w:style w:type="character" w:customStyle="1" w:styleId="Heading1Char">
    <w:name w:val="Heading 1 Char"/>
    <w:basedOn w:val="DefaultParagraphFont"/>
    <w:link w:val="Heading1"/>
    <w:rsid w:val="00B66109"/>
    <w:rPr>
      <w:rFonts w:ascii="Times New Roman" w:eastAsia="Times New Roman" w:hAnsi="Times New Roman" w:cs="Times New Roman"/>
      <w:b/>
      <w:sz w:val="32"/>
      <w:szCs w:val="20"/>
      <w:lang w:eastAsia="en-US"/>
    </w:rPr>
  </w:style>
  <w:style w:type="paragraph" w:styleId="BodyText">
    <w:name w:val="Body Text"/>
    <w:basedOn w:val="Normal"/>
    <w:link w:val="BodyTextChar"/>
    <w:rsid w:val="00B661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109"/>
    <w:rPr>
      <w:rFonts w:ascii="Times New Roman" w:eastAsia="Times New Roman" w:hAnsi="Times New Roman" w:cs="Times New Roman"/>
      <w:sz w:val="24"/>
      <w:lang w:eastAsia="en-US"/>
    </w:rPr>
  </w:style>
  <w:style w:type="paragraph" w:styleId="Footer">
    <w:name w:val="footer"/>
    <w:basedOn w:val="Normal"/>
    <w:link w:val="FooterChar"/>
    <w:rsid w:val="00B66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109"/>
    <w:rPr>
      <w:rFonts w:ascii="Times New Roman" w:eastAsia="Times New Roman" w:hAnsi="Times New Roman" w:cs="Times New Roman"/>
      <w:sz w:val="16"/>
      <w:lang w:eastAsia="en-US"/>
    </w:rPr>
  </w:style>
  <w:style w:type="paragraph" w:styleId="List">
    <w:name w:val="List"/>
    <w:basedOn w:val="BodyText"/>
    <w:next w:val="BodyText"/>
    <w:rsid w:val="00B66109"/>
    <w:pPr>
      <w:tabs>
        <w:tab w:val="left" w:pos="340"/>
      </w:tabs>
      <w:spacing w:before="60" w:after="60"/>
      <w:ind w:left="340" w:hanging="340"/>
    </w:pPr>
  </w:style>
  <w:style w:type="paragraph" w:styleId="ListBullet">
    <w:name w:val="List Bullet"/>
    <w:basedOn w:val="List"/>
    <w:rsid w:val="00B66109"/>
    <w:pPr>
      <w:numPr>
        <w:numId w:val="13"/>
      </w:numPr>
      <w:tabs>
        <w:tab w:val="clear" w:pos="340"/>
      </w:tabs>
      <w:spacing w:before="40" w:after="40"/>
    </w:pPr>
  </w:style>
  <w:style w:type="character" w:customStyle="1" w:styleId="SpecialBold">
    <w:name w:val="Special Bold"/>
    <w:basedOn w:val="DefaultParagraphFont"/>
    <w:rsid w:val="00B66109"/>
    <w:rPr>
      <w:b/>
      <w:spacing w:val="0"/>
    </w:rPr>
  </w:style>
  <w:style w:type="paragraph" w:styleId="ListBullet2">
    <w:name w:val="List Bullet 2"/>
    <w:basedOn w:val="List2"/>
    <w:rsid w:val="00B66109"/>
    <w:pPr>
      <w:numPr>
        <w:numId w:val="14"/>
      </w:numPr>
      <w:tabs>
        <w:tab w:val="clear" w:pos="680"/>
      </w:tabs>
    </w:pPr>
  </w:style>
  <w:style w:type="character" w:styleId="Emphasis">
    <w:name w:val="Emphasis"/>
    <w:basedOn w:val="DefaultParagraphFont"/>
    <w:qFormat/>
    <w:rsid w:val="00B66109"/>
    <w:rPr>
      <w:i/>
    </w:rPr>
  </w:style>
  <w:style w:type="paragraph" w:customStyle="1" w:styleId="SuperHeading">
    <w:name w:val="SuperHeading"/>
    <w:basedOn w:val="Normal"/>
    <w:rsid w:val="00B66109"/>
    <w:pPr>
      <w:spacing w:before="240" w:after="120"/>
      <w:outlineLvl w:val="0"/>
    </w:pPr>
    <w:rPr>
      <w:rFonts w:ascii="Times New Roman" w:hAnsi="Times New Roman"/>
      <w:b/>
      <w:sz w:val="28"/>
    </w:rPr>
  </w:style>
  <w:style w:type="paragraph" w:customStyle="1" w:styleId="AllowPageBreak">
    <w:name w:val="AllowPageBreak"/>
    <w:rsid w:val="00B661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66109"/>
    <w:rPr>
      <w:u w:val="single"/>
    </w:rPr>
  </w:style>
  <w:style w:type="character" w:customStyle="1" w:styleId="BoldandItalics">
    <w:name w:val="Bold and Italics"/>
    <w:qFormat/>
    <w:rsid w:val="00B66109"/>
    <w:rPr>
      <w:b/>
      <w:i/>
      <w:u w:val="none"/>
    </w:rPr>
  </w:style>
  <w:style w:type="character" w:customStyle="1" w:styleId="Heading2Char">
    <w:name w:val="Heading 2 Char"/>
    <w:basedOn w:val="DefaultParagraphFont"/>
    <w:link w:val="Heading2"/>
    <w:rsid w:val="00B66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1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1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109"/>
    <w:rPr>
      <w:rFonts w:ascii="Courier New" w:eastAsia="Times New Roman" w:hAnsi="Courier New" w:cs="Times New Roman"/>
      <w:i/>
      <w:szCs w:val="20"/>
      <w:lang w:eastAsia="en-US"/>
    </w:rPr>
  </w:style>
  <w:style w:type="paragraph" w:customStyle="1" w:styleId="HeadingBase">
    <w:name w:val="Heading Base"/>
    <w:rsid w:val="00B66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109"/>
    <w:pPr>
      <w:tabs>
        <w:tab w:val="right" w:leader="dot" w:pos="9072"/>
      </w:tabs>
      <w:ind w:left="567"/>
    </w:pPr>
    <w:rPr>
      <w:szCs w:val="22"/>
    </w:rPr>
  </w:style>
  <w:style w:type="paragraph" w:customStyle="1" w:styleId="TOCBase">
    <w:name w:val="TOC Base"/>
    <w:rsid w:val="00B66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109"/>
    <w:pPr>
      <w:tabs>
        <w:tab w:val="right" w:leader="dot" w:pos="9072"/>
      </w:tabs>
      <w:spacing w:before="40" w:after="40"/>
      <w:ind w:left="284"/>
    </w:pPr>
    <w:rPr>
      <w:rFonts w:ascii="Times New Roman" w:hAnsi="Times New Roman"/>
    </w:rPr>
  </w:style>
  <w:style w:type="paragraph" w:styleId="TOC1">
    <w:name w:val="toc 1"/>
    <w:basedOn w:val="TOCBase"/>
    <w:next w:val="Normal"/>
    <w:rsid w:val="00B661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109"/>
    <w:pPr>
      <w:spacing w:before="5040"/>
      <w:jc w:val="center"/>
    </w:pPr>
    <w:rPr>
      <w:sz w:val="48"/>
      <w:szCs w:val="72"/>
      <w:lang w:val="en-US"/>
    </w:rPr>
  </w:style>
  <w:style w:type="character" w:customStyle="1" w:styleId="TitleChar">
    <w:name w:val="Title Char"/>
    <w:basedOn w:val="DefaultParagraphFont"/>
    <w:link w:val="Title"/>
    <w:rsid w:val="00B66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109"/>
    <w:pPr>
      <w:tabs>
        <w:tab w:val="left" w:pos="3600"/>
        <w:tab w:val="left" w:pos="3958"/>
      </w:tabs>
    </w:pPr>
  </w:style>
  <w:style w:type="paragraph" w:customStyle="1" w:styleId="Note">
    <w:name w:val="Note"/>
    <w:basedOn w:val="BodyText"/>
    <w:rsid w:val="00B66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109"/>
    <w:pPr>
      <w:framePr w:wrap="auto" w:hAnchor="text" w:y="6049"/>
    </w:pPr>
    <w:rPr>
      <w:color w:val="000000"/>
      <w:sz w:val="40"/>
    </w:rPr>
  </w:style>
  <w:style w:type="paragraph" w:customStyle="1" w:styleId="TOCTitle">
    <w:name w:val="TOCTitle"/>
    <w:basedOn w:val="Heading1"/>
    <w:rsid w:val="00B66109"/>
    <w:pPr>
      <w:spacing w:after="240"/>
      <w:jc w:val="center"/>
      <w:outlineLvl w:val="9"/>
    </w:pPr>
    <w:rPr>
      <w:caps/>
    </w:rPr>
  </w:style>
  <w:style w:type="paragraph" w:customStyle="1" w:styleId="Version">
    <w:name w:val="Version"/>
    <w:rsid w:val="00B661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109"/>
    <w:pPr>
      <w:keepNext w:val="0"/>
      <w:tabs>
        <w:tab w:val="right" w:pos="4176"/>
      </w:tabs>
      <w:ind w:left="198" w:hanging="198"/>
    </w:pPr>
    <w:rPr>
      <w:rFonts w:ascii="Garamond" w:hAnsi="Garamond"/>
    </w:rPr>
  </w:style>
  <w:style w:type="paragraph" w:styleId="IndexHeading">
    <w:name w:val="index heading"/>
    <w:basedOn w:val="Normal"/>
    <w:next w:val="Index1"/>
    <w:semiHidden/>
    <w:rsid w:val="00B66109"/>
    <w:pPr>
      <w:spacing w:before="120" w:after="120"/>
    </w:pPr>
    <w:rPr>
      <w:rFonts w:ascii="Arial" w:hAnsi="Arial"/>
      <w:b/>
      <w:color w:val="918585"/>
      <w:sz w:val="24"/>
    </w:rPr>
  </w:style>
  <w:style w:type="paragraph" w:styleId="Header">
    <w:name w:val="header"/>
    <w:basedOn w:val="Normal"/>
    <w:link w:val="HeaderChar"/>
    <w:rsid w:val="00B66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109"/>
    <w:rPr>
      <w:rFonts w:ascii="Times New Roman" w:eastAsia="Times New Roman" w:hAnsi="Times New Roman" w:cs="Times New Roman"/>
      <w:sz w:val="16"/>
      <w:szCs w:val="20"/>
      <w:lang w:val="en-GB" w:eastAsia="en-US"/>
    </w:rPr>
  </w:style>
  <w:style w:type="paragraph" w:customStyle="1" w:styleId="Chapter">
    <w:name w:val="Chapter"/>
    <w:basedOn w:val="Normal"/>
    <w:rsid w:val="00B66109"/>
    <w:pPr>
      <w:spacing w:before="240"/>
    </w:pPr>
    <w:rPr>
      <w:rFonts w:ascii="Times New Roman" w:hAnsi="Times New Roman"/>
      <w:smallCaps/>
      <w:spacing w:val="80"/>
      <w:sz w:val="28"/>
    </w:rPr>
  </w:style>
  <w:style w:type="paragraph" w:customStyle="1" w:styleId="InChapter">
    <w:name w:val="InChapter"/>
    <w:basedOn w:val="Heading3"/>
    <w:rsid w:val="00B66109"/>
    <w:pPr>
      <w:spacing w:after="240"/>
      <w:outlineLvl w:val="9"/>
    </w:pPr>
    <w:rPr>
      <w:noProof/>
    </w:rPr>
  </w:style>
  <w:style w:type="paragraph" w:styleId="Index2">
    <w:name w:val="index 2"/>
    <w:basedOn w:val="Normal"/>
    <w:next w:val="Normal"/>
    <w:semiHidden/>
    <w:rsid w:val="00B66109"/>
    <w:pPr>
      <w:tabs>
        <w:tab w:val="right" w:pos="4176"/>
      </w:tabs>
      <w:ind w:left="568" w:hanging="284"/>
    </w:pPr>
    <w:rPr>
      <w:rFonts w:ascii="Garamond" w:hAnsi="Garamond"/>
    </w:rPr>
  </w:style>
  <w:style w:type="paragraph" w:customStyle="1" w:styleId="Byline">
    <w:name w:val="Byline"/>
    <w:rsid w:val="00B66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109"/>
    <w:pPr>
      <w:tabs>
        <w:tab w:val="clear" w:pos="3600"/>
        <w:tab w:val="clear" w:pos="3958"/>
      </w:tabs>
      <w:jc w:val="right"/>
    </w:pPr>
  </w:style>
  <w:style w:type="paragraph" w:styleId="Caption">
    <w:name w:val="caption"/>
    <w:basedOn w:val="BodyText"/>
    <w:next w:val="Normal"/>
    <w:qFormat/>
    <w:rsid w:val="00B66109"/>
    <w:pPr>
      <w:framePr w:w="2268" w:hSpace="181" w:vSpace="181" w:wrap="around" w:vAnchor="text" w:hAnchor="page" w:x="1135" w:y="285" w:anchorLock="1"/>
    </w:pPr>
    <w:rPr>
      <w:i/>
    </w:rPr>
  </w:style>
  <w:style w:type="paragraph" w:customStyle="1" w:styleId="MiniTOCTitle">
    <w:name w:val="MiniTOCTitle"/>
    <w:basedOn w:val="Heading4"/>
    <w:rsid w:val="00B66109"/>
    <w:pPr>
      <w:spacing w:before="240"/>
      <w:outlineLvl w:val="9"/>
    </w:pPr>
    <w:rPr>
      <w:noProof/>
      <w:sz w:val="24"/>
    </w:rPr>
  </w:style>
  <w:style w:type="paragraph" w:customStyle="1" w:styleId="MiniTOCItem">
    <w:name w:val="MiniTOCItem"/>
    <w:basedOn w:val="ListBullet"/>
    <w:rsid w:val="00B66109"/>
    <w:pPr>
      <w:numPr>
        <w:numId w:val="0"/>
      </w:numPr>
      <w:tabs>
        <w:tab w:val="right" w:leader="dot" w:pos="6521"/>
      </w:tabs>
      <w:spacing w:before="0" w:after="0"/>
    </w:pPr>
  </w:style>
  <w:style w:type="paragraph" w:customStyle="1" w:styleId="TOFTitle">
    <w:name w:val="TOFTitle"/>
    <w:basedOn w:val="TOCTitle"/>
    <w:rsid w:val="00B66109"/>
  </w:style>
  <w:style w:type="paragraph" w:styleId="TableofFigures">
    <w:name w:val="table of figures"/>
    <w:basedOn w:val="Normal"/>
    <w:next w:val="Normal"/>
    <w:semiHidden/>
    <w:rsid w:val="00B66109"/>
    <w:pPr>
      <w:tabs>
        <w:tab w:val="right" w:leader="dot" w:pos="9072"/>
      </w:tabs>
      <w:ind w:left="970" w:hanging="403"/>
    </w:pPr>
    <w:rPr>
      <w:rFonts w:ascii="Times New Roman" w:hAnsi="Times New Roman"/>
      <w:b/>
    </w:rPr>
  </w:style>
  <w:style w:type="paragraph" w:styleId="ListNumber">
    <w:name w:val="List Number"/>
    <w:basedOn w:val="List"/>
    <w:rsid w:val="00B66109"/>
    <w:pPr>
      <w:numPr>
        <w:numId w:val="11"/>
      </w:numPr>
    </w:pPr>
  </w:style>
  <w:style w:type="character" w:customStyle="1" w:styleId="WingdingSymbols">
    <w:name w:val="Wingding Symbols"/>
    <w:rsid w:val="00B66109"/>
    <w:rPr>
      <w:rFonts w:ascii="Wingdings" w:hAnsi="Wingdings"/>
    </w:rPr>
  </w:style>
  <w:style w:type="paragraph" w:customStyle="1" w:styleId="TableHeading">
    <w:name w:val="Table Heading"/>
    <w:basedOn w:val="HeadingBase"/>
    <w:rsid w:val="00B66109"/>
    <w:pPr>
      <w:keepLines/>
      <w:pBdr>
        <w:bottom w:val="single" w:sz="6" w:space="1" w:color="918585"/>
      </w:pBdr>
      <w:spacing w:before="240"/>
    </w:pPr>
  </w:style>
  <w:style w:type="character" w:customStyle="1" w:styleId="HotSpot">
    <w:name w:val="HotSpot"/>
    <w:rsid w:val="00B66109"/>
    <w:rPr>
      <w:color w:val="0033CC"/>
      <w:u w:val="none"/>
    </w:rPr>
  </w:style>
  <w:style w:type="paragraph" w:customStyle="1" w:styleId="BodyTextRight">
    <w:name w:val="Body Text Right"/>
    <w:basedOn w:val="BodyText"/>
    <w:rsid w:val="00B66109"/>
    <w:pPr>
      <w:spacing w:before="0" w:after="0"/>
      <w:jc w:val="right"/>
    </w:pPr>
  </w:style>
  <w:style w:type="paragraph" w:styleId="Index3">
    <w:name w:val="index 3"/>
    <w:basedOn w:val="ListNumber2"/>
    <w:next w:val="Normal"/>
    <w:semiHidden/>
    <w:rsid w:val="00B66109"/>
    <w:pPr>
      <w:numPr>
        <w:numId w:val="0"/>
      </w:numPr>
      <w:tabs>
        <w:tab w:val="right" w:leader="dot" w:pos="4176"/>
      </w:tabs>
    </w:pPr>
  </w:style>
  <w:style w:type="paragraph" w:styleId="ListNumber2">
    <w:name w:val="List Number 2"/>
    <w:basedOn w:val="List2"/>
    <w:rsid w:val="00B66109"/>
    <w:pPr>
      <w:numPr>
        <w:numId w:val="10"/>
      </w:numPr>
      <w:tabs>
        <w:tab w:val="clear" w:pos="1060"/>
      </w:tabs>
    </w:pPr>
  </w:style>
  <w:style w:type="paragraph" w:customStyle="1" w:styleId="MarginNote">
    <w:name w:val="Margin Note"/>
    <w:basedOn w:val="BodyText"/>
    <w:rsid w:val="00B66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1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109"/>
    <w:rPr>
      <w:sz w:val="32"/>
    </w:rPr>
  </w:style>
  <w:style w:type="paragraph" w:customStyle="1" w:styleId="HeadingProcedure">
    <w:name w:val="Heading Procedure"/>
    <w:basedOn w:val="HeadingBase"/>
    <w:next w:val="Normal"/>
    <w:rsid w:val="00B66109"/>
    <w:pPr>
      <w:tabs>
        <w:tab w:val="left" w:pos="0"/>
      </w:tabs>
      <w:spacing w:before="120" w:after="60"/>
    </w:pPr>
    <w:rPr>
      <w:i/>
      <w:color w:val="918585"/>
      <w:sz w:val="22"/>
    </w:rPr>
  </w:style>
  <w:style w:type="paragraph" w:customStyle="1" w:styleId="TableBodyText">
    <w:name w:val="Table Body Text"/>
    <w:basedOn w:val="BodyText"/>
    <w:rsid w:val="00B66109"/>
    <w:pPr>
      <w:spacing w:before="60" w:after="60"/>
    </w:pPr>
  </w:style>
  <w:style w:type="paragraph" w:styleId="ListContinue">
    <w:name w:val="List Continue"/>
    <w:basedOn w:val="List"/>
    <w:rsid w:val="00B66109"/>
    <w:pPr>
      <w:ind w:firstLine="0"/>
    </w:pPr>
  </w:style>
  <w:style w:type="paragraph" w:customStyle="1" w:styleId="ListNote">
    <w:name w:val="List Note"/>
    <w:basedOn w:val="List"/>
    <w:rsid w:val="00B66109"/>
    <w:pPr>
      <w:pBdr>
        <w:top w:val="single" w:sz="6" w:space="2" w:color="918585"/>
        <w:bottom w:val="single" w:sz="6" w:space="2" w:color="918585"/>
      </w:pBdr>
      <w:tabs>
        <w:tab w:val="left" w:pos="1021"/>
      </w:tabs>
      <w:ind w:firstLine="0"/>
    </w:pPr>
  </w:style>
  <w:style w:type="paragraph" w:customStyle="1" w:styleId="Warning">
    <w:name w:val="Warning"/>
    <w:basedOn w:val="BodyText"/>
    <w:rsid w:val="00B66109"/>
    <w:pPr>
      <w:shd w:val="clear" w:color="auto" w:fill="D9D9D9"/>
      <w:tabs>
        <w:tab w:val="left" w:pos="992"/>
      </w:tabs>
      <w:ind w:left="119" w:right="119"/>
    </w:pPr>
    <w:rPr>
      <w:sz w:val="20"/>
    </w:rPr>
  </w:style>
  <w:style w:type="paragraph" w:customStyle="1" w:styleId="MarginIcons">
    <w:name w:val="Margin Icons"/>
    <w:basedOn w:val="BodyText"/>
    <w:rsid w:val="00B66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109"/>
    <w:rPr>
      <w:rFonts w:ascii="Courier New" w:hAnsi="Courier New"/>
    </w:rPr>
  </w:style>
  <w:style w:type="paragraph" w:customStyle="1" w:styleId="NoteBullet">
    <w:name w:val="Note Bullet"/>
    <w:basedOn w:val="Note"/>
    <w:rsid w:val="00B66109"/>
    <w:pPr>
      <w:tabs>
        <w:tab w:val="clear" w:pos="680"/>
      </w:tabs>
      <w:spacing w:before="60" w:after="60"/>
    </w:pPr>
  </w:style>
  <w:style w:type="paragraph" w:customStyle="1" w:styleId="SubHeading2">
    <w:name w:val="SubHeading2"/>
    <w:basedOn w:val="HeadingBase"/>
    <w:rsid w:val="00B66109"/>
    <w:pPr>
      <w:spacing w:before="240" w:after="60"/>
    </w:pPr>
    <w:rPr>
      <w:sz w:val="20"/>
    </w:rPr>
  </w:style>
  <w:style w:type="paragraph" w:customStyle="1" w:styleId="SubHeading1">
    <w:name w:val="SubHeading1"/>
    <w:basedOn w:val="HeadingBase"/>
    <w:rsid w:val="00B66109"/>
    <w:pPr>
      <w:spacing w:before="240" w:after="60"/>
    </w:pPr>
    <w:rPr>
      <w:color w:val="918585"/>
      <w:sz w:val="22"/>
    </w:rPr>
  </w:style>
  <w:style w:type="paragraph" w:customStyle="1" w:styleId="SideHeading">
    <w:name w:val="Side Heading"/>
    <w:basedOn w:val="HeadingBase"/>
    <w:rsid w:val="00B66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109"/>
    <w:pPr>
      <w:numPr>
        <w:numId w:val="12"/>
      </w:numPr>
    </w:pPr>
  </w:style>
  <w:style w:type="paragraph" w:styleId="PlainText">
    <w:name w:val="Plain Text"/>
    <w:basedOn w:val="Normal"/>
    <w:link w:val="PlainTextChar"/>
    <w:rsid w:val="00B66109"/>
    <w:rPr>
      <w:sz w:val="20"/>
    </w:rPr>
  </w:style>
  <w:style w:type="character" w:customStyle="1" w:styleId="PlainTextChar">
    <w:name w:val="Plain Text Char"/>
    <w:basedOn w:val="DefaultParagraphFont"/>
    <w:link w:val="PlainText"/>
    <w:rsid w:val="00B66109"/>
    <w:rPr>
      <w:rFonts w:ascii="Courier New" w:eastAsia="Times New Roman" w:hAnsi="Courier New" w:cs="Times New Roman"/>
      <w:sz w:val="20"/>
      <w:szCs w:val="20"/>
      <w:lang w:eastAsia="en-US"/>
    </w:rPr>
  </w:style>
  <w:style w:type="character" w:customStyle="1" w:styleId="MenuOption">
    <w:name w:val="Menu Option"/>
    <w:basedOn w:val="DefaultParagraphFont"/>
    <w:rsid w:val="00B66109"/>
    <w:rPr>
      <w:b/>
      <w:smallCaps/>
    </w:rPr>
  </w:style>
  <w:style w:type="paragraph" w:customStyle="1" w:styleId="TableListNumber">
    <w:name w:val="Table List Number"/>
    <w:basedOn w:val="ListNumber"/>
    <w:rsid w:val="00B66109"/>
    <w:pPr>
      <w:numPr>
        <w:numId w:val="0"/>
      </w:numPr>
    </w:pPr>
  </w:style>
  <w:style w:type="paragraph" w:styleId="TOC4">
    <w:name w:val="toc 4"/>
    <w:basedOn w:val="TOCBase"/>
    <w:next w:val="Normal"/>
    <w:semiHidden/>
    <w:rsid w:val="00B66109"/>
    <w:pPr>
      <w:tabs>
        <w:tab w:val="right" w:leader="dot" w:pos="9071"/>
      </w:tabs>
      <w:ind w:left="1701"/>
    </w:pPr>
  </w:style>
  <w:style w:type="paragraph" w:customStyle="1" w:styleId="ListAlpha">
    <w:name w:val="List Alpha"/>
    <w:basedOn w:val="List"/>
    <w:rsid w:val="00B66109"/>
    <w:pPr>
      <w:numPr>
        <w:numId w:val="9"/>
      </w:numPr>
    </w:pPr>
  </w:style>
  <w:style w:type="paragraph" w:customStyle="1" w:styleId="ListAlpha2">
    <w:name w:val="List Alpha 2"/>
    <w:basedOn w:val="List2"/>
    <w:rsid w:val="00B66109"/>
    <w:pPr>
      <w:numPr>
        <w:numId w:val="8"/>
      </w:numPr>
    </w:pPr>
  </w:style>
  <w:style w:type="paragraph" w:styleId="List2">
    <w:name w:val="List 2"/>
    <w:basedOn w:val="BodyText"/>
    <w:rsid w:val="00B66109"/>
    <w:pPr>
      <w:tabs>
        <w:tab w:val="left" w:pos="680"/>
      </w:tabs>
      <w:spacing w:before="60" w:after="60"/>
      <w:ind w:left="680" w:hanging="340"/>
    </w:pPr>
  </w:style>
  <w:style w:type="paragraph" w:styleId="List3">
    <w:name w:val="List 3"/>
    <w:basedOn w:val="BodyText"/>
    <w:rsid w:val="00B66109"/>
    <w:pPr>
      <w:tabs>
        <w:tab w:val="left" w:pos="1021"/>
      </w:tabs>
      <w:spacing w:before="60" w:after="60"/>
      <w:ind w:left="1020" w:hanging="340"/>
    </w:pPr>
  </w:style>
  <w:style w:type="paragraph" w:styleId="List4">
    <w:name w:val="List 4"/>
    <w:basedOn w:val="BodyText"/>
    <w:rsid w:val="00B66109"/>
    <w:pPr>
      <w:tabs>
        <w:tab w:val="left" w:pos="1361"/>
      </w:tabs>
      <w:spacing w:before="60" w:after="60"/>
      <w:ind w:left="1361" w:hanging="340"/>
    </w:pPr>
  </w:style>
  <w:style w:type="paragraph" w:styleId="List5">
    <w:name w:val="List 5"/>
    <w:basedOn w:val="BodyText"/>
    <w:rsid w:val="00B66109"/>
    <w:pPr>
      <w:tabs>
        <w:tab w:val="left" w:pos="1701"/>
      </w:tabs>
      <w:spacing w:before="60" w:after="60"/>
      <w:ind w:left="1701" w:hanging="340"/>
    </w:pPr>
  </w:style>
  <w:style w:type="paragraph" w:styleId="ListBullet3">
    <w:name w:val="List Bullet 3"/>
    <w:basedOn w:val="List3"/>
    <w:rsid w:val="00B66109"/>
    <w:pPr>
      <w:numPr>
        <w:numId w:val="15"/>
      </w:numPr>
      <w:tabs>
        <w:tab w:val="clear" w:pos="1021"/>
      </w:tabs>
      <w:ind w:left="1037" w:hanging="357"/>
    </w:pPr>
  </w:style>
  <w:style w:type="paragraph" w:styleId="ListBullet4">
    <w:name w:val="List Bullet 4"/>
    <w:basedOn w:val="List4"/>
    <w:rsid w:val="00B66109"/>
    <w:pPr>
      <w:numPr>
        <w:numId w:val="3"/>
      </w:numPr>
    </w:pPr>
  </w:style>
  <w:style w:type="paragraph" w:styleId="ListBullet5">
    <w:name w:val="List Bullet 5"/>
    <w:basedOn w:val="List5"/>
    <w:rsid w:val="00B66109"/>
    <w:pPr>
      <w:numPr>
        <w:numId w:val="4"/>
      </w:numPr>
    </w:pPr>
  </w:style>
  <w:style w:type="paragraph" w:styleId="ListContinue2">
    <w:name w:val="List Continue 2"/>
    <w:basedOn w:val="List2"/>
    <w:rsid w:val="00B66109"/>
    <w:pPr>
      <w:ind w:firstLine="0"/>
    </w:pPr>
  </w:style>
  <w:style w:type="paragraph" w:styleId="ListContinue3">
    <w:name w:val="List Continue 3"/>
    <w:basedOn w:val="List3"/>
    <w:rsid w:val="00B66109"/>
    <w:pPr>
      <w:ind w:left="1021" w:firstLine="0"/>
    </w:pPr>
  </w:style>
  <w:style w:type="paragraph" w:styleId="ListContinue4">
    <w:name w:val="List Continue 4"/>
    <w:basedOn w:val="List4"/>
    <w:rsid w:val="00B66109"/>
    <w:pPr>
      <w:ind w:firstLine="0"/>
    </w:pPr>
  </w:style>
  <w:style w:type="paragraph" w:styleId="ListContinue5">
    <w:name w:val="List Continue 5"/>
    <w:basedOn w:val="List5"/>
    <w:rsid w:val="00B66109"/>
    <w:pPr>
      <w:ind w:firstLine="0"/>
    </w:pPr>
  </w:style>
  <w:style w:type="paragraph" w:styleId="ListNumber3">
    <w:name w:val="List Number 3"/>
    <w:basedOn w:val="List3"/>
    <w:rsid w:val="00B66109"/>
    <w:pPr>
      <w:numPr>
        <w:numId w:val="5"/>
      </w:numPr>
    </w:pPr>
  </w:style>
  <w:style w:type="paragraph" w:styleId="ListNumber4">
    <w:name w:val="List Number 4"/>
    <w:basedOn w:val="List4"/>
    <w:rsid w:val="00B66109"/>
    <w:pPr>
      <w:numPr>
        <w:numId w:val="6"/>
      </w:numPr>
    </w:pPr>
  </w:style>
  <w:style w:type="paragraph" w:styleId="ListNumber5">
    <w:name w:val="List Number 5"/>
    <w:basedOn w:val="List5"/>
    <w:rsid w:val="00B66109"/>
    <w:pPr>
      <w:numPr>
        <w:numId w:val="7"/>
      </w:numPr>
    </w:pPr>
  </w:style>
  <w:style w:type="paragraph" w:styleId="BlockText">
    <w:name w:val="Block Text"/>
    <w:basedOn w:val="Normal"/>
    <w:rsid w:val="00B66109"/>
    <w:pPr>
      <w:spacing w:after="120"/>
      <w:ind w:left="1440" w:right="1440"/>
    </w:pPr>
  </w:style>
  <w:style w:type="character" w:customStyle="1" w:styleId="Subscript">
    <w:name w:val="Subscript"/>
    <w:basedOn w:val="DefaultParagraphFont"/>
    <w:rsid w:val="00B66109"/>
    <w:rPr>
      <w:sz w:val="16"/>
      <w:vertAlign w:val="subscript"/>
    </w:rPr>
  </w:style>
  <w:style w:type="character" w:customStyle="1" w:styleId="Superscript">
    <w:name w:val="Superscript"/>
    <w:basedOn w:val="DefaultParagraphFont"/>
    <w:rsid w:val="00B66109"/>
    <w:rPr>
      <w:sz w:val="16"/>
      <w:vertAlign w:val="superscript"/>
    </w:rPr>
  </w:style>
  <w:style w:type="character" w:customStyle="1" w:styleId="Symbols">
    <w:name w:val="Symbols"/>
    <w:basedOn w:val="DefaultParagraphFont"/>
    <w:rsid w:val="00B66109"/>
    <w:rPr>
      <w:rFonts w:ascii="Symbol" w:hAnsi="Symbol"/>
    </w:rPr>
  </w:style>
  <w:style w:type="character" w:customStyle="1" w:styleId="MenuOptions">
    <w:name w:val="Menu Options"/>
    <w:basedOn w:val="DefaultParagraphFont"/>
    <w:rsid w:val="00B66109"/>
    <w:rPr>
      <w:rFonts w:ascii="Arial Narrow" w:hAnsi="Arial Narrow"/>
      <w:smallCaps/>
    </w:rPr>
  </w:style>
  <w:style w:type="character" w:customStyle="1" w:styleId="Buttons">
    <w:name w:val="Buttons"/>
    <w:basedOn w:val="DefaultParagraphFont"/>
    <w:rsid w:val="00B66109"/>
    <w:rPr>
      <w:b/>
    </w:rPr>
  </w:style>
  <w:style w:type="character" w:customStyle="1" w:styleId="Underlined">
    <w:name w:val="Underlined"/>
    <w:basedOn w:val="DefaultParagraphFont"/>
    <w:rsid w:val="00B66109"/>
    <w:rPr>
      <w:u w:val="single"/>
    </w:rPr>
  </w:style>
  <w:style w:type="paragraph" w:customStyle="1" w:styleId="TableBodyTextRight">
    <w:name w:val="Table Body Text Right"/>
    <w:basedOn w:val="TableBodyText"/>
    <w:rsid w:val="00B66109"/>
    <w:pPr>
      <w:widowControl w:val="0"/>
      <w:autoSpaceDE w:val="0"/>
      <w:autoSpaceDN w:val="0"/>
      <w:adjustRightInd w:val="0"/>
      <w:jc w:val="right"/>
    </w:pPr>
    <w:rPr>
      <w:rFonts w:cs="Arial"/>
      <w:szCs w:val="18"/>
    </w:rPr>
  </w:style>
  <w:style w:type="paragraph" w:customStyle="1" w:styleId="CopyrightText">
    <w:name w:val="Copyright Text"/>
    <w:basedOn w:val="BodyText"/>
    <w:rsid w:val="00B66109"/>
    <w:rPr>
      <w:sz w:val="18"/>
    </w:rPr>
  </w:style>
  <w:style w:type="paragraph" w:customStyle="1" w:styleId="BodySmallRight">
    <w:name w:val="Body Small Right"/>
    <w:basedOn w:val="BodyTextRight"/>
    <w:rsid w:val="00B66109"/>
    <w:rPr>
      <w:sz w:val="18"/>
      <w:szCs w:val="18"/>
    </w:rPr>
  </w:style>
  <w:style w:type="paragraph" w:customStyle="1" w:styleId="MarginEdition">
    <w:name w:val="Margin Edition"/>
    <w:basedOn w:val="MarginNote"/>
    <w:rsid w:val="00B66109"/>
    <w:pPr>
      <w:spacing w:before="0" w:after="0"/>
    </w:pPr>
    <w:rPr>
      <w:rFonts w:ascii="Times New Roman" w:hAnsi="Times New Roman"/>
      <w:color w:val="999999"/>
    </w:rPr>
  </w:style>
  <w:style w:type="paragraph" w:customStyle="1" w:styleId="Spacer">
    <w:name w:val="Spacer"/>
    <w:basedOn w:val="Normal"/>
    <w:rsid w:val="00B66109"/>
    <w:rPr>
      <w:sz w:val="2"/>
      <w:szCs w:val="2"/>
    </w:rPr>
  </w:style>
  <w:style w:type="character" w:customStyle="1" w:styleId="Small">
    <w:name w:val="Small"/>
    <w:basedOn w:val="DefaultParagraphFont"/>
    <w:rsid w:val="00B66109"/>
    <w:rPr>
      <w:sz w:val="16"/>
    </w:rPr>
  </w:style>
  <w:style w:type="paragraph" w:customStyle="1" w:styleId="WideTable">
    <w:name w:val="Wide Table"/>
    <w:basedOn w:val="Normal"/>
    <w:rsid w:val="00B66109"/>
    <w:pPr>
      <w:ind w:left="-1418"/>
    </w:pPr>
    <w:rPr>
      <w:sz w:val="2"/>
      <w:szCs w:val="2"/>
    </w:rPr>
  </w:style>
  <w:style w:type="character" w:styleId="PageNumber">
    <w:name w:val="page number"/>
    <w:basedOn w:val="DefaultParagraphFont"/>
    <w:rsid w:val="00B66109"/>
  </w:style>
  <w:style w:type="paragraph" w:styleId="Quote">
    <w:name w:val="Quote"/>
    <w:basedOn w:val="Heading1"/>
    <w:link w:val="QuoteChar"/>
    <w:qFormat/>
    <w:rsid w:val="00B66109"/>
    <w:rPr>
      <w:b w:val="0"/>
      <w:sz w:val="72"/>
      <w:szCs w:val="72"/>
      <w:lang w:val="en-NZ"/>
    </w:rPr>
  </w:style>
  <w:style w:type="character" w:customStyle="1" w:styleId="QuoteChar">
    <w:name w:val="Quote Char"/>
    <w:basedOn w:val="DefaultParagraphFont"/>
    <w:link w:val="Quote"/>
    <w:rsid w:val="00B66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109"/>
    <w:pPr>
      <w:pageBreakBefore/>
    </w:pPr>
  </w:style>
  <w:style w:type="paragraph" w:customStyle="1" w:styleId="Border">
    <w:name w:val="Border"/>
    <w:basedOn w:val="Normal"/>
    <w:qFormat/>
    <w:rsid w:val="00B66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109"/>
    <w:rPr>
      <w:b/>
      <w:bCs/>
      <w:i/>
      <w:iCs/>
      <w:color w:val="auto"/>
    </w:rPr>
  </w:style>
  <w:style w:type="paragraph" w:styleId="IntenseQuote">
    <w:name w:val="Intense Quote"/>
    <w:basedOn w:val="Normal"/>
    <w:next w:val="Normal"/>
    <w:link w:val="IntenseQuoteChar"/>
    <w:uiPriority w:val="30"/>
    <w:qFormat/>
    <w:rsid w:val="00B66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1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109"/>
    <w:rPr>
      <w:smallCaps/>
      <w:color w:val="auto"/>
      <w:u w:val="single"/>
    </w:rPr>
  </w:style>
  <w:style w:type="character" w:styleId="IntenseReference">
    <w:name w:val="Intense Reference"/>
    <w:basedOn w:val="DefaultParagraphFont"/>
    <w:uiPriority w:val="32"/>
    <w:qFormat/>
    <w:rsid w:val="00B66109"/>
    <w:rPr>
      <w:b/>
      <w:bCs/>
      <w:smallCaps/>
      <w:color w:val="auto"/>
      <w:spacing w:val="5"/>
      <w:u w:val="single"/>
    </w:rPr>
  </w:style>
  <w:style w:type="paragraph" w:customStyle="1" w:styleId="2ColumnHeading">
    <w:name w:val="2Column Heading"/>
    <w:basedOn w:val="BodyText"/>
    <w:qFormat/>
    <w:rsid w:val="00B66109"/>
    <w:pPr>
      <w:spacing w:after="60"/>
      <w:ind w:left="-2268"/>
    </w:pPr>
    <w:rPr>
      <w:b/>
    </w:rPr>
  </w:style>
  <w:style w:type="paragraph" w:customStyle="1" w:styleId="Heading1TOC">
    <w:name w:val="Heading1 TOC"/>
    <w:basedOn w:val="Normal"/>
    <w:qFormat/>
    <w:rsid w:val="00B66109"/>
    <w:pPr>
      <w:spacing w:before="240" w:after="120"/>
    </w:pPr>
    <w:rPr>
      <w:rFonts w:ascii="Times New Roman" w:hAnsi="Times New Roman"/>
      <w:b/>
      <w:sz w:val="32"/>
    </w:rPr>
  </w:style>
  <w:style w:type="paragraph" w:customStyle="1" w:styleId="Heading2TOC">
    <w:name w:val="Heading2 TOC"/>
    <w:basedOn w:val="Normal"/>
    <w:qFormat/>
    <w:rsid w:val="00B66109"/>
    <w:pPr>
      <w:spacing w:before="240" w:after="60"/>
    </w:pPr>
    <w:rPr>
      <w:rFonts w:ascii="Times New Roman" w:hAnsi="Times New Roman"/>
      <w:b/>
      <w:sz w:val="28"/>
    </w:rPr>
  </w:style>
  <w:style w:type="paragraph" w:styleId="BalloonText">
    <w:name w:val="Balloon Text"/>
    <w:basedOn w:val="Normal"/>
    <w:link w:val="BalloonTextChar"/>
    <w:rsid w:val="00B66109"/>
    <w:rPr>
      <w:rFonts w:ascii="Tahoma" w:hAnsi="Tahoma" w:cs="Tahoma"/>
      <w:sz w:val="16"/>
      <w:szCs w:val="16"/>
    </w:rPr>
  </w:style>
  <w:style w:type="character" w:customStyle="1" w:styleId="BalloonTextChar">
    <w:name w:val="Balloon Text Char"/>
    <w:basedOn w:val="DefaultParagraphFont"/>
    <w:link w:val="BalloonText"/>
    <w:rsid w:val="00B661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1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1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109"/>
    <w:rPr>
      <w:b/>
      <w:color w:val="660033"/>
      <w:spacing w:val="0"/>
    </w:rPr>
  </w:style>
  <w:style w:type="paragraph" w:customStyle="1" w:styleId="Nameditemlist">
    <w:name w:val="Named item list"/>
    <w:basedOn w:val="BodyText"/>
    <w:qFormat/>
    <w:rsid w:val="00B661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8705</Characters>
  <Application>Microsoft Office Word</Application>
  <DocSecurity>0</DocSecurity>
  <Lines>272</Lines>
  <Paragraphs>171</Paragraphs>
  <ScaleCrop>false</ScaleCrop>
  <Company>Author-it Software Corporation Ltd.</Company>
  <LinksUpToDate>false</LinksUpToDate>
  <CharactersWithSpaces>10003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PSPGOV520A Scope statistical data collection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2012-11-01T18:19:00Z</dcterms:created>
  <dcterms:modified xsi:type="dcterms:W3CDTF">2012-11-01T18:19:00Z</dcterms:modified>
</cp:coreProperties>
</file>