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4F76" w:rsidP="00464F76">
      <w:pPr>
        <w:pStyle w:val="Title"/>
      </w:pPr>
      <w:r>
        <w:fldChar w:fldCharType="begin"/>
      </w:r>
      <w:r>
        <w:instrText xml:space="preserve"> TITLE   \* MERGEFORMAT </w:instrText>
      </w:r>
      <w:r>
        <w:fldChar w:fldCharType="separate"/>
      </w:r>
      <w:r>
        <w:t>PSPGOV512A Use complex workplace communication strategies</w:t>
      </w:r>
      <w:r>
        <w:fldChar w:fldCharType="end"/>
      </w:r>
    </w:p>
    <w:p w:rsidR="00464F76" w:rsidP="00464F76">
      <w:pPr>
        <w:pStyle w:val="Version"/>
        <w:sectPr w:rsidSect="00B35ED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B35EDE" w:rsidP="00B35EDE">
      <w:pPr>
        <w:pStyle w:val="SuperHeading"/>
      </w:pPr>
      <w:r w:rsidRPr="00B35EDE">
        <w:t>PSPGOV512A Use complex workplace communication strategies</w:t>
      </w:r>
    </w:p>
    <w:p w:rsidR="00000000" w:rsidRPr="00B35EDE" w:rsidP="00B35EDE">
      <w:pPr>
        <w:pStyle w:val="SuperHeading"/>
      </w:pPr>
    </w:p>
    <w:p w:rsidR="00000000" w:rsidRPr="00B35EDE" w:rsidP="00B35EDE">
      <w:pPr>
        <w:pStyle w:val="Heading1"/>
      </w:pPr>
      <w:bookmarkStart w:id="1" w:name="O_493446"/>
      <w:bookmarkEnd w:id="1"/>
      <w:r w:rsidRPr="00B35EDE">
        <w:t>Modification History</w:t>
      </w:r>
    </w:p>
    <w:tbl>
      <w:tblPr>
        <w:tblW w:w="0" w:type="auto"/>
        <w:tblLayout w:type="fixed"/>
        <w:tblCellMar>
          <w:left w:w="62" w:type="dxa"/>
          <w:right w:w="62" w:type="dxa"/>
        </w:tblCellMar>
        <w:tblLook w:val="0000"/>
      </w:tblPr>
      <w:tblGrid>
        <w:gridCol w:w="3052"/>
        <w:gridCol w:w="3052"/>
        <w:gridCol w:w="3052"/>
      </w:tblGrid>
      <w:tr w:rsidTr="00464F76">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5EDE" w:rsidP="00B35EDE">
            <w:pPr>
              <w:pStyle w:val="BodyText"/>
            </w:pPr>
            <w:r w:rsidRPr="00B35EDE">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5EDE" w:rsidP="00B35EDE">
            <w:pPr>
              <w:pStyle w:val="BodyText"/>
            </w:pPr>
            <w:r w:rsidRPr="00B35EDE">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EDE">
            <w:pPr>
              <w:pStyle w:val="BodyText"/>
              <w:rPr>
                <w:lang w:val="en-NZ"/>
              </w:rPr>
            </w:pPr>
            <w:r w:rsidRPr="00B35EDE">
              <w:rPr>
                <w:rStyle w:val="SpecialBold"/>
              </w:rPr>
              <w:t>Comments</w:t>
            </w:r>
          </w:p>
        </w:tc>
      </w:tr>
      <w:tr w:rsidTr="00464F76">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EDE">
            <w:pPr>
              <w:pStyle w:val="BodyText"/>
              <w:rPr>
                <w:lang w:val="en-NZ"/>
              </w:rPr>
            </w:pPr>
            <w:r w:rsidRPr="00B35EDE">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EDE">
            <w:pPr>
              <w:pStyle w:val="BodyText"/>
              <w:rPr>
                <w:lang w:val="en-NZ"/>
              </w:rPr>
            </w:pPr>
            <w:r w:rsidRPr="00B35EDE">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EDE">
            <w:pPr>
              <w:pStyle w:val="BodyText"/>
              <w:rPr>
                <w:lang w:val="en-NZ"/>
              </w:rPr>
            </w:pPr>
            <w:r w:rsidRPr="00B35EDE">
              <w:t xml:space="preserve">Unit descriptor edited. </w:t>
            </w:r>
          </w:p>
        </w:tc>
      </w:tr>
      <w:tr w:rsidTr="00464F76">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EDE">
            <w:pPr>
              <w:pStyle w:val="BodyText"/>
              <w:rPr>
                <w:lang w:val="en-NZ"/>
              </w:rPr>
            </w:pPr>
            <w:r w:rsidRPr="00B35EDE">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EDE">
            <w:pPr>
              <w:pStyle w:val="BodyText"/>
              <w:rPr>
                <w:lang w:val="en-NZ"/>
              </w:rPr>
            </w:pPr>
            <w:r w:rsidRPr="00B35EDE">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EDE">
            <w:pPr>
              <w:pStyle w:val="BodyText"/>
              <w:rPr>
                <w:lang w:val="en-NZ"/>
              </w:rPr>
            </w:pPr>
            <w:r w:rsidRPr="00B35EDE">
              <w:t>Layout adjusted. No changes to content.</w:t>
            </w:r>
          </w:p>
        </w:tc>
      </w:tr>
      <w:tr w:rsidTr="00464F76">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EDE">
            <w:pPr>
              <w:pStyle w:val="BodyText"/>
              <w:rPr>
                <w:lang w:val="en-NZ"/>
              </w:rPr>
            </w:pPr>
            <w:r w:rsidRPr="00B35EDE">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EDE">
            <w:pPr>
              <w:pStyle w:val="BodyText"/>
              <w:rPr>
                <w:lang w:val="en-NZ"/>
              </w:rPr>
            </w:pPr>
            <w:r w:rsidRPr="00B35EDE">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5EDE" w:rsidP="00B35EDE">
            <w:pPr>
              <w:pStyle w:val="BodyText"/>
            </w:pPr>
            <w:r w:rsidRPr="00B35EDE">
              <w:t>Primary release.</w:t>
            </w:r>
          </w:p>
        </w:tc>
      </w:tr>
    </w:tbl>
    <w:p w:rsidR="00464F76" w:rsidP="00B35EDE">
      <w:pPr>
        <w:pStyle w:val="BodyText"/>
      </w:pPr>
    </w:p>
    <w:p w:rsidR="00464F76" w:rsidP="00B35EDE">
      <w:pPr>
        <w:pStyle w:val="BodyText"/>
      </w:pPr>
    </w:p>
    <w:p w:rsidR="00000000" w:rsidRPr="00B35EDE" w:rsidP="00B35EDE">
      <w:pPr>
        <w:pStyle w:val="Heading1"/>
      </w:pPr>
      <w:bookmarkStart w:id="2" w:name="O_493449"/>
      <w:bookmarkEnd w:id="2"/>
      <w:r w:rsidRPr="00B35EDE">
        <w:t>Unit Descriptor</w:t>
      </w:r>
    </w:p>
    <w:p w:rsidR="00000000" w:rsidRPr="00B35EDE" w:rsidP="00B35EDE">
      <w:pPr>
        <w:pStyle w:val="BodyText"/>
      </w:pPr>
      <w:r w:rsidRPr="00B35EDE">
        <w:t>This unit covers complex workplace communication for working at middle management level with internal and external clients, colleagues</w:t>
      </w:r>
      <w:r w:rsidRPr="00B35EDE">
        <w:t xml:space="preserve"> and other staff. It includes preparing for complex communication, analysing and responding to opinions, presenting a convincing argument, and developing a range of communication strategies.</w:t>
      </w:r>
    </w:p>
    <w:p w:rsidR="00000000" w:rsidRPr="00B35EDE" w:rsidP="00B35EDE">
      <w:pPr>
        <w:pStyle w:val="BodyText"/>
      </w:pPr>
      <w:r w:rsidRPr="00B35EDE">
        <w:t>In practice, using complex workplace communication strategies may</w:t>
      </w:r>
      <w:r w:rsidRPr="00B35EDE">
        <w:t xml:space="preserve"> overlap with other generalist or specialist public sector work activities such as acting ethically, complying with legislation, applying government systems, managing change, managing diversity, etc. </w:t>
      </w:r>
    </w:p>
    <w:p w:rsidR="00000000" w:rsidRPr="00B35EDE" w:rsidP="00B35EDE">
      <w:pPr>
        <w:pStyle w:val="BodyText"/>
      </w:pPr>
      <w:r w:rsidRPr="00B35EDE">
        <w:t xml:space="preserve">This is one of 5 units of competency in the </w:t>
      </w:r>
      <w:r w:rsidRPr="00B35EDE">
        <w:rPr>
          <w:rStyle w:val="Emphasis"/>
        </w:rPr>
        <w:t>Working in Government</w:t>
      </w:r>
      <w:r w:rsidRPr="00B35EDE">
        <w:t xml:space="preserve"> Competency Field that deal with communication. Related units are: </w:t>
      </w:r>
    </w:p>
    <w:p w:rsidR="00000000" w:rsidRPr="00B35EDE" w:rsidP="00B35EDE">
      <w:pPr>
        <w:pStyle w:val="ListBullet"/>
      </w:pPr>
      <w:r w:rsidRPr="00B35EDE">
        <w:t>PSPGOV202B Use routine workplace communication techniques</w:t>
      </w:r>
    </w:p>
    <w:p w:rsidR="00000000" w:rsidRPr="00B35EDE" w:rsidP="00B35EDE">
      <w:pPr>
        <w:pStyle w:val="ListBullet"/>
      </w:pPr>
      <w:r w:rsidRPr="00B35EDE">
        <w:t>PSPGOV312A Use workplace communication strategies</w:t>
      </w:r>
    </w:p>
    <w:p w:rsidR="00000000" w:rsidRPr="00B35EDE" w:rsidP="00B35EDE">
      <w:pPr>
        <w:pStyle w:val="ListBullet"/>
      </w:pPr>
      <w:r w:rsidRPr="00B35EDE">
        <w:t>PSPGOV412A Use advanced workplace communication strategies</w:t>
      </w:r>
      <w:r w:rsidRPr="00B35EDE">
        <w:t xml:space="preserve"> </w:t>
      </w:r>
    </w:p>
    <w:p w:rsidR="00000000" w:rsidRPr="00B35EDE" w:rsidP="00B35EDE">
      <w:pPr>
        <w:pStyle w:val="ListBullet"/>
      </w:pPr>
      <w:r w:rsidRPr="00B35EDE">
        <w:t>PSPGOV605A Persuade and influence opinion</w:t>
      </w:r>
    </w:p>
    <w:p w:rsidR="00000000" w:rsidRPr="00B35EDE" w:rsidP="00B35EDE">
      <w:pPr>
        <w:pStyle w:val="ListBullet"/>
      </w:pPr>
    </w:p>
    <w:p w:rsidR="00000000" w:rsidRPr="00B35EDE" w:rsidP="00B35EDE">
      <w:pPr>
        <w:pStyle w:val="ListBullet"/>
      </w:pPr>
      <w:r w:rsidRPr="00B35EDE">
        <w:t>No licensing, legislative, regulatory or certification requirements apply to this unit at the time of publication</w:t>
      </w:r>
    </w:p>
    <w:p w:rsidR="00000000" w:rsidRPr="00B35EDE" w:rsidP="00B35EDE">
      <w:pPr>
        <w:pStyle w:val="AllowPageBreak"/>
      </w:pPr>
    </w:p>
    <w:p w:rsidR="00000000" w:rsidRPr="00B35EDE" w:rsidP="00B35EDE">
      <w:pPr>
        <w:pStyle w:val="Heading1"/>
      </w:pPr>
      <w:bookmarkStart w:id="3" w:name="O_493458"/>
      <w:bookmarkEnd w:id="3"/>
      <w:r w:rsidRPr="00B35EDE">
        <w:t>Application of the Unit</w:t>
      </w:r>
    </w:p>
    <w:p w:rsidR="00000000" w:rsidRPr="00B35EDE" w:rsidP="00B35EDE">
      <w:pPr>
        <w:pStyle w:val="BodyText"/>
      </w:pPr>
      <w:r w:rsidRPr="00B35EDE">
        <w:t>Not applicable.</w:t>
      </w:r>
    </w:p>
    <w:p w:rsidR="00000000" w:rsidRPr="00B35EDE" w:rsidP="00B35EDE">
      <w:pPr>
        <w:pStyle w:val="AllowPageBreak"/>
      </w:pPr>
    </w:p>
    <w:p w:rsidR="00000000" w:rsidRPr="00B35EDE" w:rsidP="00B35EDE">
      <w:pPr>
        <w:pStyle w:val="Heading1"/>
      </w:pPr>
      <w:bookmarkStart w:id="4" w:name="O_493450"/>
      <w:bookmarkEnd w:id="4"/>
      <w:r w:rsidRPr="00B35EDE">
        <w:t>Licensing/Regulatory In</w:t>
      </w:r>
      <w:r w:rsidRPr="00B35EDE">
        <w:t>formation</w:t>
      </w:r>
    </w:p>
    <w:p w:rsidR="00000000" w:rsidRPr="00B35EDE" w:rsidP="00B35EDE">
      <w:pPr>
        <w:pStyle w:val="BodyText"/>
      </w:pPr>
      <w:r w:rsidRPr="00B35EDE">
        <w:t>Not applicable.</w:t>
      </w:r>
    </w:p>
    <w:p w:rsidR="00000000" w:rsidRPr="00B35EDE" w:rsidP="00B35EDE">
      <w:pPr>
        <w:pStyle w:val="AllowPageBreak"/>
      </w:pPr>
    </w:p>
    <w:p w:rsidR="00000000" w:rsidRPr="00B35EDE" w:rsidP="00B35EDE">
      <w:pPr>
        <w:pStyle w:val="Heading1"/>
      </w:pPr>
      <w:bookmarkStart w:id="5" w:name="O_493452"/>
      <w:bookmarkEnd w:id="5"/>
      <w:r w:rsidRPr="00B35EDE">
        <w:t>Pre-Requisites</w:t>
      </w:r>
    </w:p>
    <w:p w:rsidR="00000000" w:rsidRPr="00B35EDE" w:rsidP="00B35EDE">
      <w:pPr>
        <w:pStyle w:val="BodyText"/>
      </w:pPr>
      <w:r w:rsidRPr="00B35EDE">
        <w:t>Not applicable.</w:t>
      </w:r>
    </w:p>
    <w:p w:rsidR="00000000" w:rsidRPr="00B35EDE" w:rsidP="00B35EDE">
      <w:pPr>
        <w:pStyle w:val="AllowPageBreak"/>
      </w:pPr>
    </w:p>
    <w:p w:rsidR="00000000" w:rsidRPr="00B35EDE" w:rsidP="00B35EDE">
      <w:pPr>
        <w:pStyle w:val="Heading1"/>
      </w:pPr>
      <w:bookmarkStart w:id="6" w:name="O_493454"/>
      <w:bookmarkEnd w:id="6"/>
      <w:r w:rsidRPr="00B35EDE">
        <w:t>Employability Skills Information</w:t>
      </w:r>
    </w:p>
    <w:p w:rsidR="00000000" w:rsidRPr="00B35EDE" w:rsidP="00B35EDE">
      <w:pPr>
        <w:pStyle w:val="BodyText"/>
      </w:pPr>
      <w:r w:rsidRPr="00B35EDE">
        <w:t>This unit contains employability skills.</w:t>
      </w:r>
    </w:p>
    <w:p w:rsidR="00000000" w:rsidRPr="00B35EDE" w:rsidP="00B35EDE">
      <w:pPr>
        <w:pStyle w:val="AllowPageBreak"/>
      </w:pPr>
    </w:p>
    <w:p w:rsidR="00000000" w:rsidRPr="00B35EDE" w:rsidP="00B35EDE">
      <w:pPr>
        <w:pStyle w:val="Heading1"/>
      </w:pPr>
      <w:bookmarkStart w:id="7" w:name="O_493455"/>
      <w:bookmarkEnd w:id="7"/>
      <w:r w:rsidRPr="00B35EDE">
        <w:t>Elements and Performance Criteria Pre-Content</w:t>
      </w:r>
    </w:p>
    <w:tbl>
      <w:tblPr>
        <w:tblW w:w="9322" w:type="dxa"/>
        <w:tblLayout w:type="fixed"/>
        <w:tblCellMar>
          <w:left w:w="62" w:type="dxa"/>
          <w:right w:w="62" w:type="dxa"/>
        </w:tblCellMar>
        <w:tblLook w:val="0000"/>
      </w:tblPr>
      <w:tblGrid>
        <w:gridCol w:w="2660"/>
        <w:gridCol w:w="6662"/>
      </w:tblGrid>
      <w:tr w:rsidTr="00464F7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35EDE">
            <w:pPr>
              <w:pStyle w:val="BodyText"/>
              <w:rPr>
                <w:lang w:val="en-NZ"/>
              </w:rPr>
            </w:pPr>
            <w:r w:rsidRPr="00B35EDE">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B35EDE" w:rsidP="00B35EDE">
            <w:pPr>
              <w:pStyle w:val="BodyText"/>
            </w:pPr>
            <w:r w:rsidRPr="00B35EDE">
              <w:t xml:space="preserve">Together, performance criteria specify the requirements for competent performance. Text in </w:t>
            </w:r>
            <w:r w:rsidRPr="00B35EDE">
              <w:rPr>
                <w:rStyle w:val="BoldandItalics"/>
              </w:rPr>
              <w:t xml:space="preserve">bold italics </w:t>
            </w:r>
            <w:r w:rsidRPr="00B35EDE">
              <w:t>is explained in the Range Statement following.</w:t>
            </w:r>
          </w:p>
        </w:tc>
      </w:tr>
    </w:tbl>
    <w:p w:rsidR="00000000" w:rsidRPr="00B35EDE" w:rsidP="00B35EDE">
      <w:pPr>
        <w:pStyle w:val="BodyText"/>
      </w:pPr>
    </w:p>
    <w:p w:rsidR="00000000" w:rsidRPr="00B35EDE" w:rsidP="00B35EDE">
      <w:pPr>
        <w:pStyle w:val="AllowPageBreak"/>
      </w:pPr>
    </w:p>
    <w:p w:rsidR="00000000" w:rsidRPr="00B35EDE" w:rsidP="00B35EDE">
      <w:pPr>
        <w:pStyle w:val="Heading1"/>
      </w:pPr>
      <w:bookmarkStart w:id="8" w:name="O_493456"/>
      <w:bookmarkEnd w:id="8"/>
      <w:r w:rsidRPr="00B35EDE">
        <w:t>Elements and Performanc</w:t>
      </w:r>
      <w:r w:rsidRPr="00B35EDE">
        <w:t>e Criteria</w:t>
      </w:r>
    </w:p>
    <w:tbl>
      <w:tblPr>
        <w:tblW w:w="9322" w:type="dxa"/>
        <w:tblLayout w:type="fixed"/>
        <w:tblCellMar>
          <w:left w:w="62" w:type="dxa"/>
          <w:right w:w="62" w:type="dxa"/>
        </w:tblCellMar>
        <w:tblLook w:val="0000"/>
      </w:tblPr>
      <w:tblGrid>
        <w:gridCol w:w="2660"/>
        <w:gridCol w:w="6662"/>
      </w:tblGrid>
      <w:tr w:rsidTr="00464F76">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B35EDE" w:rsidP="00B35EDE">
            <w:pPr>
              <w:pStyle w:val="BodyText"/>
            </w:pPr>
            <w:r w:rsidRPr="00B35EDE">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B35EDE">
            <w:pPr>
              <w:pStyle w:val="BodyText"/>
              <w:rPr>
                <w:lang w:val="en-NZ"/>
              </w:rPr>
            </w:pPr>
            <w:r w:rsidRPr="00B35EDE">
              <w:rPr>
                <w:rStyle w:val="SpecialBold"/>
              </w:rPr>
              <w:t>PERFORMANCE CRITERIA</w:t>
            </w:r>
          </w:p>
        </w:tc>
      </w:tr>
      <w:tr w:rsidTr="00464F7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35EDE">
            <w:pPr>
              <w:pStyle w:val="List"/>
              <w:rPr>
                <w:lang w:val="en-NZ"/>
              </w:rPr>
            </w:pPr>
            <w:r w:rsidRPr="00B35EDE">
              <w:rPr>
                <w:rStyle w:val="SpecialBold"/>
              </w:rPr>
              <w:t>1</w:t>
            </w:r>
            <w:r w:rsidRPr="00B35EDE">
              <w:t xml:space="preserve">. </w:t>
            </w:r>
            <w:r w:rsidRPr="00B35EDE">
              <w:tab/>
            </w:r>
            <w:r w:rsidRPr="00B35EDE">
              <w:rPr>
                <w:rStyle w:val="SpecialBold"/>
              </w:rPr>
              <w:t>Prepare for complex communication</w:t>
            </w:r>
          </w:p>
        </w:tc>
        <w:tc>
          <w:tcPr>
            <w:tcW w:w="6662" w:type="dxa"/>
            <w:tcBorders>
              <w:top w:val="nil"/>
              <w:left w:val="nil"/>
              <w:bottom w:val="nil"/>
              <w:right w:val="nil"/>
            </w:tcBorders>
            <w:tcMar>
              <w:top w:w="0" w:type="dxa"/>
              <w:left w:w="62" w:type="dxa"/>
              <w:bottom w:w="0" w:type="dxa"/>
              <w:right w:w="62" w:type="dxa"/>
            </w:tcMar>
          </w:tcPr>
          <w:p w:rsidR="00000000" w:rsidRPr="00B35EDE" w:rsidP="00B35EDE">
            <w:pPr>
              <w:pStyle w:val="List"/>
            </w:pPr>
            <w:r w:rsidRPr="00B35EDE">
              <w:t>1.1</w:t>
            </w:r>
            <w:r w:rsidRPr="00B35EDE">
              <w:tab/>
            </w:r>
            <w:r w:rsidRPr="00B35EDE">
              <w:rPr>
                <w:rStyle w:val="BoldandItalics"/>
              </w:rPr>
              <w:t xml:space="preserve">Communication objectives </w:t>
            </w:r>
            <w:r w:rsidRPr="00B35EDE">
              <w:t xml:space="preserve">are clarified, those to be </w:t>
            </w:r>
            <w:r w:rsidRPr="00B35EDE">
              <w:rPr>
                <w:rStyle w:val="BoldandItalics"/>
              </w:rPr>
              <w:t xml:space="preserve">present </w:t>
            </w:r>
            <w:r w:rsidRPr="00B35EDE">
              <w:t xml:space="preserve">are confirmed and </w:t>
            </w:r>
            <w:r w:rsidRPr="00B35EDE">
              <w:rPr>
                <w:rStyle w:val="BoldandItalics"/>
              </w:rPr>
              <w:t xml:space="preserve">communication mode </w:t>
            </w:r>
            <w:r w:rsidRPr="00B35EDE">
              <w:t>is identified.</w:t>
            </w:r>
          </w:p>
          <w:p w:rsidR="00000000" w:rsidRPr="00B35EDE" w:rsidP="00B35EDE">
            <w:pPr>
              <w:pStyle w:val="List"/>
            </w:pPr>
            <w:r w:rsidRPr="00B35EDE">
              <w:t>1.2</w:t>
            </w:r>
            <w:r w:rsidRPr="00B35EDE">
              <w:tab/>
              <w:t>Analysis is undertaken to anticipate the likely positions</w:t>
            </w:r>
            <w:r w:rsidRPr="00B35EDE">
              <w:t xml:space="preserve"> to be taken by those present on the matters under discussion.</w:t>
            </w:r>
          </w:p>
          <w:p w:rsidR="00000000" w:rsidRPr="00B35EDE" w:rsidP="00B35EDE">
            <w:pPr>
              <w:pStyle w:val="List"/>
            </w:pPr>
            <w:r w:rsidRPr="00B35EDE">
              <w:t>1.3</w:t>
            </w:r>
            <w:r w:rsidRPr="00B35EDE">
              <w:tab/>
              <w:t>Subject matter is researched/</w:t>
            </w:r>
            <w:r w:rsidRPr="00B35EDE">
              <w:rPr>
                <w:rStyle w:val="BoldandItalics"/>
              </w:rPr>
              <w:t>organised</w:t>
            </w:r>
            <w:r w:rsidRPr="00B35EDE">
              <w:t>, key points to be conveyed are identified and recorded, and information to counter other positions is summarised.</w:t>
            </w:r>
          </w:p>
          <w:p w:rsidR="00000000" w:rsidP="00B35EDE">
            <w:pPr>
              <w:pStyle w:val="List"/>
              <w:rPr>
                <w:lang w:val="en-NZ"/>
              </w:rPr>
            </w:pPr>
            <w:r w:rsidRPr="00B35EDE">
              <w:t>1.4</w:t>
            </w:r>
            <w:r w:rsidRPr="00B35EDE">
              <w:tab/>
              <w:t xml:space="preserve">Requirements of </w:t>
            </w:r>
            <w:r w:rsidRPr="00B35EDE">
              <w:rPr>
                <w:rStyle w:val="BoldandItalics"/>
              </w:rPr>
              <w:t>legislation, policy and guidelines</w:t>
            </w:r>
            <w:r w:rsidRPr="00B35EDE">
              <w:t xml:space="preserve"> relevant to the discussion are identified and incorporated.</w:t>
            </w:r>
          </w:p>
        </w:tc>
      </w:tr>
      <w:tr w:rsidTr="00464F7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35EDE">
            <w:pPr>
              <w:pStyle w:val="List"/>
              <w:rPr>
                <w:lang w:val="en-NZ"/>
              </w:rPr>
            </w:pPr>
            <w:r w:rsidRPr="00B35EDE">
              <w:rPr>
                <w:rStyle w:val="SpecialBold"/>
              </w:rPr>
              <w:t>2</w:t>
            </w:r>
            <w:r w:rsidRPr="00B35EDE">
              <w:t xml:space="preserve">. </w:t>
            </w:r>
            <w:r w:rsidRPr="00B35EDE">
              <w:tab/>
            </w:r>
            <w:r w:rsidRPr="00B35EDE">
              <w:rPr>
                <w:rStyle w:val="SpecialBold"/>
              </w:rPr>
              <w:t>Analyse and respond to opinions</w:t>
            </w:r>
          </w:p>
        </w:tc>
        <w:tc>
          <w:tcPr>
            <w:tcW w:w="6662" w:type="dxa"/>
            <w:tcBorders>
              <w:top w:val="nil"/>
              <w:left w:val="nil"/>
              <w:bottom w:val="nil"/>
              <w:right w:val="nil"/>
            </w:tcBorders>
            <w:tcMar>
              <w:top w:w="0" w:type="dxa"/>
              <w:left w:w="62" w:type="dxa"/>
              <w:bottom w:w="0" w:type="dxa"/>
              <w:right w:w="62" w:type="dxa"/>
            </w:tcMar>
          </w:tcPr>
          <w:p w:rsidR="00000000" w:rsidRPr="00B35EDE" w:rsidP="00B35EDE">
            <w:pPr>
              <w:pStyle w:val="List"/>
            </w:pPr>
            <w:r w:rsidRPr="00B35EDE">
              <w:t>2.1</w:t>
            </w:r>
            <w:r w:rsidRPr="00B35EDE">
              <w:tab/>
              <w:t>Discussion is evaluated to identify impartiality, bias or unsupported argument.</w:t>
            </w:r>
          </w:p>
          <w:p w:rsidR="00000000" w:rsidRPr="00B35EDE" w:rsidP="00B35EDE">
            <w:pPr>
              <w:pStyle w:val="List"/>
            </w:pPr>
            <w:r w:rsidRPr="00B35EDE">
              <w:t>2.2</w:t>
            </w:r>
            <w:r w:rsidRPr="00B35EDE">
              <w:tab/>
              <w:t>Points of view of other speakers are</w:t>
            </w:r>
            <w:r w:rsidRPr="00B35EDE">
              <w:t xml:space="preserve"> noted and information to counter opposing views is presented objectively in accordance with required position.</w:t>
            </w:r>
          </w:p>
          <w:p w:rsidR="00000000" w:rsidRPr="00B35EDE" w:rsidP="00B35EDE">
            <w:pPr>
              <w:pStyle w:val="List"/>
            </w:pPr>
            <w:r w:rsidRPr="00B35EDE">
              <w:t>2.3</w:t>
            </w:r>
            <w:r w:rsidRPr="00B35EDE">
              <w:tab/>
            </w:r>
            <w:r w:rsidRPr="00B35EDE">
              <w:rPr>
                <w:rStyle w:val="BoldandItalics"/>
              </w:rPr>
              <w:t>Reaction to speakers</w:t>
            </w:r>
            <w:r w:rsidRPr="00B35EDE">
              <w:t xml:space="preserve"> and their point of view is analysed to identify and manage emotional reactions and maintain objectivity.</w:t>
            </w:r>
          </w:p>
          <w:p w:rsidR="00000000" w:rsidRPr="00B35EDE" w:rsidP="00B35EDE">
            <w:pPr>
              <w:pStyle w:val="List"/>
            </w:pPr>
            <w:r w:rsidRPr="00B35EDE">
              <w:t>2.4</w:t>
            </w:r>
            <w:r w:rsidRPr="00B35EDE">
              <w:tab/>
              <w:t>Opposing/c</w:t>
            </w:r>
            <w:r w:rsidRPr="00B35EDE">
              <w:t>hallenging views are examined for their value in achieving the same ends.</w:t>
            </w:r>
          </w:p>
          <w:p w:rsidR="00000000" w:rsidP="00B35EDE">
            <w:pPr>
              <w:pStyle w:val="List"/>
              <w:rPr>
                <w:lang w:val="en-NZ"/>
              </w:rPr>
            </w:pPr>
            <w:r w:rsidRPr="00B35EDE">
              <w:t>2.5</w:t>
            </w:r>
            <w:r w:rsidRPr="00B35EDE">
              <w:tab/>
              <w:t>Active listening and questioning are used to clarify own understanding, challenge or justify other points of view.</w:t>
            </w:r>
          </w:p>
        </w:tc>
      </w:tr>
      <w:tr w:rsidTr="00464F7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35EDE">
            <w:pPr>
              <w:pStyle w:val="List"/>
              <w:rPr>
                <w:lang w:val="en-NZ"/>
              </w:rPr>
            </w:pPr>
            <w:r w:rsidRPr="00B35EDE">
              <w:rPr>
                <w:rStyle w:val="SpecialBold"/>
              </w:rPr>
              <w:t>3</w:t>
            </w:r>
            <w:r w:rsidRPr="00B35EDE">
              <w:t xml:space="preserve">. </w:t>
            </w:r>
            <w:r w:rsidRPr="00B35EDE">
              <w:tab/>
            </w:r>
            <w:r w:rsidRPr="00B35EDE">
              <w:rPr>
                <w:rStyle w:val="SpecialBold"/>
              </w:rPr>
              <w:t>Present a convincing argument</w:t>
            </w:r>
          </w:p>
        </w:tc>
        <w:tc>
          <w:tcPr>
            <w:tcW w:w="6662" w:type="dxa"/>
            <w:tcBorders>
              <w:top w:val="nil"/>
              <w:left w:val="nil"/>
              <w:bottom w:val="nil"/>
              <w:right w:val="nil"/>
            </w:tcBorders>
            <w:tcMar>
              <w:top w:w="0" w:type="dxa"/>
              <w:left w:w="62" w:type="dxa"/>
              <w:bottom w:w="0" w:type="dxa"/>
              <w:right w:w="62" w:type="dxa"/>
            </w:tcMar>
          </w:tcPr>
          <w:p w:rsidR="00000000" w:rsidRPr="00B35EDE" w:rsidP="00B35EDE">
            <w:pPr>
              <w:pStyle w:val="List"/>
            </w:pPr>
            <w:r w:rsidRPr="00B35EDE">
              <w:t>3.1</w:t>
            </w:r>
            <w:r w:rsidRPr="00B35EDE">
              <w:tab/>
            </w:r>
            <w:r w:rsidRPr="00B35EDE">
              <w:rPr>
                <w:rStyle w:val="BoldandItalics"/>
              </w:rPr>
              <w:t xml:space="preserve">Communication approach </w:t>
            </w:r>
            <w:r w:rsidRPr="00B35EDE">
              <w:t>i</w:t>
            </w:r>
            <w:r w:rsidRPr="00B35EDE">
              <w:t>s chosen and used to suit the given audience.</w:t>
            </w:r>
          </w:p>
          <w:p w:rsidR="00000000" w:rsidRPr="00B35EDE" w:rsidP="00B35EDE">
            <w:pPr>
              <w:pStyle w:val="List"/>
            </w:pPr>
            <w:r w:rsidRPr="00B35EDE">
              <w:t>3.2</w:t>
            </w:r>
            <w:r w:rsidRPr="00B35EDE">
              <w:tab/>
              <w:t>Prepared position is asserted with conviction and purpose.</w:t>
            </w:r>
          </w:p>
          <w:p w:rsidR="00000000" w:rsidRPr="00B35EDE" w:rsidP="00B35EDE">
            <w:pPr>
              <w:pStyle w:val="List"/>
            </w:pPr>
            <w:r w:rsidRPr="00B35EDE">
              <w:t>3.3</w:t>
            </w:r>
            <w:r w:rsidRPr="00B35EDE">
              <w:tab/>
            </w:r>
            <w:r w:rsidRPr="00B35EDE">
              <w:rPr>
                <w:rStyle w:val="BoldandItalics"/>
              </w:rPr>
              <w:t xml:space="preserve">Verbal and non-verbal behaviour </w:t>
            </w:r>
            <w:r w:rsidRPr="00B35EDE">
              <w:t>are adjusted to maintain listener interest if the audience is unresponsive.</w:t>
            </w:r>
          </w:p>
          <w:p w:rsidR="00000000" w:rsidRPr="00B35EDE" w:rsidP="00B35EDE">
            <w:pPr>
              <w:pStyle w:val="List"/>
            </w:pPr>
            <w:r w:rsidRPr="00B35EDE">
              <w:t>3.4</w:t>
            </w:r>
            <w:r w:rsidRPr="00B35EDE">
              <w:tab/>
              <w:t>Questions are used to elicit fe</w:t>
            </w:r>
            <w:r w:rsidRPr="00B35EDE">
              <w:t>edback and check audience understanding.</w:t>
            </w:r>
          </w:p>
          <w:p w:rsidR="00000000" w:rsidRPr="00B35EDE" w:rsidP="00B35EDE">
            <w:pPr>
              <w:pStyle w:val="List"/>
            </w:pPr>
            <w:r w:rsidRPr="00B35EDE">
              <w:t>3.5</w:t>
            </w:r>
            <w:r w:rsidRPr="00B35EDE">
              <w:tab/>
              <w:t>Audience questions and argument are responded to objectively, and answers are backed by reasoned explanation.</w:t>
            </w:r>
          </w:p>
          <w:p w:rsidR="00000000" w:rsidP="00B35EDE">
            <w:pPr>
              <w:pStyle w:val="List"/>
              <w:rPr>
                <w:lang w:val="en-NZ"/>
              </w:rPr>
            </w:pPr>
            <w:r w:rsidRPr="00B35EDE">
              <w:t>3.6</w:t>
            </w:r>
            <w:r w:rsidRPr="00B35EDE">
              <w:tab/>
              <w:t>Agreement is negotiated where possible, concluding with a summary of agreed items.</w:t>
            </w:r>
          </w:p>
        </w:tc>
      </w:tr>
      <w:tr w:rsidTr="00464F7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35EDE">
            <w:pPr>
              <w:pStyle w:val="List"/>
              <w:rPr>
                <w:lang w:val="en-NZ"/>
              </w:rPr>
            </w:pPr>
            <w:r w:rsidRPr="00B35EDE">
              <w:rPr>
                <w:rStyle w:val="SpecialBold"/>
              </w:rPr>
              <w:t>4</w:t>
            </w:r>
            <w:r w:rsidRPr="00B35EDE">
              <w:t xml:space="preserve">. </w:t>
            </w:r>
            <w:r w:rsidRPr="00B35EDE">
              <w:tab/>
            </w:r>
            <w:r w:rsidRPr="00B35EDE">
              <w:rPr>
                <w:rStyle w:val="SpecialBold"/>
              </w:rPr>
              <w:t>Develop a</w:t>
            </w:r>
            <w:r w:rsidRPr="00B35EDE">
              <w:rPr>
                <w:rStyle w:val="SpecialBold"/>
              </w:rPr>
              <w:t xml:space="preserve"> range of communication strategies</w:t>
            </w:r>
          </w:p>
        </w:tc>
        <w:tc>
          <w:tcPr>
            <w:tcW w:w="6662" w:type="dxa"/>
            <w:tcBorders>
              <w:top w:val="nil"/>
              <w:left w:val="nil"/>
              <w:bottom w:val="nil"/>
              <w:right w:val="nil"/>
            </w:tcBorders>
            <w:tcMar>
              <w:top w:w="0" w:type="dxa"/>
              <w:left w:w="62" w:type="dxa"/>
              <w:bottom w:w="0" w:type="dxa"/>
              <w:right w:w="62" w:type="dxa"/>
            </w:tcMar>
          </w:tcPr>
          <w:p w:rsidR="00000000" w:rsidRPr="00B35EDE" w:rsidP="00B35EDE">
            <w:pPr>
              <w:pStyle w:val="List"/>
            </w:pPr>
            <w:r w:rsidRPr="00B35EDE">
              <w:t>4.1</w:t>
            </w:r>
            <w:r w:rsidRPr="00B35EDE">
              <w:tab/>
              <w:t>Feedback from others is obtained and the outcomes of communication are assessed.</w:t>
            </w:r>
          </w:p>
          <w:p w:rsidR="00000000" w:rsidRPr="00B35EDE" w:rsidP="00B35EDE">
            <w:pPr>
              <w:pStyle w:val="List"/>
            </w:pPr>
            <w:r w:rsidRPr="00B35EDE">
              <w:t>4.2</w:t>
            </w:r>
            <w:r w:rsidRPr="00B35EDE">
              <w:tab/>
              <w:t>Lessons learnt are recorded and used to underpin future interactions.</w:t>
            </w:r>
          </w:p>
          <w:p w:rsidR="00000000" w:rsidRPr="00B35EDE" w:rsidP="00B35EDE">
            <w:pPr>
              <w:pStyle w:val="List"/>
            </w:pPr>
            <w:r w:rsidRPr="00B35EDE">
              <w:t>4.3</w:t>
            </w:r>
            <w:r w:rsidRPr="00B35EDE">
              <w:tab/>
            </w:r>
            <w:r w:rsidRPr="00B35EDE">
              <w:rPr>
                <w:rStyle w:val="BoldandItalics"/>
              </w:rPr>
              <w:t>Language structures and features</w:t>
            </w:r>
            <w:r w:rsidRPr="00B35EDE">
              <w:t xml:space="preserve"> that influence audiences </w:t>
            </w:r>
            <w:r w:rsidRPr="00B35EDE">
              <w:t>to a preferred point of view are developed and practised.</w:t>
            </w:r>
          </w:p>
          <w:p w:rsidR="00000000" w:rsidRPr="00B35EDE" w:rsidP="00B35EDE">
            <w:pPr>
              <w:pStyle w:val="List"/>
            </w:pPr>
            <w:r w:rsidRPr="00B35EDE">
              <w:t>4.4</w:t>
            </w:r>
            <w:r w:rsidRPr="00B35EDE">
              <w:tab/>
              <w:t>Communication strategies are explored and practised for a range of workplace applications in accordance with organisational requirements.</w:t>
            </w:r>
          </w:p>
        </w:tc>
      </w:tr>
    </w:tbl>
    <w:p w:rsidR="00000000" w:rsidRPr="00B35EDE" w:rsidP="00B35EDE">
      <w:pPr>
        <w:pStyle w:val="BodyText"/>
      </w:pPr>
    </w:p>
    <w:p w:rsidR="00000000" w:rsidRPr="00B35EDE" w:rsidP="00B35EDE">
      <w:pPr>
        <w:pStyle w:val="AllowPageBreak"/>
      </w:pPr>
    </w:p>
    <w:p w:rsidR="00000000" w:rsidRPr="00B35EDE" w:rsidP="00B35EDE">
      <w:pPr>
        <w:pStyle w:val="Heading1"/>
      </w:pPr>
      <w:bookmarkStart w:id="9" w:name="O_493445"/>
      <w:bookmarkEnd w:id="9"/>
      <w:r w:rsidRPr="00B35EDE">
        <w:t>Required Skills and Knowledge</w:t>
      </w:r>
    </w:p>
    <w:tbl>
      <w:tblPr>
        <w:tblW w:w="0" w:type="auto"/>
        <w:tblLayout w:type="fixed"/>
        <w:tblCellMar>
          <w:left w:w="62" w:type="dxa"/>
          <w:right w:w="62" w:type="dxa"/>
        </w:tblCellMar>
        <w:tblLook w:val="0000"/>
      </w:tblPr>
      <w:tblGrid>
        <w:gridCol w:w="8544"/>
        <w:gridCol w:w="9"/>
      </w:tblGrid>
      <w:tr w:rsidTr="00464F76">
        <w:tblPrEx>
          <w:tblW w:w="0" w:type="auto"/>
          <w:tblLayout w:type="fixed"/>
          <w:tblCellMar>
            <w:left w:w="62" w:type="dxa"/>
            <w:right w:w="62" w:type="dxa"/>
          </w:tblCellMar>
          <w:tblLook w:val="0000"/>
        </w:tblPrEx>
        <w:trPr>
          <w:gridAfter w:val="1"/>
          <w:wAfter w:w="9" w:type="dxa"/>
        </w:trPr>
        <w:tc>
          <w:tcPr>
            <w:tcW w:w="8544" w:type="dxa"/>
            <w:tcBorders>
              <w:top w:val="nil"/>
              <w:left w:val="nil"/>
              <w:bottom w:val="nil"/>
              <w:right w:val="nil"/>
            </w:tcBorders>
            <w:tcMar>
              <w:top w:w="0" w:type="dxa"/>
              <w:left w:w="62" w:type="dxa"/>
              <w:bottom w:w="0" w:type="dxa"/>
              <w:right w:w="62" w:type="dxa"/>
            </w:tcMar>
          </w:tcPr>
          <w:p w:rsidR="00000000" w:rsidP="00B35EDE">
            <w:pPr>
              <w:pStyle w:val="BodyText"/>
              <w:rPr>
                <w:lang w:val="en-NZ"/>
              </w:rPr>
            </w:pPr>
            <w:r w:rsidRPr="00B35EDE">
              <w:t>This section describes the essential skills and knowledge and their level, required for this unit.</w:t>
            </w:r>
          </w:p>
        </w:tc>
      </w:tr>
      <w:tr w:rsidTr="00464F76">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B35EDE" w:rsidP="00B35EDE">
            <w:pPr>
              <w:pStyle w:val="BodyText"/>
            </w:pPr>
            <w:r w:rsidRPr="00B35EDE">
              <w:rPr>
                <w:rStyle w:val="SpecialBold"/>
              </w:rPr>
              <w:t>Skill requirements</w:t>
            </w:r>
          </w:p>
          <w:p w:rsidR="00000000" w:rsidRPr="00B35EDE" w:rsidP="00B35EDE">
            <w:pPr>
              <w:pStyle w:val="BodyText"/>
            </w:pPr>
            <w:r w:rsidRPr="00B35EDE">
              <w:t>Look for evidence that confirms skills in:</w:t>
            </w:r>
          </w:p>
          <w:p w:rsidR="00000000" w:rsidRPr="00B35EDE" w:rsidP="00B35EDE">
            <w:pPr>
              <w:pStyle w:val="ListBullet"/>
            </w:pPr>
            <w:r w:rsidRPr="00B35EDE">
              <w:t>applying legislation, regulations and policies relating to communication in the public sector</w:t>
            </w:r>
            <w:r w:rsidRPr="00B35EDE">
              <w:t xml:space="preserve"> </w:t>
            </w:r>
          </w:p>
          <w:p w:rsidR="00000000" w:rsidRPr="00B35EDE" w:rsidP="00B35EDE">
            <w:pPr>
              <w:pStyle w:val="ListBullet"/>
            </w:pPr>
            <w:r w:rsidRPr="00B35EDE">
              <w:t>analysing and using language structures and features that influence the interpretation of spoken communication</w:t>
            </w:r>
          </w:p>
          <w:p w:rsidR="00000000" w:rsidRPr="00B35EDE" w:rsidP="00B35EDE">
            <w:pPr>
              <w:pStyle w:val="ListBullet"/>
            </w:pPr>
            <w:r w:rsidRPr="00B35EDE">
              <w:t>interacting confidently with groups on familiar topics in formal and informal workplace situations</w:t>
            </w:r>
          </w:p>
          <w:p w:rsidR="00000000" w:rsidRPr="00B35EDE" w:rsidP="00B35EDE">
            <w:pPr>
              <w:pStyle w:val="ListBullet"/>
            </w:pPr>
            <w:r w:rsidRPr="00B35EDE">
              <w:t>speaking with confidence and listening critically</w:t>
            </w:r>
          </w:p>
          <w:p w:rsidR="00000000" w:rsidRPr="00B35EDE" w:rsidP="00B35EDE">
            <w:pPr>
              <w:pStyle w:val="ListBullet"/>
            </w:pPr>
            <w:r w:rsidRPr="00B35EDE">
              <w:t>clarifying meaning, exploring issues and problem solving</w:t>
            </w:r>
          </w:p>
          <w:p w:rsidR="00000000" w:rsidRPr="00B35EDE" w:rsidP="00B35EDE">
            <w:pPr>
              <w:pStyle w:val="ListBullet"/>
            </w:pPr>
            <w:r w:rsidRPr="00B35EDE">
              <w:t>responding to diversity, including gender and disability</w:t>
            </w:r>
          </w:p>
          <w:p w:rsidR="00000000" w:rsidP="00B35EDE">
            <w:pPr>
              <w:pStyle w:val="ListBullet"/>
              <w:rPr>
                <w:lang w:val="en-NZ"/>
              </w:rPr>
            </w:pPr>
            <w:r w:rsidRPr="00B35EDE">
              <w:t>applying procedures relating to occupational health and safety and environment in the contex</w:t>
            </w:r>
            <w:r w:rsidRPr="00B35EDE">
              <w:t>t of high-level communication</w:t>
            </w:r>
          </w:p>
        </w:tc>
      </w:tr>
      <w:tr w:rsidTr="00464F76">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B35EDE" w:rsidP="00B35EDE">
            <w:pPr>
              <w:pStyle w:val="BodyText"/>
            </w:pPr>
            <w:r w:rsidRPr="00B35EDE">
              <w:rPr>
                <w:rStyle w:val="SpecialBold"/>
              </w:rPr>
              <w:t>Knowledge requirements</w:t>
            </w:r>
            <w:r w:rsidRPr="00B35EDE">
              <w:t xml:space="preserve"> </w:t>
            </w:r>
          </w:p>
          <w:p w:rsidR="00000000" w:rsidRPr="00B35EDE" w:rsidP="00B35EDE">
            <w:pPr>
              <w:pStyle w:val="BodyText"/>
            </w:pPr>
            <w:r w:rsidRPr="00B35EDE">
              <w:t>Look for evidence that confirms knowledge and understanding of:</w:t>
            </w:r>
          </w:p>
          <w:p w:rsidR="00000000" w:rsidRPr="00B35EDE" w:rsidP="00B35EDE">
            <w:pPr>
              <w:pStyle w:val="ListBullet"/>
            </w:pPr>
            <w:r w:rsidRPr="00B35EDE">
              <w:t>legislation, regulations, policies, procedures and guidelines relating to communication in the public sector</w:t>
            </w:r>
          </w:p>
          <w:p w:rsidR="00000000" w:rsidRPr="00B35EDE" w:rsidP="00B35EDE">
            <w:pPr>
              <w:pStyle w:val="ListBullet"/>
            </w:pPr>
            <w:r w:rsidRPr="00B35EDE">
              <w:t>the power and effect of spo</w:t>
            </w:r>
            <w:r w:rsidRPr="00B35EDE">
              <w:t xml:space="preserve">ken language </w:t>
            </w:r>
          </w:p>
          <w:p w:rsidR="00000000" w:rsidRPr="00B35EDE" w:rsidP="00B35EDE">
            <w:pPr>
              <w:pStyle w:val="ListBullet"/>
            </w:pPr>
            <w:r w:rsidRPr="00B35EDE">
              <w:t>knowledge of organisation processes and hierarchy</w:t>
            </w:r>
          </w:p>
          <w:p w:rsidR="00000000" w:rsidRPr="00B35EDE" w:rsidP="00B35EDE">
            <w:pPr>
              <w:pStyle w:val="ListBullet"/>
            </w:pPr>
            <w:r w:rsidRPr="00B35EDE">
              <w:t>techniques to deal with opposing views and positions</w:t>
            </w:r>
          </w:p>
          <w:p w:rsidR="00000000" w:rsidRPr="00B35EDE" w:rsidP="00B35EDE">
            <w:pPr>
              <w:pStyle w:val="ListBullet"/>
            </w:pPr>
            <w:r w:rsidRPr="00B35EDE">
              <w:t>emotional intelligence techniques</w:t>
            </w:r>
          </w:p>
          <w:p w:rsidR="00000000" w:rsidRPr="00B35EDE" w:rsidP="00B35EDE">
            <w:pPr>
              <w:pStyle w:val="ListBullet"/>
            </w:pPr>
            <w:r w:rsidRPr="00B35EDE">
              <w:t>organisational protocols and etiquette for communication in meetings</w:t>
            </w:r>
          </w:p>
          <w:p w:rsidR="00000000" w:rsidRPr="00B35EDE" w:rsidP="00B35EDE">
            <w:pPr>
              <w:pStyle w:val="ListBullet"/>
            </w:pPr>
            <w:r w:rsidRPr="00B35EDE">
              <w:t>communication strategies to suit different audiences, such as workgroup, organisational, inter-agency</w:t>
            </w:r>
          </w:p>
          <w:p w:rsidR="00000000" w:rsidRPr="00B35EDE" w:rsidP="00B35EDE">
            <w:pPr>
              <w:pStyle w:val="ListBullet"/>
            </w:pPr>
            <w:r w:rsidRPr="00B35EDE">
              <w:t>ways to influence the interpretation of spoken communication</w:t>
            </w:r>
          </w:p>
          <w:p w:rsidR="00000000" w:rsidRPr="00B35EDE" w:rsidP="00B35EDE">
            <w:pPr>
              <w:pStyle w:val="ListBullet"/>
            </w:pPr>
            <w:r w:rsidRPr="00B35EDE">
              <w:t>equal employment opportunity, equity and diversity principles</w:t>
            </w:r>
          </w:p>
          <w:p w:rsidR="00000000" w:rsidRPr="00B35EDE" w:rsidP="00B35EDE">
            <w:pPr>
              <w:pStyle w:val="ListBullet"/>
            </w:pPr>
            <w:r w:rsidRPr="00B35EDE">
              <w:t xml:space="preserve">public sector legislation such </w:t>
            </w:r>
            <w:r w:rsidRPr="00B35EDE">
              <w:t>as occupational health and safety and environment in the context of high-level communication</w:t>
            </w:r>
          </w:p>
        </w:tc>
      </w:tr>
    </w:tbl>
    <w:p w:rsidR="00000000" w:rsidRPr="00B35EDE" w:rsidP="00B35EDE">
      <w:pPr>
        <w:pStyle w:val="BodyText"/>
      </w:pPr>
    </w:p>
    <w:p w:rsidR="00000000" w:rsidRPr="00B35EDE" w:rsidP="00B35EDE">
      <w:pPr>
        <w:pStyle w:val="AllowPageBreak"/>
      </w:pPr>
    </w:p>
    <w:p w:rsidR="00000000" w:rsidRPr="00B35EDE" w:rsidP="00B35EDE">
      <w:pPr>
        <w:pStyle w:val="Heading1"/>
      </w:pPr>
      <w:bookmarkStart w:id="10" w:name="O_493453"/>
      <w:bookmarkEnd w:id="10"/>
      <w:r w:rsidRPr="00B35EDE">
        <w:t>Evidence Guide</w:t>
      </w:r>
    </w:p>
    <w:tbl>
      <w:tblPr>
        <w:tblW w:w="9322" w:type="dxa"/>
        <w:tblLayout w:type="fixed"/>
        <w:tblCellMar>
          <w:left w:w="62" w:type="dxa"/>
          <w:right w:w="62" w:type="dxa"/>
        </w:tblCellMar>
        <w:tblLook w:val="0000"/>
      </w:tblPr>
      <w:tblGrid>
        <w:gridCol w:w="2660"/>
        <w:gridCol w:w="6662"/>
      </w:tblGrid>
      <w:tr w:rsidTr="00464F76">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B35EDE">
            <w:pPr>
              <w:pStyle w:val="BodyText"/>
              <w:rPr>
                <w:lang w:val="en-NZ"/>
              </w:rPr>
            </w:pPr>
            <w:r w:rsidRPr="00B35EDE">
              <w:t>The Evidence Guide specifies the evidence required to demonstrate achievement in the unit of competency as a whole. It must be re</w:t>
            </w:r>
            <w:r w:rsidRPr="00B35EDE">
              <w:t>ad in conjunction with the Unit descriptor, Performance Criteria, the Range Statement and the Assessment Guidelines for the Public Sector Training Package.</w:t>
            </w:r>
          </w:p>
        </w:tc>
      </w:tr>
      <w:tr w:rsidTr="00464F7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B35EDE" w:rsidP="00B35EDE">
            <w:pPr>
              <w:pStyle w:val="BodyText"/>
            </w:pPr>
            <w:r w:rsidRPr="00B35EDE">
              <w:rPr>
                <w:rStyle w:val="SpecialBold"/>
              </w:rPr>
              <w:t>Units to be assessed together</w:t>
            </w:r>
            <w:r w:rsidRPr="00B35EDE">
              <w:t xml:space="preserve"> </w:t>
            </w:r>
          </w:p>
        </w:tc>
        <w:tc>
          <w:tcPr>
            <w:tcW w:w="6662" w:type="dxa"/>
            <w:tcBorders>
              <w:top w:val="nil"/>
              <w:left w:val="nil"/>
              <w:bottom w:val="nil"/>
              <w:right w:val="nil"/>
            </w:tcBorders>
            <w:tcMar>
              <w:top w:w="0" w:type="dxa"/>
              <w:left w:w="62" w:type="dxa"/>
              <w:bottom w:w="0" w:type="dxa"/>
              <w:right w:w="62" w:type="dxa"/>
            </w:tcMar>
          </w:tcPr>
          <w:p w:rsidR="00000000" w:rsidRPr="00B35EDE" w:rsidP="00B35EDE">
            <w:pPr>
              <w:pStyle w:val="ListBullet"/>
            </w:pPr>
            <w:r w:rsidRPr="00B35EDE">
              <w:rPr>
                <w:rStyle w:val="Emphasis"/>
              </w:rPr>
              <w:t>Pre</w:t>
            </w:r>
            <w:r w:rsidRPr="00B35EDE">
              <w:t>-</w:t>
            </w:r>
            <w:r w:rsidRPr="00B35EDE">
              <w:rPr>
                <w:rStyle w:val="Emphasis"/>
              </w:rPr>
              <w:t>requisite</w:t>
            </w:r>
            <w:r w:rsidRPr="00B35EDE">
              <w:t xml:space="preserve"> units that </w:t>
            </w:r>
            <w:r w:rsidRPr="00B35EDE">
              <w:rPr>
                <w:rStyle w:val="Underline"/>
              </w:rPr>
              <w:t>must</w:t>
            </w:r>
            <w:r w:rsidRPr="00B35EDE">
              <w:t xml:space="preserve"> be achieved </w:t>
            </w:r>
            <w:r w:rsidRPr="00B35EDE">
              <w:rPr>
                <w:rStyle w:val="Underline"/>
              </w:rPr>
              <w:t>prior</w:t>
            </w:r>
            <w:r w:rsidRPr="00B35EDE">
              <w:t xml:space="preserve"> to this unit:</w:t>
            </w:r>
            <w:r w:rsidRPr="00B35EDE">
              <w:rPr>
                <w:rStyle w:val="Emphasis"/>
              </w:rPr>
              <w:t>Nil</w:t>
            </w:r>
          </w:p>
          <w:p w:rsidR="00000000" w:rsidRPr="00B35EDE" w:rsidP="00B35EDE">
            <w:pPr>
              <w:pStyle w:val="ListBullet"/>
            </w:pPr>
            <w:r w:rsidRPr="00B35EDE">
              <w:rPr>
                <w:rStyle w:val="Emphasis"/>
              </w:rPr>
              <w:t>Co</w:t>
            </w:r>
            <w:r w:rsidRPr="00B35EDE">
              <w:t>-</w:t>
            </w:r>
            <w:r w:rsidRPr="00B35EDE">
              <w:rPr>
                <w:rStyle w:val="Emphasis"/>
              </w:rPr>
              <w:t>requisite</w:t>
            </w:r>
            <w:r w:rsidRPr="00B35EDE">
              <w:t xml:space="preserve"> units that </w:t>
            </w:r>
            <w:r w:rsidRPr="00B35EDE">
              <w:rPr>
                <w:rStyle w:val="Underline"/>
              </w:rPr>
              <w:t>must</w:t>
            </w:r>
            <w:r w:rsidRPr="00B35EDE">
              <w:t xml:space="preserve"> be assessed </w:t>
            </w:r>
            <w:r w:rsidRPr="00B35EDE">
              <w:rPr>
                <w:rStyle w:val="Underline"/>
              </w:rPr>
              <w:t>with</w:t>
            </w:r>
            <w:r w:rsidRPr="00B35EDE">
              <w:t xml:space="preserve"> this unit:</w:t>
            </w:r>
            <w:r w:rsidRPr="00B35EDE">
              <w:rPr>
                <w:rStyle w:val="Emphasis"/>
              </w:rPr>
              <w:t>Nil</w:t>
            </w:r>
          </w:p>
          <w:p w:rsidR="00000000" w:rsidRPr="00B35EDE" w:rsidP="00B35EDE">
            <w:pPr>
              <w:pStyle w:val="ListBullet"/>
            </w:pPr>
            <w:r w:rsidRPr="00B35EDE">
              <w:rPr>
                <w:rStyle w:val="Emphasis"/>
              </w:rPr>
              <w:t>Co</w:t>
            </w:r>
            <w:r w:rsidRPr="00B35EDE">
              <w:t>-</w:t>
            </w:r>
            <w:r w:rsidRPr="00B35EDE">
              <w:rPr>
                <w:rStyle w:val="Emphasis"/>
              </w:rPr>
              <w:t>assessed units</w:t>
            </w:r>
            <w:r w:rsidRPr="00B35EDE">
              <w:t xml:space="preserve"> that </w:t>
            </w:r>
            <w:r w:rsidRPr="00B35EDE">
              <w:rPr>
                <w:rStyle w:val="Underline"/>
              </w:rPr>
              <w:t>may</w:t>
            </w:r>
            <w:r w:rsidRPr="00B35EDE">
              <w:t xml:space="preserve"> be assessed with this unit to increase the efficiency and realism of the assessment process include, but are not limited to:</w:t>
            </w:r>
          </w:p>
          <w:p w:rsidR="00000000" w:rsidRPr="00B35EDE" w:rsidP="00B35EDE">
            <w:pPr>
              <w:pStyle w:val="ListBullet2"/>
            </w:pPr>
            <w:r w:rsidRPr="00B35EDE">
              <w:t>PSPETHC501B Promote the values and ethos of</w:t>
            </w:r>
            <w:r w:rsidRPr="00B35EDE">
              <w:t xml:space="preserve"> public service </w:t>
            </w:r>
          </w:p>
          <w:p w:rsidR="00000000" w:rsidRPr="00B35EDE" w:rsidP="00B35EDE">
            <w:pPr>
              <w:pStyle w:val="ListBullet2"/>
            </w:pPr>
            <w:r w:rsidRPr="00B35EDE">
              <w:t xml:space="preserve">PSPGOV504B Undertake research and analysis </w:t>
            </w:r>
          </w:p>
          <w:p w:rsidR="00000000" w:rsidRPr="00B35EDE" w:rsidP="00B35EDE">
            <w:pPr>
              <w:pStyle w:val="ListBullet2"/>
            </w:pPr>
            <w:r w:rsidRPr="00B35EDE">
              <w:t>PSPGOV505A Promote diversity</w:t>
            </w:r>
          </w:p>
          <w:p w:rsidR="00000000" w:rsidRPr="00B35EDE" w:rsidP="00B35EDE">
            <w:pPr>
              <w:pStyle w:val="ListBullet2"/>
            </w:pPr>
            <w:r w:rsidRPr="00B35EDE">
              <w:t xml:space="preserve">PSPGOV507A Undertake negotiations </w:t>
            </w:r>
          </w:p>
          <w:p w:rsidR="00000000" w:rsidRPr="00B35EDE" w:rsidP="00B35EDE">
            <w:pPr>
              <w:pStyle w:val="ListBullet2"/>
            </w:pPr>
            <w:r w:rsidRPr="00B35EDE">
              <w:t>PSPGOV508A Manage conflict</w:t>
            </w:r>
          </w:p>
          <w:p w:rsidR="00000000" w:rsidRPr="00B35EDE" w:rsidP="00B35EDE">
            <w:pPr>
              <w:pStyle w:val="ListBullet2"/>
            </w:pPr>
            <w:r w:rsidRPr="00B35EDE">
              <w:t>PSPGOV511A Provide leadership</w:t>
            </w:r>
          </w:p>
          <w:p w:rsidR="00000000" w:rsidRPr="00B35EDE" w:rsidP="00B35EDE">
            <w:pPr>
              <w:pStyle w:val="ListBullet2"/>
            </w:pPr>
            <w:r w:rsidRPr="00B35EDE">
              <w:t>PSPGOV514A Facilitate change</w:t>
            </w:r>
          </w:p>
          <w:p w:rsidR="00000000" w:rsidRPr="00B35EDE" w:rsidP="00B35EDE">
            <w:pPr>
              <w:pStyle w:val="ListBullet2"/>
            </w:pPr>
            <w:r w:rsidRPr="00B35EDE">
              <w:t>PSPGOV515A Develop and use political nous</w:t>
            </w:r>
          </w:p>
          <w:p w:rsidR="00000000" w:rsidRPr="00B35EDE" w:rsidP="00B35EDE">
            <w:pPr>
              <w:pStyle w:val="ListBullet2"/>
            </w:pPr>
            <w:r w:rsidRPr="00B35EDE">
              <w:t xml:space="preserve">PSPGOV516A Develop and use emotional intelligence </w:t>
            </w:r>
          </w:p>
          <w:p w:rsidR="00000000" w:rsidRPr="00B35EDE" w:rsidP="00B35EDE">
            <w:pPr>
              <w:pStyle w:val="ListBullet2"/>
            </w:pPr>
            <w:r w:rsidRPr="00B35EDE">
              <w:t>PSPLEGN501B Promote compliance with legislation in the public sector</w:t>
            </w:r>
          </w:p>
          <w:p w:rsidR="00000000" w:rsidP="00B35EDE">
            <w:pPr>
              <w:pStyle w:val="ListBullet2"/>
              <w:rPr>
                <w:lang w:val="en-NZ"/>
              </w:rPr>
            </w:pPr>
            <w:r w:rsidRPr="00B35EDE">
              <w:t>PSPOHS501A Monitor and maintain workplace safety</w:t>
            </w:r>
          </w:p>
        </w:tc>
      </w:tr>
      <w:tr w:rsidTr="00464F7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35EDE">
            <w:pPr>
              <w:pStyle w:val="BodyText"/>
              <w:rPr>
                <w:lang w:val="en-NZ"/>
              </w:rPr>
            </w:pPr>
            <w:r w:rsidRPr="00B35EDE">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B35EDE" w:rsidP="00B35EDE">
            <w:pPr>
              <w:pStyle w:val="BodyText"/>
            </w:pPr>
            <w:r w:rsidRPr="00B35EDE">
              <w:t>In addition to integrated demonstration of the eleme</w:t>
            </w:r>
            <w:r w:rsidRPr="00B35EDE">
              <w:t>nts and their related performance criteria, look for evidence that confirms:</w:t>
            </w:r>
          </w:p>
          <w:p w:rsidR="00000000" w:rsidRPr="00B35EDE" w:rsidP="00B35EDE">
            <w:pPr>
              <w:pStyle w:val="ListBullet"/>
            </w:pPr>
            <w:r w:rsidRPr="00B35EDE">
              <w:t xml:space="preserve">the knowledge requirements of this unit </w:t>
            </w:r>
          </w:p>
          <w:p w:rsidR="00000000" w:rsidRPr="00B35EDE" w:rsidP="00B35EDE">
            <w:pPr>
              <w:pStyle w:val="ListBullet"/>
            </w:pPr>
            <w:r w:rsidRPr="00B35EDE">
              <w:t>the skill requirements of this unit</w:t>
            </w:r>
          </w:p>
          <w:p w:rsidR="00000000" w:rsidRPr="00B35EDE" w:rsidP="00B35EDE">
            <w:pPr>
              <w:pStyle w:val="ListBullet"/>
            </w:pPr>
            <w:r w:rsidRPr="00B35EDE">
              <w:t xml:space="preserve">application of Employability Skills as they relate to this unit </w:t>
            </w:r>
          </w:p>
          <w:p w:rsidR="00000000" w:rsidP="00B35EDE">
            <w:pPr>
              <w:pStyle w:val="ListBullet"/>
              <w:rPr>
                <w:lang w:val="en-NZ"/>
              </w:rPr>
            </w:pPr>
            <w:r w:rsidRPr="00B35EDE">
              <w:t>use of complex communication strategies in a range of (3 or more) contexts (or occasions, over time)</w:t>
            </w:r>
          </w:p>
        </w:tc>
      </w:tr>
      <w:tr w:rsidTr="00464F7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35EDE">
            <w:pPr>
              <w:pStyle w:val="BodyText"/>
              <w:rPr>
                <w:lang w:val="en-NZ"/>
              </w:rPr>
            </w:pPr>
            <w:r w:rsidRPr="00B35EDE">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B35EDE" w:rsidP="00B35EDE">
            <w:pPr>
              <w:pStyle w:val="BodyText"/>
            </w:pPr>
            <w:r w:rsidRPr="00B35EDE">
              <w:t>These resources include:</w:t>
            </w:r>
          </w:p>
          <w:p w:rsidR="00000000" w:rsidRPr="00B35EDE" w:rsidP="00B35EDE">
            <w:pPr>
              <w:pStyle w:val="ListBullet"/>
            </w:pPr>
            <w:r w:rsidRPr="00B35EDE">
              <w:t>legislation, policy, procedures and protocols relating to public sector communication</w:t>
            </w:r>
          </w:p>
          <w:p w:rsidR="00000000" w:rsidRPr="00B35EDE" w:rsidP="00B35EDE">
            <w:pPr>
              <w:pStyle w:val="ListBullet"/>
            </w:pPr>
            <w:r w:rsidRPr="00B35EDE">
              <w:t>current theory and practice on influencing skills for the public sector</w:t>
            </w:r>
          </w:p>
          <w:p w:rsidR="00000000" w:rsidP="00B35EDE">
            <w:pPr>
              <w:pStyle w:val="ListBullet"/>
              <w:rPr>
                <w:lang w:val="en-NZ"/>
              </w:rPr>
            </w:pPr>
            <w:r w:rsidRPr="00B35EDE">
              <w:t>case studies and workplace scenarios to capture the range of situations likely to be encountered when using complex communication strategies</w:t>
            </w:r>
          </w:p>
        </w:tc>
      </w:tr>
      <w:tr w:rsidTr="00464F7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35EDE">
            <w:pPr>
              <w:pStyle w:val="BodyText"/>
              <w:rPr>
                <w:lang w:val="en-NZ"/>
              </w:rPr>
            </w:pPr>
            <w:r w:rsidRPr="00B35EDE">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B35EDE" w:rsidP="00B35EDE">
            <w:pPr>
              <w:pStyle w:val="BodyText"/>
            </w:pPr>
            <w:r w:rsidRPr="00B35EDE">
              <w:t>Valid as</w:t>
            </w:r>
            <w:r w:rsidRPr="00B35EDE">
              <w:t xml:space="preserve">sessment of this unit requires: </w:t>
            </w:r>
          </w:p>
          <w:p w:rsidR="00000000" w:rsidRPr="00B35EDE" w:rsidP="00B35EDE">
            <w:pPr>
              <w:pStyle w:val="ListBullet"/>
            </w:pPr>
            <w:r w:rsidRPr="00B35EDE">
              <w:t>a workplace environment or one that closely resembles normal work practice and replicates the range of conditions likely to be encountered when using complex communication strategies, including coping with difficulties, ir</w:t>
            </w:r>
            <w:r w:rsidRPr="00B35EDE">
              <w:t>regularities and breakdowns in routine</w:t>
            </w:r>
          </w:p>
          <w:p w:rsidR="00000000" w:rsidRPr="00B35EDE" w:rsidP="00B35EDE">
            <w:pPr>
              <w:pStyle w:val="ListBullet"/>
            </w:pPr>
            <w:r w:rsidRPr="00B35EDE">
              <w:t>complex communications strategies used in a range of (3 or more) contexts (or occasions, over time).</w:t>
            </w:r>
          </w:p>
          <w:p w:rsidR="00000000" w:rsidRPr="00B35EDE" w:rsidP="00B35EDE">
            <w:pPr>
              <w:pStyle w:val="BodyText"/>
            </w:pPr>
            <w:r w:rsidRPr="00B35EDE">
              <w:t>Assessment methods should reflect workplace demands, such as literacy, and the needs of particular groups, such as:</w:t>
            </w:r>
          </w:p>
          <w:p w:rsidR="00000000" w:rsidRPr="00B35EDE" w:rsidP="00B35EDE">
            <w:pPr>
              <w:pStyle w:val="ListBullet"/>
            </w:pPr>
            <w:r w:rsidRPr="00B35EDE">
              <w:t>people with disabilities</w:t>
            </w:r>
          </w:p>
          <w:p w:rsidR="00000000" w:rsidRPr="00B35EDE" w:rsidP="00B35EDE">
            <w:pPr>
              <w:pStyle w:val="ListBullet"/>
            </w:pPr>
            <w:r w:rsidRPr="00B35EDE">
              <w:t>people from culturally and linguistically diverse backgrounds</w:t>
            </w:r>
          </w:p>
          <w:p w:rsidR="00000000" w:rsidRPr="00B35EDE" w:rsidP="00B35EDE">
            <w:pPr>
              <w:pStyle w:val="ListBullet"/>
            </w:pPr>
            <w:r w:rsidRPr="00B35EDE">
              <w:t>Aboriginal and Torres Strait Islander people</w:t>
            </w:r>
          </w:p>
          <w:p w:rsidR="00000000" w:rsidRPr="00B35EDE" w:rsidP="00B35EDE">
            <w:pPr>
              <w:pStyle w:val="ListBullet"/>
            </w:pPr>
            <w:r w:rsidRPr="00B35EDE">
              <w:t>women</w:t>
            </w:r>
          </w:p>
          <w:p w:rsidR="00000000" w:rsidRPr="00B35EDE" w:rsidP="00B35EDE">
            <w:pPr>
              <w:pStyle w:val="ListBullet"/>
            </w:pPr>
            <w:r w:rsidRPr="00B35EDE">
              <w:t>young people</w:t>
            </w:r>
          </w:p>
          <w:p w:rsidR="00000000" w:rsidRPr="00B35EDE" w:rsidP="00B35EDE">
            <w:pPr>
              <w:pStyle w:val="ListBullet"/>
            </w:pPr>
            <w:r w:rsidRPr="00B35EDE">
              <w:t>older people</w:t>
            </w:r>
          </w:p>
          <w:p w:rsidR="00000000" w:rsidRPr="00B35EDE" w:rsidP="00B35EDE">
            <w:pPr>
              <w:pStyle w:val="ListBullet"/>
            </w:pPr>
            <w:r w:rsidRPr="00B35EDE">
              <w:t>people in rural and remote locations.</w:t>
            </w:r>
          </w:p>
          <w:p w:rsidR="00000000" w:rsidRPr="00B35EDE" w:rsidP="00B35EDE">
            <w:pPr>
              <w:pStyle w:val="BodyText"/>
            </w:pPr>
            <w:r w:rsidRPr="00B35EDE">
              <w:t>Assessment methods suitable for valid and reliable as</w:t>
            </w:r>
            <w:r w:rsidRPr="00B35EDE">
              <w:t xml:space="preserve">sessment of this competency may include, but are not limited to, a combination of 2 or more of: </w:t>
            </w:r>
          </w:p>
          <w:p w:rsidR="00000000" w:rsidRPr="00B35EDE" w:rsidP="00B35EDE">
            <w:pPr>
              <w:pStyle w:val="ListBullet"/>
            </w:pPr>
            <w:r w:rsidRPr="00B35EDE">
              <w:t>case studies</w:t>
            </w:r>
          </w:p>
          <w:p w:rsidR="00000000" w:rsidRPr="00B35EDE" w:rsidP="00B35EDE">
            <w:pPr>
              <w:pStyle w:val="ListBullet"/>
            </w:pPr>
            <w:r w:rsidRPr="00B35EDE">
              <w:t xml:space="preserve">demonstration </w:t>
            </w:r>
          </w:p>
          <w:p w:rsidR="00000000" w:rsidRPr="00B35EDE" w:rsidP="00B35EDE">
            <w:pPr>
              <w:pStyle w:val="ListBullet"/>
            </w:pPr>
            <w:r w:rsidRPr="00B35EDE">
              <w:t>observation</w:t>
            </w:r>
          </w:p>
          <w:p w:rsidR="00000000" w:rsidRPr="00B35EDE" w:rsidP="00B35EDE">
            <w:pPr>
              <w:pStyle w:val="ListBullet"/>
            </w:pPr>
            <w:r w:rsidRPr="00B35EDE">
              <w:t xml:space="preserve">portfolios </w:t>
            </w:r>
          </w:p>
          <w:p w:rsidR="00000000" w:rsidRPr="00B35EDE" w:rsidP="00B35EDE">
            <w:pPr>
              <w:pStyle w:val="ListBullet"/>
            </w:pPr>
            <w:r w:rsidRPr="00B35EDE">
              <w:t>questioning</w:t>
            </w:r>
          </w:p>
          <w:p w:rsidR="00000000" w:rsidRPr="00B35EDE" w:rsidP="00B35EDE">
            <w:pPr>
              <w:pStyle w:val="ListBullet"/>
            </w:pPr>
            <w:r w:rsidRPr="00B35EDE">
              <w:t>scenarios</w:t>
            </w:r>
          </w:p>
          <w:p w:rsidR="00000000" w:rsidRPr="00B35EDE" w:rsidP="00B35EDE">
            <w:pPr>
              <w:pStyle w:val="ListBullet"/>
            </w:pPr>
            <w:r w:rsidRPr="00B35EDE">
              <w:t>simulation or role plays</w:t>
            </w:r>
          </w:p>
          <w:p w:rsidR="00000000" w:rsidP="00B35EDE">
            <w:pPr>
              <w:pStyle w:val="ListBullet"/>
              <w:rPr>
                <w:lang w:val="en-NZ"/>
              </w:rPr>
            </w:pPr>
            <w:r w:rsidRPr="00B35EDE">
              <w:t>authenticated evidence from the workplace and/or training c</w:t>
            </w:r>
            <w:r w:rsidRPr="00B35EDE">
              <w:t>ourses</w:t>
            </w:r>
          </w:p>
        </w:tc>
      </w:tr>
      <w:tr w:rsidTr="00464F7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35EDE">
            <w:pPr>
              <w:pStyle w:val="BodyText"/>
              <w:rPr>
                <w:lang w:val="en-NZ"/>
              </w:rPr>
            </w:pPr>
            <w:r w:rsidRPr="00B35EDE">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B35EDE" w:rsidP="00B35EDE">
            <w:pPr>
              <w:pStyle w:val="BodyText"/>
            </w:pPr>
            <w:r w:rsidRPr="00B35EDE">
              <w:t>Evidence must be gathered over time in a range of contexts to ensure the person can achieve the unit outcome and apply the competency in different situations or environments</w:t>
            </w:r>
          </w:p>
        </w:tc>
      </w:tr>
    </w:tbl>
    <w:p w:rsidR="00000000" w:rsidRPr="00B35EDE" w:rsidP="00B35EDE">
      <w:pPr>
        <w:pStyle w:val="BodyText"/>
      </w:pPr>
    </w:p>
    <w:p w:rsidR="00000000" w:rsidRPr="00B35EDE" w:rsidP="00B35EDE">
      <w:pPr>
        <w:pStyle w:val="AllowPageBreak"/>
      </w:pPr>
    </w:p>
    <w:p w:rsidR="00000000" w:rsidRPr="00B35EDE" w:rsidP="00B35EDE">
      <w:pPr>
        <w:pStyle w:val="Heading1"/>
      </w:pPr>
      <w:bookmarkStart w:id="11" w:name="O_493451"/>
      <w:bookmarkEnd w:id="11"/>
      <w:r w:rsidRPr="00B35EDE">
        <w:t>Range Statement</w:t>
      </w:r>
    </w:p>
    <w:tbl>
      <w:tblPr>
        <w:tblW w:w="0" w:type="auto"/>
        <w:tblLayout w:type="fixed"/>
        <w:tblCellMar>
          <w:left w:w="62" w:type="dxa"/>
          <w:right w:w="62" w:type="dxa"/>
        </w:tblCellMar>
        <w:tblLook w:val="0000"/>
      </w:tblPr>
      <w:tblGrid>
        <w:gridCol w:w="2441"/>
        <w:gridCol w:w="6112"/>
      </w:tblGrid>
      <w:tr w:rsidTr="00464F76">
        <w:tblPrEx>
          <w:tblW w:w="0" w:type="auto"/>
          <w:tblLayout w:type="fixed"/>
          <w:tblCellMar>
            <w:left w:w="62" w:type="dxa"/>
            <w:right w:w="62" w:type="dxa"/>
          </w:tblCellMar>
          <w:tblLook w:val="0000"/>
        </w:tblPrEx>
        <w:tc>
          <w:tcPr>
            <w:tcW w:w="855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EDE">
            <w:pPr>
              <w:pStyle w:val="BodyText"/>
              <w:rPr>
                <w:lang w:val="en-NZ"/>
              </w:rPr>
            </w:pPr>
            <w:r w:rsidRPr="00B35EDE">
              <w:t>The Range Statement provides information about the context in which the unit of competency is carried out. The variables cater for differences between States and Territories and the Commonwealth, and between organisations and workplaces. They allow for dif</w:t>
            </w:r>
            <w:r w:rsidRPr="00B35EDE">
              <w:t>ferent work requirements, work practices and knowledge. The Range Statement also provides a focus for assessment. It relates to the unit as a whole. Text in</w:t>
            </w:r>
            <w:r w:rsidRPr="00B35EDE">
              <w:rPr>
                <w:rStyle w:val="BoldandItalics"/>
              </w:rPr>
              <w:t xml:space="preserve"> bold italics</w:t>
            </w:r>
            <w:r w:rsidRPr="00B35EDE">
              <w:t xml:space="preserve"> in the Performance Criteria is explained here.</w:t>
            </w:r>
          </w:p>
        </w:tc>
      </w:tr>
      <w:tr w:rsidTr="00464F76">
        <w:tblPrEx>
          <w:tblW w:w="0" w:type="auto"/>
          <w:tblLayout w:type="fixed"/>
          <w:tblCellMar>
            <w:left w:w="62" w:type="dxa"/>
            <w:right w:w="62" w:type="dxa"/>
          </w:tblCellMar>
          <w:tblLook w:val="0000"/>
        </w:tblPrEx>
        <w:tc>
          <w:tcPr>
            <w:tcW w:w="2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EDE">
            <w:pPr>
              <w:pStyle w:val="BodyText"/>
              <w:rPr>
                <w:lang w:val="en-NZ"/>
              </w:rPr>
            </w:pPr>
            <w:r w:rsidRPr="00B35EDE">
              <w:rPr>
                <w:rStyle w:val="BoldandItalics"/>
              </w:rPr>
              <w:t xml:space="preserve">Communication objectives </w:t>
            </w:r>
            <w:r w:rsidRPr="00B35EDE">
              <w:t>may be to:</w:t>
            </w:r>
          </w:p>
        </w:tc>
        <w:tc>
          <w:tcPr>
            <w:tcW w:w="6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5EDE" w:rsidP="00B35EDE">
            <w:pPr>
              <w:pStyle w:val="ListBullet"/>
            </w:pPr>
            <w:r w:rsidRPr="00B35EDE">
              <w:t>share information</w:t>
            </w:r>
          </w:p>
          <w:p w:rsidR="00000000" w:rsidRPr="00B35EDE" w:rsidP="00B35EDE">
            <w:pPr>
              <w:pStyle w:val="ListBullet"/>
            </w:pPr>
            <w:r w:rsidRPr="00B35EDE">
              <w:t>reach consensus</w:t>
            </w:r>
          </w:p>
          <w:p w:rsidR="00000000" w:rsidRPr="00B35EDE" w:rsidP="00B35EDE">
            <w:pPr>
              <w:pStyle w:val="ListBullet"/>
            </w:pPr>
            <w:r w:rsidRPr="00B35EDE">
              <w:t>contribute to policy</w:t>
            </w:r>
          </w:p>
          <w:p w:rsidR="00000000" w:rsidRPr="00B35EDE" w:rsidP="00B35EDE">
            <w:pPr>
              <w:pStyle w:val="ListBullet"/>
            </w:pPr>
            <w:r w:rsidRPr="00B35EDE">
              <w:t>represent the business unit's position/interests in internal negotiations</w:t>
            </w:r>
          </w:p>
          <w:p w:rsidR="00000000" w:rsidRPr="00B35EDE" w:rsidP="00B35EDE">
            <w:pPr>
              <w:pStyle w:val="ListBullet"/>
            </w:pPr>
            <w:r w:rsidRPr="00B35EDE">
              <w:t>resolve differences</w:t>
            </w:r>
          </w:p>
          <w:p w:rsidR="00000000" w:rsidRPr="00B35EDE" w:rsidP="00B35EDE">
            <w:pPr>
              <w:pStyle w:val="ListBullet"/>
            </w:pPr>
            <w:r w:rsidRPr="00B35EDE">
              <w:t>negotiate a joint position/compromise</w:t>
            </w:r>
          </w:p>
          <w:p w:rsidR="00000000" w:rsidRPr="00B35EDE" w:rsidP="00B35EDE">
            <w:pPr>
              <w:pStyle w:val="ListBullet"/>
            </w:pPr>
            <w:r w:rsidRPr="00B35EDE">
              <w:t>build reputation (of self and organisation/business unit)</w:t>
            </w:r>
          </w:p>
          <w:p w:rsidR="00000000" w:rsidP="00B35EDE">
            <w:pPr>
              <w:pStyle w:val="ListBullet"/>
              <w:rPr>
                <w:lang w:val="en-NZ"/>
              </w:rPr>
            </w:pPr>
            <w:r w:rsidRPr="00B35EDE">
              <w:t>market services</w:t>
            </w:r>
          </w:p>
        </w:tc>
      </w:tr>
      <w:tr w:rsidTr="00464F76">
        <w:tblPrEx>
          <w:tblW w:w="0" w:type="auto"/>
          <w:tblLayout w:type="fixed"/>
          <w:tblCellMar>
            <w:left w:w="62" w:type="dxa"/>
            <w:right w:w="62" w:type="dxa"/>
          </w:tblCellMar>
          <w:tblLook w:val="0000"/>
        </w:tblPrEx>
        <w:tc>
          <w:tcPr>
            <w:tcW w:w="2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EDE">
            <w:pPr>
              <w:pStyle w:val="BodyText"/>
              <w:rPr>
                <w:lang w:val="en-NZ"/>
              </w:rPr>
            </w:pPr>
            <w:r w:rsidRPr="00B35EDE">
              <w:rPr>
                <w:rStyle w:val="BoldandItalics"/>
              </w:rPr>
              <w:t xml:space="preserve">Those to be present </w:t>
            </w:r>
            <w:r w:rsidRPr="00B35EDE">
              <w:t>may include:</w:t>
            </w:r>
          </w:p>
        </w:tc>
        <w:tc>
          <w:tcPr>
            <w:tcW w:w="6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5EDE" w:rsidP="00B35EDE">
            <w:pPr>
              <w:pStyle w:val="ListBullet"/>
            </w:pPr>
            <w:r w:rsidRPr="00B35EDE">
              <w:t>peers</w:t>
            </w:r>
          </w:p>
          <w:p w:rsidR="00000000" w:rsidRPr="00B35EDE" w:rsidP="00B35EDE">
            <w:pPr>
              <w:pStyle w:val="ListBullet"/>
            </w:pPr>
            <w:r w:rsidRPr="00B35EDE">
              <w:t>colleagues</w:t>
            </w:r>
          </w:p>
          <w:p w:rsidR="00000000" w:rsidRPr="00B35EDE" w:rsidP="00B35EDE">
            <w:pPr>
              <w:pStyle w:val="ListBullet"/>
            </w:pPr>
            <w:r w:rsidRPr="00B35EDE">
              <w:t>those senior or junior to the position</w:t>
            </w:r>
          </w:p>
          <w:p w:rsidR="00000000" w:rsidP="00B35EDE">
            <w:pPr>
              <w:pStyle w:val="ListBullet"/>
              <w:rPr>
                <w:lang w:val="en-NZ"/>
              </w:rPr>
            </w:pPr>
            <w:r w:rsidRPr="00B35EDE">
              <w:t>staff from other agencies</w:t>
            </w:r>
          </w:p>
        </w:tc>
      </w:tr>
      <w:tr w:rsidTr="00464F76">
        <w:tblPrEx>
          <w:tblW w:w="0" w:type="auto"/>
          <w:tblLayout w:type="fixed"/>
          <w:tblCellMar>
            <w:left w:w="62" w:type="dxa"/>
            <w:right w:w="62" w:type="dxa"/>
          </w:tblCellMar>
          <w:tblLook w:val="0000"/>
        </w:tblPrEx>
        <w:tc>
          <w:tcPr>
            <w:tcW w:w="2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EDE">
            <w:pPr>
              <w:pStyle w:val="BodyText"/>
              <w:rPr>
                <w:lang w:val="en-NZ"/>
              </w:rPr>
            </w:pPr>
            <w:r w:rsidRPr="00B35EDE">
              <w:rPr>
                <w:rStyle w:val="BoldandItalics"/>
              </w:rPr>
              <w:t>Mode of communication</w:t>
            </w:r>
            <w:r w:rsidRPr="00B35EDE">
              <w:t xml:space="preserve"> may include:</w:t>
            </w:r>
          </w:p>
        </w:tc>
        <w:tc>
          <w:tcPr>
            <w:tcW w:w="6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5EDE" w:rsidP="00B35EDE">
            <w:pPr>
              <w:pStyle w:val="ListBullet"/>
            </w:pPr>
            <w:r w:rsidRPr="00B35EDE">
              <w:t>telephone</w:t>
            </w:r>
          </w:p>
          <w:p w:rsidR="00000000" w:rsidRPr="00B35EDE" w:rsidP="00B35EDE">
            <w:pPr>
              <w:pStyle w:val="ListBullet"/>
            </w:pPr>
            <w:r w:rsidRPr="00B35EDE">
              <w:t>teleconference</w:t>
            </w:r>
          </w:p>
          <w:p w:rsidR="00000000" w:rsidRPr="00B35EDE" w:rsidP="00B35EDE">
            <w:pPr>
              <w:pStyle w:val="ListBullet"/>
            </w:pPr>
            <w:r w:rsidRPr="00B35EDE">
              <w:t>video conference</w:t>
            </w:r>
          </w:p>
          <w:p w:rsidR="00000000" w:rsidRPr="00B35EDE" w:rsidP="00B35EDE">
            <w:pPr>
              <w:pStyle w:val="ListBullet"/>
            </w:pPr>
            <w:r w:rsidRPr="00B35EDE">
              <w:t>Internet (online forums)</w:t>
            </w:r>
          </w:p>
          <w:p w:rsidR="00000000" w:rsidRPr="00B35EDE" w:rsidP="00B35EDE">
            <w:pPr>
              <w:pStyle w:val="ListBullet"/>
            </w:pPr>
            <w:r w:rsidRPr="00B35EDE">
              <w:t>face-to-face</w:t>
            </w:r>
          </w:p>
          <w:p w:rsidR="00000000" w:rsidRPr="00B35EDE" w:rsidP="00B35EDE">
            <w:pPr>
              <w:pStyle w:val="ListBullet"/>
            </w:pPr>
            <w:r w:rsidRPr="00B35EDE">
              <w:t>one-on-one, or in a group</w:t>
            </w:r>
          </w:p>
          <w:p w:rsidR="00000000" w:rsidP="00B35EDE">
            <w:pPr>
              <w:pStyle w:val="ListBullet"/>
              <w:rPr>
                <w:lang w:val="en-NZ"/>
              </w:rPr>
            </w:pPr>
            <w:r w:rsidRPr="00B35EDE">
              <w:t>forum, seminar or conference</w:t>
            </w:r>
          </w:p>
        </w:tc>
      </w:tr>
      <w:tr w:rsidTr="00464F76">
        <w:tblPrEx>
          <w:tblW w:w="0" w:type="auto"/>
          <w:tblLayout w:type="fixed"/>
          <w:tblCellMar>
            <w:left w:w="62" w:type="dxa"/>
            <w:right w:w="62" w:type="dxa"/>
          </w:tblCellMar>
          <w:tblLook w:val="0000"/>
        </w:tblPrEx>
        <w:tc>
          <w:tcPr>
            <w:tcW w:w="2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EDE">
            <w:pPr>
              <w:pStyle w:val="BodyText"/>
              <w:rPr>
                <w:lang w:val="en-NZ"/>
              </w:rPr>
            </w:pPr>
            <w:r w:rsidRPr="00B35EDE">
              <w:rPr>
                <w:rStyle w:val="BoldandItalics"/>
              </w:rPr>
              <w:t xml:space="preserve">Organisation </w:t>
            </w:r>
            <w:r w:rsidRPr="00B35EDE">
              <w:t>of subject matter</w:t>
            </w:r>
            <w:r w:rsidRPr="00B35EDE">
              <w:rPr>
                <w:rStyle w:val="BoldandItalics"/>
              </w:rPr>
              <w:t xml:space="preserve"> </w:t>
            </w:r>
            <w:r w:rsidRPr="00B35EDE">
              <w:t>may include:</w:t>
            </w:r>
          </w:p>
        </w:tc>
        <w:tc>
          <w:tcPr>
            <w:tcW w:w="6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5EDE" w:rsidP="00B35EDE">
            <w:pPr>
              <w:pStyle w:val="ListBullet"/>
            </w:pPr>
            <w:r w:rsidRPr="00B35EDE">
              <w:t>identifying features, advantages and benefits and aligning evidence/examples</w:t>
            </w:r>
          </w:p>
          <w:p w:rsidR="00000000" w:rsidP="00B35EDE">
            <w:pPr>
              <w:pStyle w:val="ListBullet"/>
              <w:rPr>
                <w:lang w:val="en-NZ"/>
              </w:rPr>
            </w:pPr>
            <w:r w:rsidRPr="00B35EDE">
              <w:t>anticipating likely disagreements and structuring material to address these</w:t>
            </w:r>
          </w:p>
        </w:tc>
      </w:tr>
      <w:tr w:rsidTr="00464F76">
        <w:tblPrEx>
          <w:tblW w:w="0" w:type="auto"/>
          <w:tblLayout w:type="fixed"/>
          <w:tblCellMar>
            <w:left w:w="62" w:type="dxa"/>
            <w:right w:w="62" w:type="dxa"/>
          </w:tblCellMar>
          <w:tblLook w:val="0000"/>
        </w:tblPrEx>
        <w:tc>
          <w:tcPr>
            <w:tcW w:w="2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EDE">
            <w:pPr>
              <w:pStyle w:val="BodyText"/>
              <w:rPr>
                <w:lang w:val="en-NZ"/>
              </w:rPr>
            </w:pPr>
            <w:r w:rsidRPr="00B35EDE">
              <w:rPr>
                <w:rStyle w:val="BoldandItalics"/>
              </w:rPr>
              <w:t>L</w:t>
            </w:r>
            <w:r w:rsidRPr="00B35EDE">
              <w:rPr>
                <w:rStyle w:val="BoldandItalics"/>
              </w:rPr>
              <w:t>egislation</w:t>
            </w:r>
            <w:r w:rsidRPr="00B35EDE">
              <w:t xml:space="preserve">, </w:t>
            </w:r>
            <w:r w:rsidRPr="00B35EDE">
              <w:rPr>
                <w:rStyle w:val="BoldandItalics"/>
              </w:rPr>
              <w:t xml:space="preserve">policy and guidelines </w:t>
            </w:r>
            <w:r w:rsidRPr="00B35EDE">
              <w:t>may include:</w:t>
            </w:r>
          </w:p>
        </w:tc>
        <w:tc>
          <w:tcPr>
            <w:tcW w:w="6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5EDE" w:rsidP="00B35EDE">
            <w:pPr>
              <w:pStyle w:val="ListBullet"/>
            </w:pPr>
            <w:r w:rsidRPr="00B35EDE">
              <w:t>State/Territory and Commonwealth legislation, regulations, policies, guidelines and standards relating to exchange of information in the public sector, such as:</w:t>
            </w:r>
          </w:p>
          <w:p w:rsidR="00000000" w:rsidRPr="00B35EDE" w:rsidP="00B35EDE">
            <w:pPr>
              <w:pStyle w:val="ListBullet2"/>
            </w:pPr>
            <w:r w:rsidRPr="00B35EDE">
              <w:t xml:space="preserve">ethics and accountability guidelines/codes of </w:t>
            </w:r>
            <w:r w:rsidRPr="00B35EDE">
              <w:t>practice</w:t>
            </w:r>
          </w:p>
          <w:p w:rsidR="00000000" w:rsidRPr="00B35EDE" w:rsidP="00B35EDE">
            <w:pPr>
              <w:pStyle w:val="ListBullet2"/>
            </w:pPr>
            <w:r w:rsidRPr="00B35EDE">
              <w:t>information security standards</w:t>
            </w:r>
          </w:p>
          <w:p w:rsidR="00000000" w:rsidRPr="00B35EDE" w:rsidP="00B35EDE">
            <w:pPr>
              <w:pStyle w:val="ListBullet2"/>
            </w:pPr>
            <w:r w:rsidRPr="00B35EDE">
              <w:t>principles of equal employment opportunity, equity and diversity</w:t>
            </w:r>
          </w:p>
          <w:p w:rsidR="00000000" w:rsidRPr="00B35EDE" w:rsidP="00B35EDE">
            <w:pPr>
              <w:pStyle w:val="ListBullet2"/>
            </w:pPr>
            <w:r w:rsidRPr="00B35EDE">
              <w:t>freedom of information and privacy.</w:t>
            </w:r>
          </w:p>
          <w:p w:rsidR="00000000" w:rsidRPr="00B35EDE" w:rsidP="00B35EDE">
            <w:pPr>
              <w:pStyle w:val="ListBullet"/>
            </w:pPr>
            <w:r w:rsidRPr="00B35EDE">
              <w:t>intellectual property</w:t>
            </w:r>
          </w:p>
          <w:p w:rsidR="00000000" w:rsidRPr="00B35EDE" w:rsidP="00B35EDE">
            <w:pPr>
              <w:pStyle w:val="ListBullet"/>
            </w:pPr>
            <w:r w:rsidRPr="00B35EDE">
              <w:t>fraud standards</w:t>
            </w:r>
          </w:p>
          <w:p w:rsidR="00000000" w:rsidP="00B35EDE">
            <w:pPr>
              <w:pStyle w:val="ListBullet"/>
              <w:rPr>
                <w:lang w:val="en-NZ"/>
              </w:rPr>
            </w:pPr>
            <w:r w:rsidRPr="00B35EDE">
              <w:t>professional liability</w:t>
            </w:r>
          </w:p>
        </w:tc>
      </w:tr>
      <w:tr w:rsidTr="00464F76">
        <w:tblPrEx>
          <w:tblW w:w="0" w:type="auto"/>
          <w:tblLayout w:type="fixed"/>
          <w:tblCellMar>
            <w:left w:w="62" w:type="dxa"/>
            <w:right w:w="62" w:type="dxa"/>
          </w:tblCellMar>
          <w:tblLook w:val="0000"/>
        </w:tblPrEx>
        <w:tc>
          <w:tcPr>
            <w:tcW w:w="2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EDE">
            <w:pPr>
              <w:pStyle w:val="BodyText"/>
              <w:rPr>
                <w:lang w:val="en-NZ"/>
              </w:rPr>
            </w:pPr>
            <w:r w:rsidRPr="00B35EDE">
              <w:rPr>
                <w:rStyle w:val="BoldandItalics"/>
              </w:rPr>
              <w:t xml:space="preserve">Reaction to speakers </w:t>
            </w:r>
            <w:r w:rsidRPr="00B35EDE">
              <w:t>may include:</w:t>
            </w:r>
          </w:p>
        </w:tc>
        <w:tc>
          <w:tcPr>
            <w:tcW w:w="6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5EDE" w:rsidP="00B35EDE">
            <w:pPr>
              <w:pStyle w:val="ListBullet"/>
            </w:pPr>
            <w:r w:rsidRPr="00B35EDE">
              <w:t>own reaction</w:t>
            </w:r>
          </w:p>
          <w:p w:rsidR="00000000" w:rsidP="00B35EDE">
            <w:pPr>
              <w:pStyle w:val="ListBullet"/>
              <w:rPr>
                <w:lang w:val="en-NZ"/>
              </w:rPr>
            </w:pPr>
            <w:r w:rsidRPr="00B35EDE">
              <w:t>others present</w:t>
            </w:r>
          </w:p>
        </w:tc>
      </w:tr>
      <w:tr w:rsidTr="00464F76">
        <w:tblPrEx>
          <w:tblW w:w="0" w:type="auto"/>
          <w:tblLayout w:type="fixed"/>
          <w:tblCellMar>
            <w:left w:w="62" w:type="dxa"/>
            <w:right w:w="62" w:type="dxa"/>
          </w:tblCellMar>
          <w:tblLook w:val="0000"/>
        </w:tblPrEx>
        <w:tc>
          <w:tcPr>
            <w:tcW w:w="2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EDE">
            <w:pPr>
              <w:pStyle w:val="BodyText"/>
              <w:rPr>
                <w:lang w:val="en-NZ"/>
              </w:rPr>
            </w:pPr>
            <w:r w:rsidRPr="00B35EDE">
              <w:rPr>
                <w:rStyle w:val="BoldandItalics"/>
              </w:rPr>
              <w:t xml:space="preserve">Communication approach </w:t>
            </w:r>
            <w:r w:rsidRPr="00B35EDE">
              <w:t>may include:</w:t>
            </w:r>
          </w:p>
        </w:tc>
        <w:tc>
          <w:tcPr>
            <w:tcW w:w="6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5EDE" w:rsidP="00B35EDE">
            <w:pPr>
              <w:pStyle w:val="ListBullet"/>
            </w:pPr>
            <w:r w:rsidRPr="00B35EDE">
              <w:t>catering to political sensitivities</w:t>
            </w:r>
          </w:p>
          <w:p w:rsidR="00000000" w:rsidRPr="00B35EDE" w:rsidP="00B35EDE">
            <w:pPr>
              <w:pStyle w:val="ListBullet"/>
            </w:pPr>
            <w:r w:rsidRPr="00B35EDE">
              <w:t>working within government processes and operational frameworks</w:t>
            </w:r>
          </w:p>
          <w:p w:rsidR="00000000" w:rsidRPr="00B35EDE" w:rsidP="00B35EDE">
            <w:pPr>
              <w:pStyle w:val="ListBullet"/>
            </w:pPr>
            <w:r w:rsidRPr="00B35EDE">
              <w:t>balancing debate and action</w:t>
            </w:r>
          </w:p>
          <w:p w:rsidR="00000000" w:rsidRPr="00B35EDE" w:rsidP="00B35EDE">
            <w:pPr>
              <w:pStyle w:val="ListBullet"/>
            </w:pPr>
            <w:r w:rsidRPr="00B35EDE">
              <w:t>consideration of wider organisational/public sector issues</w:t>
            </w:r>
          </w:p>
          <w:p w:rsidR="00000000" w:rsidRPr="00B35EDE" w:rsidP="00B35EDE">
            <w:pPr>
              <w:pStyle w:val="ListBullet"/>
            </w:pPr>
            <w:r w:rsidRPr="00B35EDE">
              <w:t>speaking with con</w:t>
            </w:r>
            <w:r w:rsidRPr="00B35EDE">
              <w:t>fidence</w:t>
            </w:r>
          </w:p>
          <w:p w:rsidR="00000000" w:rsidRPr="00B35EDE" w:rsidP="00B35EDE">
            <w:pPr>
              <w:pStyle w:val="ListBullet"/>
            </w:pPr>
            <w:r w:rsidRPr="00B35EDE">
              <w:t>cultural, ethnic, diversity or equity considerations</w:t>
            </w:r>
          </w:p>
          <w:p w:rsidR="00000000" w:rsidRPr="00B35EDE" w:rsidP="00B35EDE">
            <w:pPr>
              <w:pStyle w:val="ListBullet"/>
            </w:pPr>
            <w:r w:rsidRPr="00B35EDE">
              <w:t>consultative</w:t>
            </w:r>
          </w:p>
          <w:p w:rsidR="00000000" w:rsidRPr="00B35EDE" w:rsidP="00B35EDE">
            <w:pPr>
              <w:pStyle w:val="ListBullet"/>
            </w:pPr>
            <w:r w:rsidRPr="00B35EDE">
              <w:t>collaborative</w:t>
            </w:r>
          </w:p>
          <w:p w:rsidR="00000000" w:rsidRPr="00B35EDE" w:rsidP="00B35EDE">
            <w:pPr>
              <w:pStyle w:val="ListBullet"/>
            </w:pPr>
            <w:r w:rsidRPr="00B35EDE">
              <w:t>assertive</w:t>
            </w:r>
          </w:p>
          <w:p w:rsidR="00000000" w:rsidRPr="00B35EDE" w:rsidP="00B35EDE">
            <w:pPr>
              <w:pStyle w:val="ListBullet"/>
            </w:pPr>
            <w:r w:rsidRPr="00B35EDE">
              <w:t>reasonable</w:t>
            </w:r>
          </w:p>
          <w:p w:rsidR="00000000" w:rsidP="00B35EDE">
            <w:pPr>
              <w:pStyle w:val="ListBullet"/>
              <w:rPr>
                <w:lang w:val="en-NZ"/>
              </w:rPr>
            </w:pPr>
            <w:r w:rsidRPr="00B35EDE">
              <w:t>humorous</w:t>
            </w:r>
          </w:p>
        </w:tc>
      </w:tr>
      <w:tr w:rsidTr="00464F76">
        <w:tblPrEx>
          <w:tblW w:w="0" w:type="auto"/>
          <w:tblLayout w:type="fixed"/>
          <w:tblCellMar>
            <w:left w:w="62" w:type="dxa"/>
            <w:right w:w="62" w:type="dxa"/>
          </w:tblCellMar>
          <w:tblLook w:val="0000"/>
        </w:tblPrEx>
        <w:tc>
          <w:tcPr>
            <w:tcW w:w="2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EDE">
            <w:pPr>
              <w:pStyle w:val="BodyText"/>
              <w:rPr>
                <w:lang w:val="en-NZ"/>
              </w:rPr>
            </w:pPr>
            <w:r w:rsidRPr="00B35EDE">
              <w:rPr>
                <w:rStyle w:val="BoldandItalics"/>
              </w:rPr>
              <w:t>Verbal and non</w:t>
            </w:r>
            <w:r w:rsidRPr="00B35EDE">
              <w:t>-</w:t>
            </w:r>
            <w:r w:rsidRPr="00B35EDE">
              <w:rPr>
                <w:rStyle w:val="BoldandItalics"/>
              </w:rPr>
              <w:t xml:space="preserve">verbal behaviour </w:t>
            </w:r>
            <w:r w:rsidRPr="00B35EDE">
              <w:t>may include:</w:t>
            </w:r>
          </w:p>
        </w:tc>
        <w:tc>
          <w:tcPr>
            <w:tcW w:w="6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5EDE" w:rsidP="00B35EDE">
            <w:pPr>
              <w:pStyle w:val="ListBullet"/>
            </w:pPr>
            <w:r w:rsidRPr="00B35EDE">
              <w:t>inclusive language, ideas and information</w:t>
            </w:r>
          </w:p>
          <w:p w:rsidR="00000000" w:rsidRPr="00B35EDE" w:rsidP="00B35EDE">
            <w:pPr>
              <w:pStyle w:val="ListBullet"/>
            </w:pPr>
            <w:r w:rsidRPr="00B35EDE">
              <w:t>congruent speech and body language</w:t>
            </w:r>
          </w:p>
          <w:p w:rsidR="00000000" w:rsidRPr="00B35EDE" w:rsidP="00B35EDE">
            <w:pPr>
              <w:pStyle w:val="ListBullet"/>
            </w:pPr>
            <w:r w:rsidRPr="00B35EDE">
              <w:t>speaking with confidence</w:t>
            </w:r>
          </w:p>
          <w:p w:rsidR="00000000" w:rsidRPr="00B35EDE" w:rsidP="00B35EDE">
            <w:pPr>
              <w:pStyle w:val="ListBullet"/>
            </w:pPr>
            <w:r w:rsidRPr="00B35EDE">
              <w:t>impartiality</w:t>
            </w:r>
          </w:p>
          <w:p w:rsidR="00000000" w:rsidRPr="00B35EDE" w:rsidP="00B35EDE">
            <w:pPr>
              <w:pStyle w:val="ListBullet"/>
            </w:pPr>
            <w:r w:rsidRPr="00B35EDE">
              <w:t>responsiveness</w:t>
            </w:r>
          </w:p>
          <w:p w:rsidR="00000000" w:rsidP="00B35EDE">
            <w:pPr>
              <w:pStyle w:val="ListBullet"/>
              <w:rPr>
                <w:lang w:val="en-NZ"/>
              </w:rPr>
            </w:pPr>
            <w:r w:rsidRPr="00B35EDE">
              <w:t>drawing on different sources of information</w:t>
            </w:r>
          </w:p>
        </w:tc>
      </w:tr>
      <w:tr w:rsidTr="00464F76">
        <w:tblPrEx>
          <w:tblW w:w="0" w:type="auto"/>
          <w:tblLayout w:type="fixed"/>
          <w:tblCellMar>
            <w:left w:w="62" w:type="dxa"/>
            <w:right w:w="62" w:type="dxa"/>
          </w:tblCellMar>
          <w:tblLook w:val="0000"/>
        </w:tblPrEx>
        <w:tc>
          <w:tcPr>
            <w:tcW w:w="2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EDE">
            <w:pPr>
              <w:pStyle w:val="BodyText"/>
              <w:rPr>
                <w:lang w:val="en-NZ"/>
              </w:rPr>
            </w:pPr>
            <w:r w:rsidRPr="00B35EDE">
              <w:rPr>
                <w:rStyle w:val="BoldandItalics"/>
              </w:rPr>
              <w:t>Language structures and features</w:t>
            </w:r>
            <w:r w:rsidRPr="00B35EDE">
              <w:t xml:space="preserve"> may include:</w:t>
            </w:r>
          </w:p>
        </w:tc>
        <w:tc>
          <w:tcPr>
            <w:tcW w:w="6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5EDE" w:rsidP="00B35EDE">
            <w:pPr>
              <w:pStyle w:val="ListBullet"/>
            </w:pPr>
            <w:r w:rsidRPr="00B35EDE">
              <w:t>use of metaphors and similes</w:t>
            </w:r>
          </w:p>
          <w:p w:rsidR="00000000" w:rsidRPr="00B35EDE" w:rsidP="00B35EDE">
            <w:pPr>
              <w:pStyle w:val="ListBullet"/>
            </w:pPr>
            <w:r w:rsidRPr="00B35EDE">
              <w:t>use of analogy, imagery and other comparisons</w:t>
            </w:r>
          </w:p>
          <w:p w:rsidR="00000000" w:rsidRPr="00B35EDE" w:rsidP="00B35EDE">
            <w:pPr>
              <w:pStyle w:val="ListBullet"/>
            </w:pPr>
            <w:r w:rsidRPr="00B35EDE">
              <w:t>use of passive voice</w:t>
            </w:r>
          </w:p>
          <w:p w:rsidR="00000000" w:rsidRPr="00B35EDE" w:rsidP="00B35EDE">
            <w:pPr>
              <w:pStyle w:val="ListBullet"/>
            </w:pPr>
            <w:r w:rsidRPr="00B35EDE">
              <w:t xml:space="preserve">using personal </w:t>
            </w:r>
            <w:r w:rsidRPr="00B35EDE">
              <w:t>names repeatedly to convey intimacy or sincerity</w:t>
            </w:r>
          </w:p>
          <w:p w:rsidR="00000000" w:rsidRPr="00B35EDE" w:rsidP="00B35EDE">
            <w:pPr>
              <w:pStyle w:val="ListBullet"/>
            </w:pPr>
            <w:r w:rsidRPr="00B35EDE">
              <w:t>tone, style and point of view</w:t>
            </w:r>
          </w:p>
        </w:tc>
      </w:tr>
    </w:tbl>
    <w:p w:rsidR="00464F76" w:rsidP="00B35EDE">
      <w:pPr>
        <w:pStyle w:val="BodyText"/>
      </w:pPr>
    </w:p>
    <w:p w:rsidR="00464F76" w:rsidP="00B35EDE">
      <w:pPr>
        <w:pStyle w:val="BodyText"/>
      </w:pPr>
    </w:p>
    <w:p w:rsidR="00000000" w:rsidRPr="00B35EDE" w:rsidP="00B35EDE">
      <w:pPr>
        <w:pStyle w:val="Heading1"/>
      </w:pPr>
      <w:bookmarkStart w:id="12" w:name="O_493448"/>
      <w:bookmarkEnd w:id="12"/>
      <w:r w:rsidRPr="00B35EDE">
        <w:t>Unit Sector(s)</w:t>
      </w:r>
    </w:p>
    <w:p w:rsidR="00000000" w:rsidRPr="00B35EDE" w:rsidP="00B35EDE">
      <w:pPr>
        <w:pStyle w:val="BodyText"/>
      </w:pPr>
      <w:r w:rsidRPr="00B35EDE">
        <w:t>Not applicable.</w:t>
      </w:r>
    </w:p>
    <w:p w:rsidR="00000000" w:rsidRPr="00B35EDE" w:rsidP="00B35EDE">
      <w:pPr>
        <w:pStyle w:val="AllowPageBreak"/>
      </w:pPr>
    </w:p>
    <w:p w:rsidR="00000000" w:rsidRPr="00B35EDE" w:rsidP="00B35EDE">
      <w:pPr>
        <w:pStyle w:val="Heading1"/>
      </w:pPr>
      <w:bookmarkStart w:id="13" w:name="O_493457"/>
      <w:bookmarkEnd w:id="13"/>
      <w:r w:rsidRPr="00B35EDE">
        <w:t>Competency field</w:t>
      </w:r>
    </w:p>
    <w:p w:rsidR="00000000" w:rsidRPr="00B35EDE" w:rsidP="00B35EDE">
      <w:pPr>
        <w:pStyle w:val="BodyText"/>
      </w:pPr>
      <w:r w:rsidRPr="00B35EDE">
        <w:t>Working in Government.</w:t>
      </w:r>
    </w:p>
    <w:p w:rsidR="00000000" w:rsidRPr="00B35EDE" w:rsidP="00B35EDE"/>
    <w:sectPr w:rsidSect="00B35ED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E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64F76" w:rsidP="00464F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E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F76" w:rsidP="00B35E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64F76" w:rsidP="00B35ED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464F76" w:rsidP="00B35ED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E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EDE" w:rsidRPr="00464F76" w:rsidP="00464F7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E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F76" w:rsidRPr="002D2AF8" w:rsidP="00B35EDE">
    <w:pPr>
      <w:pStyle w:val="Header"/>
      <w:framePr w:wrap="around"/>
    </w:pPr>
    <w:r>
      <w:fldChar w:fldCharType="begin"/>
    </w:r>
    <w:r>
      <w:instrText xml:space="preserve"> TITLE   \* MERGEFORMAT </w:instrText>
    </w:r>
    <w:r>
      <w:fldChar w:fldCharType="separate"/>
    </w:r>
    <w:r>
      <w:t>PSPGOV512A Use complex workplace communication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2/11/2012</w:t>
    </w:r>
    <w:r>
      <w:fldChar w:fldCharType="end"/>
    </w:r>
  </w:p>
  <w:p w:rsidR="00464F76" w:rsidP="00B35E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D74CA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CA649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4C53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5E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35EDE"/>
    <w:pPr>
      <w:spacing w:before="360" w:after="60"/>
      <w:outlineLvl w:val="0"/>
    </w:pPr>
    <w:rPr>
      <w:sz w:val="32"/>
    </w:rPr>
  </w:style>
  <w:style w:type="paragraph" w:styleId="Heading2">
    <w:name w:val="heading 2"/>
    <w:basedOn w:val="HeadingBase"/>
    <w:next w:val="BodyText"/>
    <w:link w:val="Heading2Char"/>
    <w:qFormat/>
    <w:rsid w:val="00B35EDE"/>
    <w:pPr>
      <w:keepLines/>
      <w:spacing w:before="240" w:after="120"/>
      <w:outlineLvl w:val="1"/>
    </w:pPr>
    <w:rPr>
      <w:sz w:val="28"/>
      <w:szCs w:val="40"/>
    </w:rPr>
  </w:style>
  <w:style w:type="paragraph" w:styleId="Heading3">
    <w:name w:val="heading 3"/>
    <w:basedOn w:val="HeadingBase"/>
    <w:next w:val="BodyText"/>
    <w:link w:val="Heading3Char"/>
    <w:qFormat/>
    <w:rsid w:val="00B35EDE"/>
    <w:pPr>
      <w:spacing w:before="180" w:after="120"/>
      <w:outlineLvl w:val="2"/>
    </w:pPr>
    <w:rPr>
      <w:spacing w:val="-10"/>
      <w:kern w:val="32"/>
    </w:rPr>
  </w:style>
  <w:style w:type="paragraph" w:styleId="Heading4">
    <w:name w:val="heading 4"/>
    <w:basedOn w:val="HeadingBase"/>
    <w:next w:val="BodyText"/>
    <w:link w:val="Heading4Char"/>
    <w:qFormat/>
    <w:rsid w:val="00B35EDE"/>
    <w:pPr>
      <w:spacing w:before="160" w:after="120"/>
      <w:outlineLvl w:val="3"/>
    </w:pPr>
    <w:rPr>
      <w:sz w:val="22"/>
    </w:rPr>
  </w:style>
  <w:style w:type="paragraph" w:styleId="Heading5">
    <w:name w:val="heading 5"/>
    <w:basedOn w:val="HeadingBase"/>
    <w:next w:val="Normal"/>
    <w:link w:val="Heading5Char"/>
    <w:qFormat/>
    <w:rsid w:val="00B35EDE"/>
    <w:pPr>
      <w:spacing w:before="80"/>
      <w:outlineLvl w:val="4"/>
    </w:pPr>
    <w:rPr>
      <w:color w:val="918585"/>
      <w:sz w:val="20"/>
    </w:rPr>
  </w:style>
  <w:style w:type="paragraph" w:styleId="Heading6">
    <w:name w:val="heading 6"/>
    <w:basedOn w:val="HeadingBase"/>
    <w:next w:val="Normal"/>
    <w:link w:val="Heading6Char"/>
    <w:qFormat/>
    <w:rsid w:val="00B35EDE"/>
    <w:pPr>
      <w:spacing w:before="60"/>
      <w:outlineLvl w:val="5"/>
    </w:pPr>
    <w:rPr>
      <w:color w:val="918585"/>
      <w:sz w:val="20"/>
    </w:rPr>
  </w:style>
  <w:style w:type="paragraph" w:styleId="Heading7">
    <w:name w:val="heading 7"/>
    <w:basedOn w:val="Normal"/>
    <w:next w:val="Normal"/>
    <w:link w:val="Heading7Char"/>
    <w:qFormat/>
    <w:rsid w:val="00B35EDE"/>
    <w:pPr>
      <w:ind w:left="720"/>
      <w:outlineLvl w:val="6"/>
    </w:pPr>
    <w:rPr>
      <w:i/>
    </w:rPr>
  </w:style>
  <w:style w:type="paragraph" w:styleId="Heading8">
    <w:name w:val="heading 8"/>
    <w:basedOn w:val="Normal"/>
    <w:next w:val="Normal"/>
    <w:link w:val="Heading8Char"/>
    <w:qFormat/>
    <w:rsid w:val="00B35EDE"/>
    <w:pPr>
      <w:ind w:left="720"/>
      <w:outlineLvl w:val="7"/>
    </w:pPr>
    <w:rPr>
      <w:i/>
    </w:rPr>
  </w:style>
  <w:style w:type="paragraph" w:styleId="Heading9">
    <w:name w:val="heading 9"/>
    <w:basedOn w:val="Normal"/>
    <w:next w:val="Normal"/>
    <w:link w:val="Heading9Char"/>
    <w:qFormat/>
    <w:rsid w:val="00B35EDE"/>
    <w:pPr>
      <w:ind w:left="720"/>
      <w:outlineLvl w:val="8"/>
    </w:pPr>
    <w:rPr>
      <w:i/>
    </w:rPr>
  </w:style>
  <w:style w:type="character" w:default="1" w:styleId="DefaultParagraphFont">
    <w:name w:val="Default Paragraph Font"/>
    <w:uiPriority w:val="1"/>
    <w:unhideWhenUsed/>
    <w:rsid w:val="00B35E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5EDE"/>
  </w:style>
  <w:style w:type="character" w:customStyle="1" w:styleId="Heading1Char">
    <w:name w:val="Heading 1 Char"/>
    <w:basedOn w:val="DefaultParagraphFont"/>
    <w:link w:val="Heading1"/>
    <w:rsid w:val="00B35EDE"/>
    <w:rPr>
      <w:rFonts w:ascii="Times New Roman" w:eastAsia="Times New Roman" w:hAnsi="Times New Roman" w:cs="Times New Roman"/>
      <w:b/>
      <w:sz w:val="32"/>
      <w:szCs w:val="20"/>
      <w:lang w:eastAsia="en-US"/>
    </w:rPr>
  </w:style>
  <w:style w:type="paragraph" w:styleId="BodyText">
    <w:name w:val="Body Text"/>
    <w:basedOn w:val="Normal"/>
    <w:link w:val="BodyTextChar"/>
    <w:rsid w:val="00B35ED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35EDE"/>
    <w:rPr>
      <w:rFonts w:ascii="Times New Roman" w:eastAsia="Times New Roman" w:hAnsi="Times New Roman" w:cs="Times New Roman"/>
      <w:sz w:val="24"/>
      <w:lang w:eastAsia="en-US"/>
    </w:rPr>
  </w:style>
  <w:style w:type="paragraph" w:styleId="Footer">
    <w:name w:val="footer"/>
    <w:basedOn w:val="Normal"/>
    <w:link w:val="FooterChar"/>
    <w:rsid w:val="00B35E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5EDE"/>
    <w:rPr>
      <w:rFonts w:ascii="Times New Roman" w:eastAsia="Times New Roman" w:hAnsi="Times New Roman" w:cs="Times New Roman"/>
      <w:sz w:val="16"/>
      <w:lang w:eastAsia="en-US"/>
    </w:rPr>
  </w:style>
  <w:style w:type="paragraph" w:styleId="List">
    <w:name w:val="List"/>
    <w:basedOn w:val="BodyText"/>
    <w:next w:val="BodyText"/>
    <w:rsid w:val="00B35EDE"/>
    <w:pPr>
      <w:tabs>
        <w:tab w:val="left" w:pos="340"/>
      </w:tabs>
      <w:spacing w:before="60" w:after="60"/>
      <w:ind w:left="340" w:hanging="340"/>
    </w:pPr>
  </w:style>
  <w:style w:type="paragraph" w:styleId="ListBullet">
    <w:name w:val="List Bullet"/>
    <w:basedOn w:val="List"/>
    <w:rsid w:val="00B35EDE"/>
    <w:pPr>
      <w:numPr>
        <w:numId w:val="13"/>
      </w:numPr>
      <w:tabs>
        <w:tab w:val="clear" w:pos="340"/>
      </w:tabs>
      <w:spacing w:before="40" w:after="40"/>
    </w:pPr>
  </w:style>
  <w:style w:type="character" w:customStyle="1" w:styleId="SpecialBold">
    <w:name w:val="Special Bold"/>
    <w:basedOn w:val="DefaultParagraphFont"/>
    <w:rsid w:val="00B35EDE"/>
    <w:rPr>
      <w:b/>
      <w:spacing w:val="0"/>
    </w:rPr>
  </w:style>
  <w:style w:type="paragraph" w:styleId="ListBullet2">
    <w:name w:val="List Bullet 2"/>
    <w:basedOn w:val="List2"/>
    <w:rsid w:val="00B35EDE"/>
    <w:pPr>
      <w:numPr>
        <w:numId w:val="14"/>
      </w:numPr>
      <w:tabs>
        <w:tab w:val="clear" w:pos="680"/>
      </w:tabs>
    </w:pPr>
  </w:style>
  <w:style w:type="character" w:styleId="Emphasis">
    <w:name w:val="Emphasis"/>
    <w:basedOn w:val="DefaultParagraphFont"/>
    <w:qFormat/>
    <w:rsid w:val="00B35EDE"/>
    <w:rPr>
      <w:i/>
    </w:rPr>
  </w:style>
  <w:style w:type="paragraph" w:customStyle="1" w:styleId="SuperHeading">
    <w:name w:val="SuperHeading"/>
    <w:basedOn w:val="Normal"/>
    <w:rsid w:val="00B35EDE"/>
    <w:pPr>
      <w:spacing w:before="240" w:after="120"/>
      <w:outlineLvl w:val="0"/>
    </w:pPr>
    <w:rPr>
      <w:rFonts w:ascii="Times New Roman" w:hAnsi="Times New Roman"/>
      <w:b/>
      <w:sz w:val="28"/>
    </w:rPr>
  </w:style>
  <w:style w:type="paragraph" w:customStyle="1" w:styleId="AllowPageBreak">
    <w:name w:val="AllowPageBreak"/>
    <w:rsid w:val="00B35ED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B35EDE"/>
    <w:rPr>
      <w:u w:val="single"/>
    </w:rPr>
  </w:style>
  <w:style w:type="character" w:customStyle="1" w:styleId="BoldandItalics">
    <w:name w:val="Bold and Italics"/>
    <w:qFormat/>
    <w:rsid w:val="00B35EDE"/>
    <w:rPr>
      <w:b/>
      <w:i/>
      <w:u w:val="none"/>
    </w:rPr>
  </w:style>
  <w:style w:type="character" w:customStyle="1" w:styleId="Heading2Char">
    <w:name w:val="Heading 2 Char"/>
    <w:basedOn w:val="DefaultParagraphFont"/>
    <w:link w:val="Heading2"/>
    <w:rsid w:val="00B35E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5E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5E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5E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5E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5E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35E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35EDE"/>
    <w:rPr>
      <w:rFonts w:ascii="Courier New" w:eastAsia="Times New Roman" w:hAnsi="Courier New" w:cs="Times New Roman"/>
      <w:i/>
      <w:szCs w:val="20"/>
      <w:lang w:eastAsia="en-US"/>
    </w:rPr>
  </w:style>
  <w:style w:type="paragraph" w:customStyle="1" w:styleId="HeadingBase">
    <w:name w:val="Heading Base"/>
    <w:rsid w:val="00B35E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5EDE"/>
    <w:pPr>
      <w:tabs>
        <w:tab w:val="right" w:leader="dot" w:pos="9072"/>
      </w:tabs>
      <w:ind w:left="567"/>
    </w:pPr>
    <w:rPr>
      <w:szCs w:val="22"/>
    </w:rPr>
  </w:style>
  <w:style w:type="paragraph" w:customStyle="1" w:styleId="TOCBase">
    <w:name w:val="TOC Base"/>
    <w:rsid w:val="00B35E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5EDE"/>
    <w:pPr>
      <w:tabs>
        <w:tab w:val="right" w:leader="dot" w:pos="9072"/>
      </w:tabs>
      <w:spacing w:before="40" w:after="40"/>
      <w:ind w:left="284"/>
    </w:pPr>
    <w:rPr>
      <w:rFonts w:ascii="Times New Roman" w:hAnsi="Times New Roman"/>
    </w:rPr>
  </w:style>
  <w:style w:type="paragraph" w:styleId="TOC1">
    <w:name w:val="toc 1"/>
    <w:basedOn w:val="TOCBase"/>
    <w:next w:val="Normal"/>
    <w:rsid w:val="00B35ED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35EDE"/>
    <w:pPr>
      <w:spacing w:before="5040"/>
      <w:jc w:val="center"/>
    </w:pPr>
    <w:rPr>
      <w:sz w:val="48"/>
      <w:szCs w:val="72"/>
      <w:lang w:val="en-US"/>
    </w:rPr>
  </w:style>
  <w:style w:type="character" w:customStyle="1" w:styleId="TitleChar">
    <w:name w:val="Title Char"/>
    <w:basedOn w:val="DefaultParagraphFont"/>
    <w:link w:val="Title"/>
    <w:rsid w:val="00B35E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5EDE"/>
    <w:pPr>
      <w:tabs>
        <w:tab w:val="left" w:pos="3600"/>
        <w:tab w:val="left" w:pos="3958"/>
      </w:tabs>
    </w:pPr>
  </w:style>
  <w:style w:type="paragraph" w:customStyle="1" w:styleId="Note">
    <w:name w:val="Note"/>
    <w:basedOn w:val="BodyText"/>
    <w:rsid w:val="00B35E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5EDE"/>
    <w:pPr>
      <w:framePr w:wrap="auto" w:hAnchor="text" w:y="6049"/>
    </w:pPr>
    <w:rPr>
      <w:color w:val="000000"/>
      <w:sz w:val="40"/>
    </w:rPr>
  </w:style>
  <w:style w:type="paragraph" w:customStyle="1" w:styleId="TOCTitle">
    <w:name w:val="TOCTitle"/>
    <w:basedOn w:val="Heading1"/>
    <w:rsid w:val="00B35EDE"/>
    <w:pPr>
      <w:spacing w:after="240"/>
      <w:jc w:val="center"/>
      <w:outlineLvl w:val="9"/>
    </w:pPr>
    <w:rPr>
      <w:caps/>
    </w:rPr>
  </w:style>
  <w:style w:type="paragraph" w:customStyle="1" w:styleId="Version">
    <w:name w:val="Version"/>
    <w:rsid w:val="00B35E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35EDE"/>
    <w:pPr>
      <w:keepNext w:val="0"/>
      <w:tabs>
        <w:tab w:val="right" w:pos="4176"/>
      </w:tabs>
      <w:ind w:left="198" w:hanging="198"/>
    </w:pPr>
    <w:rPr>
      <w:rFonts w:ascii="Garamond" w:hAnsi="Garamond"/>
    </w:rPr>
  </w:style>
  <w:style w:type="paragraph" w:styleId="IndexHeading">
    <w:name w:val="index heading"/>
    <w:basedOn w:val="Normal"/>
    <w:next w:val="Index1"/>
    <w:semiHidden/>
    <w:rsid w:val="00B35EDE"/>
    <w:pPr>
      <w:spacing w:before="120" w:after="120"/>
    </w:pPr>
    <w:rPr>
      <w:rFonts w:ascii="Arial" w:hAnsi="Arial"/>
      <w:b/>
      <w:color w:val="918585"/>
      <w:sz w:val="24"/>
    </w:rPr>
  </w:style>
  <w:style w:type="paragraph" w:styleId="Header">
    <w:name w:val="header"/>
    <w:basedOn w:val="Normal"/>
    <w:link w:val="HeaderChar"/>
    <w:rsid w:val="00B35E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5EDE"/>
    <w:rPr>
      <w:rFonts w:ascii="Times New Roman" w:eastAsia="Times New Roman" w:hAnsi="Times New Roman" w:cs="Times New Roman"/>
      <w:sz w:val="16"/>
      <w:szCs w:val="20"/>
      <w:lang w:val="en-GB" w:eastAsia="en-US"/>
    </w:rPr>
  </w:style>
  <w:style w:type="paragraph" w:customStyle="1" w:styleId="Chapter">
    <w:name w:val="Chapter"/>
    <w:basedOn w:val="Normal"/>
    <w:rsid w:val="00B35EDE"/>
    <w:pPr>
      <w:spacing w:before="240"/>
    </w:pPr>
    <w:rPr>
      <w:rFonts w:ascii="Times New Roman" w:hAnsi="Times New Roman"/>
      <w:smallCaps/>
      <w:spacing w:val="80"/>
      <w:sz w:val="28"/>
    </w:rPr>
  </w:style>
  <w:style w:type="paragraph" w:customStyle="1" w:styleId="InChapter">
    <w:name w:val="InChapter"/>
    <w:basedOn w:val="Heading3"/>
    <w:rsid w:val="00B35EDE"/>
    <w:pPr>
      <w:spacing w:after="240"/>
      <w:outlineLvl w:val="9"/>
    </w:pPr>
    <w:rPr>
      <w:noProof/>
    </w:rPr>
  </w:style>
  <w:style w:type="paragraph" w:styleId="Index2">
    <w:name w:val="index 2"/>
    <w:basedOn w:val="Normal"/>
    <w:next w:val="Normal"/>
    <w:semiHidden/>
    <w:rsid w:val="00B35EDE"/>
    <w:pPr>
      <w:tabs>
        <w:tab w:val="right" w:pos="4176"/>
      </w:tabs>
      <w:ind w:left="568" w:hanging="284"/>
    </w:pPr>
    <w:rPr>
      <w:rFonts w:ascii="Garamond" w:hAnsi="Garamond"/>
    </w:rPr>
  </w:style>
  <w:style w:type="paragraph" w:customStyle="1" w:styleId="Byline">
    <w:name w:val="Byline"/>
    <w:rsid w:val="00B35E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5EDE"/>
    <w:pPr>
      <w:tabs>
        <w:tab w:val="clear" w:pos="3600"/>
        <w:tab w:val="clear" w:pos="3958"/>
      </w:tabs>
      <w:jc w:val="right"/>
    </w:pPr>
  </w:style>
  <w:style w:type="paragraph" w:styleId="Caption">
    <w:name w:val="caption"/>
    <w:basedOn w:val="BodyText"/>
    <w:next w:val="Normal"/>
    <w:qFormat/>
    <w:rsid w:val="00B35EDE"/>
    <w:pPr>
      <w:framePr w:w="2268" w:hSpace="181" w:vSpace="181" w:wrap="around" w:vAnchor="text" w:hAnchor="page" w:x="1135" w:y="285" w:anchorLock="1"/>
    </w:pPr>
    <w:rPr>
      <w:i/>
    </w:rPr>
  </w:style>
  <w:style w:type="paragraph" w:customStyle="1" w:styleId="MiniTOCTitle">
    <w:name w:val="MiniTOCTitle"/>
    <w:basedOn w:val="Heading4"/>
    <w:rsid w:val="00B35EDE"/>
    <w:pPr>
      <w:spacing w:before="240"/>
      <w:outlineLvl w:val="9"/>
    </w:pPr>
    <w:rPr>
      <w:noProof/>
      <w:sz w:val="24"/>
    </w:rPr>
  </w:style>
  <w:style w:type="paragraph" w:customStyle="1" w:styleId="MiniTOCItem">
    <w:name w:val="MiniTOCItem"/>
    <w:basedOn w:val="ListBullet"/>
    <w:rsid w:val="00B35EDE"/>
    <w:pPr>
      <w:numPr>
        <w:numId w:val="0"/>
      </w:numPr>
      <w:tabs>
        <w:tab w:val="right" w:leader="dot" w:pos="6521"/>
      </w:tabs>
      <w:spacing w:before="0" w:after="0"/>
    </w:pPr>
  </w:style>
  <w:style w:type="paragraph" w:customStyle="1" w:styleId="TOFTitle">
    <w:name w:val="TOFTitle"/>
    <w:basedOn w:val="TOCTitle"/>
    <w:rsid w:val="00B35EDE"/>
  </w:style>
  <w:style w:type="paragraph" w:styleId="TableofFigures">
    <w:name w:val="table of figures"/>
    <w:basedOn w:val="Normal"/>
    <w:next w:val="Normal"/>
    <w:semiHidden/>
    <w:rsid w:val="00B35EDE"/>
    <w:pPr>
      <w:tabs>
        <w:tab w:val="right" w:leader="dot" w:pos="9072"/>
      </w:tabs>
      <w:ind w:left="970" w:hanging="403"/>
    </w:pPr>
    <w:rPr>
      <w:rFonts w:ascii="Times New Roman" w:hAnsi="Times New Roman"/>
      <w:b/>
    </w:rPr>
  </w:style>
  <w:style w:type="paragraph" w:styleId="ListNumber">
    <w:name w:val="List Number"/>
    <w:basedOn w:val="List"/>
    <w:rsid w:val="00B35EDE"/>
    <w:pPr>
      <w:numPr>
        <w:numId w:val="11"/>
      </w:numPr>
    </w:pPr>
  </w:style>
  <w:style w:type="character" w:customStyle="1" w:styleId="WingdingSymbols">
    <w:name w:val="Wingding Symbols"/>
    <w:rsid w:val="00B35EDE"/>
    <w:rPr>
      <w:rFonts w:ascii="Wingdings" w:hAnsi="Wingdings"/>
    </w:rPr>
  </w:style>
  <w:style w:type="paragraph" w:customStyle="1" w:styleId="TableHeading">
    <w:name w:val="Table Heading"/>
    <w:basedOn w:val="HeadingBase"/>
    <w:rsid w:val="00B35EDE"/>
    <w:pPr>
      <w:keepLines/>
      <w:pBdr>
        <w:bottom w:val="single" w:sz="6" w:space="1" w:color="918585"/>
      </w:pBdr>
      <w:spacing w:before="240"/>
    </w:pPr>
  </w:style>
  <w:style w:type="character" w:customStyle="1" w:styleId="HotSpot">
    <w:name w:val="HotSpot"/>
    <w:rsid w:val="00B35EDE"/>
    <w:rPr>
      <w:color w:val="0033CC"/>
      <w:u w:val="none"/>
    </w:rPr>
  </w:style>
  <w:style w:type="paragraph" w:customStyle="1" w:styleId="BodyTextRight">
    <w:name w:val="Body Text Right"/>
    <w:basedOn w:val="BodyText"/>
    <w:rsid w:val="00B35EDE"/>
    <w:pPr>
      <w:spacing w:before="0" w:after="0"/>
      <w:jc w:val="right"/>
    </w:pPr>
  </w:style>
  <w:style w:type="paragraph" w:styleId="Index3">
    <w:name w:val="index 3"/>
    <w:basedOn w:val="ListNumber2"/>
    <w:next w:val="Normal"/>
    <w:semiHidden/>
    <w:rsid w:val="00B35EDE"/>
    <w:pPr>
      <w:numPr>
        <w:numId w:val="0"/>
      </w:numPr>
      <w:tabs>
        <w:tab w:val="right" w:leader="dot" w:pos="4176"/>
      </w:tabs>
    </w:pPr>
  </w:style>
  <w:style w:type="paragraph" w:styleId="ListNumber2">
    <w:name w:val="List Number 2"/>
    <w:basedOn w:val="List2"/>
    <w:rsid w:val="00B35EDE"/>
    <w:pPr>
      <w:numPr>
        <w:numId w:val="10"/>
      </w:numPr>
      <w:tabs>
        <w:tab w:val="clear" w:pos="1060"/>
      </w:tabs>
    </w:pPr>
  </w:style>
  <w:style w:type="paragraph" w:customStyle="1" w:styleId="MarginNote">
    <w:name w:val="Margin Note"/>
    <w:basedOn w:val="BodyText"/>
    <w:rsid w:val="00B35E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5E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5E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35EDE"/>
    <w:rPr>
      <w:sz w:val="32"/>
    </w:rPr>
  </w:style>
  <w:style w:type="paragraph" w:customStyle="1" w:styleId="HeadingProcedure">
    <w:name w:val="Heading Procedure"/>
    <w:basedOn w:val="HeadingBase"/>
    <w:next w:val="Normal"/>
    <w:rsid w:val="00B35EDE"/>
    <w:pPr>
      <w:tabs>
        <w:tab w:val="left" w:pos="0"/>
      </w:tabs>
      <w:spacing w:before="120" w:after="60"/>
    </w:pPr>
    <w:rPr>
      <w:i/>
      <w:color w:val="918585"/>
      <w:sz w:val="22"/>
    </w:rPr>
  </w:style>
  <w:style w:type="paragraph" w:customStyle="1" w:styleId="TableBodyText">
    <w:name w:val="Table Body Text"/>
    <w:basedOn w:val="BodyText"/>
    <w:rsid w:val="00B35EDE"/>
    <w:pPr>
      <w:spacing w:before="60" w:after="60"/>
    </w:pPr>
  </w:style>
  <w:style w:type="paragraph" w:styleId="ListContinue">
    <w:name w:val="List Continue"/>
    <w:basedOn w:val="List"/>
    <w:rsid w:val="00B35EDE"/>
    <w:pPr>
      <w:ind w:firstLine="0"/>
    </w:pPr>
  </w:style>
  <w:style w:type="paragraph" w:customStyle="1" w:styleId="ListNote">
    <w:name w:val="List Note"/>
    <w:basedOn w:val="List"/>
    <w:rsid w:val="00B35EDE"/>
    <w:pPr>
      <w:pBdr>
        <w:top w:val="single" w:sz="6" w:space="2" w:color="918585"/>
        <w:bottom w:val="single" w:sz="6" w:space="2" w:color="918585"/>
      </w:pBdr>
      <w:tabs>
        <w:tab w:val="left" w:pos="1021"/>
      </w:tabs>
      <w:ind w:firstLine="0"/>
    </w:pPr>
  </w:style>
  <w:style w:type="paragraph" w:customStyle="1" w:styleId="Warning">
    <w:name w:val="Warning"/>
    <w:basedOn w:val="BodyText"/>
    <w:rsid w:val="00B35EDE"/>
    <w:pPr>
      <w:shd w:val="clear" w:color="auto" w:fill="D9D9D9"/>
      <w:tabs>
        <w:tab w:val="left" w:pos="992"/>
      </w:tabs>
      <w:ind w:left="119" w:right="119"/>
    </w:pPr>
    <w:rPr>
      <w:sz w:val="20"/>
    </w:rPr>
  </w:style>
  <w:style w:type="paragraph" w:customStyle="1" w:styleId="MarginIcons">
    <w:name w:val="Margin Icons"/>
    <w:basedOn w:val="BodyText"/>
    <w:rsid w:val="00B35E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5EDE"/>
    <w:rPr>
      <w:rFonts w:ascii="Courier New" w:hAnsi="Courier New"/>
    </w:rPr>
  </w:style>
  <w:style w:type="paragraph" w:customStyle="1" w:styleId="NoteBullet">
    <w:name w:val="Note Bullet"/>
    <w:basedOn w:val="Note"/>
    <w:rsid w:val="00B35EDE"/>
    <w:pPr>
      <w:tabs>
        <w:tab w:val="clear" w:pos="680"/>
      </w:tabs>
      <w:spacing w:before="60" w:after="60"/>
    </w:pPr>
  </w:style>
  <w:style w:type="paragraph" w:customStyle="1" w:styleId="SubHeading2">
    <w:name w:val="SubHeading2"/>
    <w:basedOn w:val="HeadingBase"/>
    <w:rsid w:val="00B35EDE"/>
    <w:pPr>
      <w:spacing w:before="240" w:after="60"/>
    </w:pPr>
    <w:rPr>
      <w:sz w:val="20"/>
    </w:rPr>
  </w:style>
  <w:style w:type="paragraph" w:customStyle="1" w:styleId="SubHeading1">
    <w:name w:val="SubHeading1"/>
    <w:basedOn w:val="HeadingBase"/>
    <w:rsid w:val="00B35EDE"/>
    <w:pPr>
      <w:spacing w:before="240" w:after="60"/>
    </w:pPr>
    <w:rPr>
      <w:color w:val="918585"/>
      <w:sz w:val="22"/>
    </w:rPr>
  </w:style>
  <w:style w:type="paragraph" w:customStyle="1" w:styleId="SideHeading">
    <w:name w:val="Side Heading"/>
    <w:basedOn w:val="HeadingBase"/>
    <w:rsid w:val="00B35E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5EDE"/>
    <w:pPr>
      <w:numPr>
        <w:numId w:val="12"/>
      </w:numPr>
    </w:pPr>
  </w:style>
  <w:style w:type="paragraph" w:styleId="PlainText">
    <w:name w:val="Plain Text"/>
    <w:basedOn w:val="Normal"/>
    <w:link w:val="PlainTextChar"/>
    <w:rsid w:val="00B35EDE"/>
    <w:rPr>
      <w:sz w:val="20"/>
    </w:rPr>
  </w:style>
  <w:style w:type="character" w:customStyle="1" w:styleId="PlainTextChar">
    <w:name w:val="Plain Text Char"/>
    <w:basedOn w:val="DefaultParagraphFont"/>
    <w:link w:val="PlainText"/>
    <w:rsid w:val="00B35EDE"/>
    <w:rPr>
      <w:rFonts w:ascii="Courier New" w:eastAsia="Times New Roman" w:hAnsi="Courier New" w:cs="Times New Roman"/>
      <w:sz w:val="20"/>
      <w:szCs w:val="20"/>
      <w:lang w:eastAsia="en-US"/>
    </w:rPr>
  </w:style>
  <w:style w:type="character" w:customStyle="1" w:styleId="MenuOption">
    <w:name w:val="Menu Option"/>
    <w:basedOn w:val="DefaultParagraphFont"/>
    <w:rsid w:val="00B35EDE"/>
    <w:rPr>
      <w:b/>
      <w:smallCaps/>
    </w:rPr>
  </w:style>
  <w:style w:type="paragraph" w:customStyle="1" w:styleId="TableListNumber">
    <w:name w:val="Table List Number"/>
    <w:basedOn w:val="ListNumber"/>
    <w:rsid w:val="00B35EDE"/>
    <w:pPr>
      <w:numPr>
        <w:numId w:val="0"/>
      </w:numPr>
    </w:pPr>
  </w:style>
  <w:style w:type="paragraph" w:styleId="TOC4">
    <w:name w:val="toc 4"/>
    <w:basedOn w:val="TOCBase"/>
    <w:next w:val="Normal"/>
    <w:semiHidden/>
    <w:rsid w:val="00B35EDE"/>
    <w:pPr>
      <w:tabs>
        <w:tab w:val="right" w:leader="dot" w:pos="9071"/>
      </w:tabs>
      <w:ind w:left="1701"/>
    </w:pPr>
  </w:style>
  <w:style w:type="paragraph" w:customStyle="1" w:styleId="ListAlpha">
    <w:name w:val="List Alpha"/>
    <w:basedOn w:val="List"/>
    <w:rsid w:val="00B35EDE"/>
    <w:pPr>
      <w:numPr>
        <w:numId w:val="9"/>
      </w:numPr>
    </w:pPr>
  </w:style>
  <w:style w:type="paragraph" w:customStyle="1" w:styleId="ListAlpha2">
    <w:name w:val="List Alpha 2"/>
    <w:basedOn w:val="List2"/>
    <w:rsid w:val="00B35EDE"/>
    <w:pPr>
      <w:numPr>
        <w:numId w:val="8"/>
      </w:numPr>
    </w:pPr>
  </w:style>
  <w:style w:type="paragraph" w:styleId="List2">
    <w:name w:val="List 2"/>
    <w:basedOn w:val="BodyText"/>
    <w:rsid w:val="00B35EDE"/>
    <w:pPr>
      <w:tabs>
        <w:tab w:val="left" w:pos="680"/>
      </w:tabs>
      <w:spacing w:before="60" w:after="60"/>
      <w:ind w:left="680" w:hanging="340"/>
    </w:pPr>
  </w:style>
  <w:style w:type="paragraph" w:styleId="List3">
    <w:name w:val="List 3"/>
    <w:basedOn w:val="BodyText"/>
    <w:rsid w:val="00B35EDE"/>
    <w:pPr>
      <w:tabs>
        <w:tab w:val="left" w:pos="1021"/>
      </w:tabs>
      <w:spacing w:before="60" w:after="60"/>
      <w:ind w:left="1020" w:hanging="340"/>
    </w:pPr>
  </w:style>
  <w:style w:type="paragraph" w:styleId="List4">
    <w:name w:val="List 4"/>
    <w:basedOn w:val="BodyText"/>
    <w:rsid w:val="00B35EDE"/>
    <w:pPr>
      <w:tabs>
        <w:tab w:val="left" w:pos="1361"/>
      </w:tabs>
      <w:spacing w:before="60" w:after="60"/>
      <w:ind w:left="1361" w:hanging="340"/>
    </w:pPr>
  </w:style>
  <w:style w:type="paragraph" w:styleId="List5">
    <w:name w:val="List 5"/>
    <w:basedOn w:val="BodyText"/>
    <w:rsid w:val="00B35EDE"/>
    <w:pPr>
      <w:tabs>
        <w:tab w:val="left" w:pos="1701"/>
      </w:tabs>
      <w:spacing w:before="60" w:after="60"/>
      <w:ind w:left="1701" w:hanging="340"/>
    </w:pPr>
  </w:style>
  <w:style w:type="paragraph" w:styleId="ListBullet3">
    <w:name w:val="List Bullet 3"/>
    <w:basedOn w:val="List3"/>
    <w:rsid w:val="00B35EDE"/>
    <w:pPr>
      <w:numPr>
        <w:numId w:val="15"/>
      </w:numPr>
      <w:tabs>
        <w:tab w:val="clear" w:pos="1021"/>
      </w:tabs>
      <w:ind w:left="1037" w:hanging="357"/>
    </w:pPr>
  </w:style>
  <w:style w:type="paragraph" w:styleId="ListBullet4">
    <w:name w:val="List Bullet 4"/>
    <w:basedOn w:val="List4"/>
    <w:rsid w:val="00B35EDE"/>
    <w:pPr>
      <w:numPr>
        <w:numId w:val="3"/>
      </w:numPr>
    </w:pPr>
  </w:style>
  <w:style w:type="paragraph" w:styleId="ListBullet5">
    <w:name w:val="List Bullet 5"/>
    <w:basedOn w:val="List5"/>
    <w:rsid w:val="00B35EDE"/>
    <w:pPr>
      <w:numPr>
        <w:numId w:val="4"/>
      </w:numPr>
    </w:pPr>
  </w:style>
  <w:style w:type="paragraph" w:styleId="ListContinue2">
    <w:name w:val="List Continue 2"/>
    <w:basedOn w:val="List2"/>
    <w:rsid w:val="00B35EDE"/>
    <w:pPr>
      <w:ind w:firstLine="0"/>
    </w:pPr>
  </w:style>
  <w:style w:type="paragraph" w:styleId="ListContinue3">
    <w:name w:val="List Continue 3"/>
    <w:basedOn w:val="List3"/>
    <w:rsid w:val="00B35EDE"/>
    <w:pPr>
      <w:ind w:left="1021" w:firstLine="0"/>
    </w:pPr>
  </w:style>
  <w:style w:type="paragraph" w:styleId="ListContinue4">
    <w:name w:val="List Continue 4"/>
    <w:basedOn w:val="List4"/>
    <w:rsid w:val="00B35EDE"/>
    <w:pPr>
      <w:ind w:firstLine="0"/>
    </w:pPr>
  </w:style>
  <w:style w:type="paragraph" w:styleId="ListContinue5">
    <w:name w:val="List Continue 5"/>
    <w:basedOn w:val="List5"/>
    <w:rsid w:val="00B35EDE"/>
    <w:pPr>
      <w:ind w:firstLine="0"/>
    </w:pPr>
  </w:style>
  <w:style w:type="paragraph" w:styleId="ListNumber3">
    <w:name w:val="List Number 3"/>
    <w:basedOn w:val="List3"/>
    <w:rsid w:val="00B35EDE"/>
    <w:pPr>
      <w:numPr>
        <w:numId w:val="5"/>
      </w:numPr>
    </w:pPr>
  </w:style>
  <w:style w:type="paragraph" w:styleId="ListNumber4">
    <w:name w:val="List Number 4"/>
    <w:basedOn w:val="List4"/>
    <w:rsid w:val="00B35EDE"/>
    <w:pPr>
      <w:numPr>
        <w:numId w:val="6"/>
      </w:numPr>
    </w:pPr>
  </w:style>
  <w:style w:type="paragraph" w:styleId="ListNumber5">
    <w:name w:val="List Number 5"/>
    <w:basedOn w:val="List5"/>
    <w:rsid w:val="00B35EDE"/>
    <w:pPr>
      <w:numPr>
        <w:numId w:val="7"/>
      </w:numPr>
    </w:pPr>
  </w:style>
  <w:style w:type="paragraph" w:styleId="BlockText">
    <w:name w:val="Block Text"/>
    <w:basedOn w:val="Normal"/>
    <w:rsid w:val="00B35EDE"/>
    <w:pPr>
      <w:spacing w:after="120"/>
      <w:ind w:left="1440" w:right="1440"/>
    </w:pPr>
  </w:style>
  <w:style w:type="character" w:customStyle="1" w:styleId="Subscript">
    <w:name w:val="Subscript"/>
    <w:basedOn w:val="DefaultParagraphFont"/>
    <w:rsid w:val="00B35EDE"/>
    <w:rPr>
      <w:sz w:val="16"/>
      <w:vertAlign w:val="subscript"/>
    </w:rPr>
  </w:style>
  <w:style w:type="character" w:customStyle="1" w:styleId="Superscript">
    <w:name w:val="Superscript"/>
    <w:basedOn w:val="DefaultParagraphFont"/>
    <w:rsid w:val="00B35EDE"/>
    <w:rPr>
      <w:sz w:val="16"/>
      <w:vertAlign w:val="superscript"/>
    </w:rPr>
  </w:style>
  <w:style w:type="character" w:customStyle="1" w:styleId="Symbols">
    <w:name w:val="Symbols"/>
    <w:basedOn w:val="DefaultParagraphFont"/>
    <w:rsid w:val="00B35EDE"/>
    <w:rPr>
      <w:rFonts w:ascii="Symbol" w:hAnsi="Symbol"/>
    </w:rPr>
  </w:style>
  <w:style w:type="character" w:customStyle="1" w:styleId="MenuOptions">
    <w:name w:val="Menu Options"/>
    <w:basedOn w:val="DefaultParagraphFont"/>
    <w:rsid w:val="00B35EDE"/>
    <w:rPr>
      <w:rFonts w:ascii="Arial Narrow" w:hAnsi="Arial Narrow"/>
      <w:smallCaps/>
    </w:rPr>
  </w:style>
  <w:style w:type="character" w:customStyle="1" w:styleId="Buttons">
    <w:name w:val="Buttons"/>
    <w:basedOn w:val="DefaultParagraphFont"/>
    <w:rsid w:val="00B35EDE"/>
    <w:rPr>
      <w:b/>
    </w:rPr>
  </w:style>
  <w:style w:type="character" w:customStyle="1" w:styleId="Underlined">
    <w:name w:val="Underlined"/>
    <w:basedOn w:val="DefaultParagraphFont"/>
    <w:rsid w:val="00B35EDE"/>
    <w:rPr>
      <w:u w:val="single"/>
    </w:rPr>
  </w:style>
  <w:style w:type="paragraph" w:customStyle="1" w:styleId="TableBodyTextRight">
    <w:name w:val="Table Body Text Right"/>
    <w:basedOn w:val="TableBodyText"/>
    <w:rsid w:val="00B35EDE"/>
    <w:pPr>
      <w:widowControl w:val="0"/>
      <w:autoSpaceDE w:val="0"/>
      <w:autoSpaceDN w:val="0"/>
      <w:adjustRightInd w:val="0"/>
      <w:jc w:val="right"/>
    </w:pPr>
    <w:rPr>
      <w:rFonts w:cs="Arial"/>
      <w:szCs w:val="18"/>
    </w:rPr>
  </w:style>
  <w:style w:type="paragraph" w:customStyle="1" w:styleId="CopyrightText">
    <w:name w:val="Copyright Text"/>
    <w:basedOn w:val="BodyText"/>
    <w:rsid w:val="00B35EDE"/>
    <w:rPr>
      <w:sz w:val="18"/>
    </w:rPr>
  </w:style>
  <w:style w:type="paragraph" w:customStyle="1" w:styleId="BodySmallRight">
    <w:name w:val="Body Small Right"/>
    <w:basedOn w:val="BodyTextRight"/>
    <w:rsid w:val="00B35EDE"/>
    <w:rPr>
      <w:sz w:val="18"/>
      <w:szCs w:val="18"/>
    </w:rPr>
  </w:style>
  <w:style w:type="paragraph" w:customStyle="1" w:styleId="MarginEdition">
    <w:name w:val="Margin Edition"/>
    <w:basedOn w:val="MarginNote"/>
    <w:rsid w:val="00B35EDE"/>
    <w:pPr>
      <w:spacing w:before="0" w:after="0"/>
    </w:pPr>
    <w:rPr>
      <w:rFonts w:ascii="Times New Roman" w:hAnsi="Times New Roman"/>
      <w:color w:val="999999"/>
    </w:rPr>
  </w:style>
  <w:style w:type="paragraph" w:customStyle="1" w:styleId="Spacer">
    <w:name w:val="Spacer"/>
    <w:basedOn w:val="Normal"/>
    <w:rsid w:val="00B35EDE"/>
    <w:rPr>
      <w:sz w:val="2"/>
      <w:szCs w:val="2"/>
    </w:rPr>
  </w:style>
  <w:style w:type="character" w:customStyle="1" w:styleId="Small">
    <w:name w:val="Small"/>
    <w:basedOn w:val="DefaultParagraphFont"/>
    <w:rsid w:val="00B35EDE"/>
    <w:rPr>
      <w:sz w:val="16"/>
    </w:rPr>
  </w:style>
  <w:style w:type="paragraph" w:customStyle="1" w:styleId="WideTable">
    <w:name w:val="Wide Table"/>
    <w:basedOn w:val="Normal"/>
    <w:rsid w:val="00B35EDE"/>
    <w:pPr>
      <w:ind w:left="-1418"/>
    </w:pPr>
    <w:rPr>
      <w:sz w:val="2"/>
      <w:szCs w:val="2"/>
    </w:rPr>
  </w:style>
  <w:style w:type="character" w:styleId="PageNumber">
    <w:name w:val="page number"/>
    <w:basedOn w:val="DefaultParagraphFont"/>
    <w:rsid w:val="00B35EDE"/>
  </w:style>
  <w:style w:type="paragraph" w:styleId="Quote">
    <w:name w:val="Quote"/>
    <w:basedOn w:val="Heading1"/>
    <w:link w:val="QuoteChar"/>
    <w:qFormat/>
    <w:rsid w:val="00B35EDE"/>
    <w:rPr>
      <w:b w:val="0"/>
      <w:sz w:val="72"/>
      <w:szCs w:val="72"/>
      <w:lang w:val="en-NZ"/>
    </w:rPr>
  </w:style>
  <w:style w:type="character" w:customStyle="1" w:styleId="QuoteChar">
    <w:name w:val="Quote Char"/>
    <w:basedOn w:val="DefaultParagraphFont"/>
    <w:link w:val="Quote"/>
    <w:rsid w:val="00B35E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5EDE"/>
    <w:pPr>
      <w:pageBreakBefore/>
    </w:pPr>
  </w:style>
  <w:style w:type="paragraph" w:customStyle="1" w:styleId="Border">
    <w:name w:val="Border"/>
    <w:basedOn w:val="Normal"/>
    <w:qFormat/>
    <w:rsid w:val="00B35E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5EDE"/>
    <w:rPr>
      <w:b/>
      <w:bCs/>
      <w:i/>
      <w:iCs/>
      <w:color w:val="auto"/>
    </w:rPr>
  </w:style>
  <w:style w:type="paragraph" w:styleId="IntenseQuote">
    <w:name w:val="Intense Quote"/>
    <w:basedOn w:val="Normal"/>
    <w:next w:val="Normal"/>
    <w:link w:val="IntenseQuoteChar"/>
    <w:uiPriority w:val="30"/>
    <w:qFormat/>
    <w:rsid w:val="00B35E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5E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35EDE"/>
    <w:rPr>
      <w:smallCaps/>
      <w:color w:val="auto"/>
      <w:u w:val="single"/>
    </w:rPr>
  </w:style>
  <w:style w:type="character" w:styleId="IntenseReference">
    <w:name w:val="Intense Reference"/>
    <w:basedOn w:val="DefaultParagraphFont"/>
    <w:uiPriority w:val="32"/>
    <w:qFormat/>
    <w:rsid w:val="00B35EDE"/>
    <w:rPr>
      <w:b/>
      <w:bCs/>
      <w:smallCaps/>
      <w:color w:val="auto"/>
      <w:spacing w:val="5"/>
      <w:u w:val="single"/>
    </w:rPr>
  </w:style>
  <w:style w:type="paragraph" w:customStyle="1" w:styleId="2ColumnHeading">
    <w:name w:val="2Column Heading"/>
    <w:basedOn w:val="BodyText"/>
    <w:qFormat/>
    <w:rsid w:val="00B35EDE"/>
    <w:pPr>
      <w:spacing w:after="60"/>
      <w:ind w:left="-2268"/>
    </w:pPr>
    <w:rPr>
      <w:b/>
    </w:rPr>
  </w:style>
  <w:style w:type="paragraph" w:customStyle="1" w:styleId="Heading1TOC">
    <w:name w:val="Heading1 TOC"/>
    <w:basedOn w:val="Normal"/>
    <w:qFormat/>
    <w:rsid w:val="00B35EDE"/>
    <w:pPr>
      <w:spacing w:before="240" w:after="120"/>
    </w:pPr>
    <w:rPr>
      <w:rFonts w:ascii="Times New Roman" w:hAnsi="Times New Roman"/>
      <w:b/>
      <w:sz w:val="32"/>
    </w:rPr>
  </w:style>
  <w:style w:type="paragraph" w:customStyle="1" w:styleId="Heading2TOC">
    <w:name w:val="Heading2 TOC"/>
    <w:basedOn w:val="Normal"/>
    <w:qFormat/>
    <w:rsid w:val="00B35EDE"/>
    <w:pPr>
      <w:spacing w:before="240" w:after="60"/>
    </w:pPr>
    <w:rPr>
      <w:rFonts w:ascii="Times New Roman" w:hAnsi="Times New Roman"/>
      <w:b/>
      <w:sz w:val="28"/>
    </w:rPr>
  </w:style>
  <w:style w:type="paragraph" w:styleId="BalloonText">
    <w:name w:val="Balloon Text"/>
    <w:basedOn w:val="Normal"/>
    <w:link w:val="BalloonTextChar"/>
    <w:rsid w:val="00B35EDE"/>
    <w:rPr>
      <w:rFonts w:ascii="Tahoma" w:hAnsi="Tahoma" w:cs="Tahoma"/>
      <w:sz w:val="16"/>
      <w:szCs w:val="16"/>
    </w:rPr>
  </w:style>
  <w:style w:type="character" w:customStyle="1" w:styleId="BalloonTextChar">
    <w:name w:val="Balloon Text Char"/>
    <w:basedOn w:val="DefaultParagraphFont"/>
    <w:link w:val="BalloonText"/>
    <w:rsid w:val="00B35E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35ED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35E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35EDE"/>
    <w:rPr>
      <w:b/>
      <w:color w:val="660033"/>
      <w:spacing w:val="0"/>
    </w:rPr>
  </w:style>
  <w:style w:type="paragraph" w:customStyle="1" w:styleId="Nameditemlist">
    <w:name w:val="Named item list"/>
    <w:basedOn w:val="BodyText"/>
    <w:qFormat/>
    <w:rsid w:val="00B35ED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1551</Words>
  <Characters>9972</Characters>
  <Application>Microsoft Office Word</Application>
  <DocSecurity>0</DocSecurity>
  <Lines>327</Lines>
  <Paragraphs>204</Paragraphs>
  <ScaleCrop>false</ScaleCrop>
  <Company>Author-it Software Corporation Ltd.</Company>
  <LinksUpToDate>false</LinksUpToDate>
  <CharactersWithSpaces>11455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PSPGOV512A Use complex workplace communication strategies</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2012-11-01T03:14:00Z</dcterms:created>
  <dcterms:modified xsi:type="dcterms:W3CDTF">2012-11-01T03:14:00Z</dcterms:modified>
</cp:coreProperties>
</file>