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19C0" w:rsidP="006819C0">
      <w:pPr>
        <w:pStyle w:val="Title"/>
      </w:pPr>
      <w:bookmarkStart w:id="0" w:name="_GoBack"/>
      <w:bookmarkEnd w:id="0"/>
      <w:r>
        <w:fldChar w:fldCharType="begin"/>
      </w:r>
      <w:r>
        <w:instrText xml:space="preserve"> TITLE   \* MERGEFORMAT </w:instrText>
      </w:r>
      <w:r>
        <w:fldChar w:fldCharType="separate"/>
      </w:r>
      <w:r>
        <w:t>PSPGOV503B Coordinate resource allocation and usage</w:t>
      </w:r>
      <w:r>
        <w:fldChar w:fldCharType="end"/>
      </w:r>
    </w:p>
    <w:p w:rsidR="006819C0" w:rsidP="006819C0">
      <w:pPr>
        <w:pStyle w:val="Version"/>
        <w:sectPr w:rsidSect="00CC2B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CC2BFB" w:rsidP="00CC2BFB">
      <w:pPr>
        <w:pStyle w:val="SuperHeading"/>
      </w:pPr>
      <w:r w:rsidRPr="00CC2BFB">
        <w:t>PSPGOV503B Coordinate resource allocation and usage</w:t>
      </w:r>
    </w:p>
    <w:p w:rsidR="00000000" w:rsidRPr="00CC2BFB" w:rsidP="00CC2BFB">
      <w:pPr>
        <w:pStyle w:val="SuperHeading"/>
      </w:pPr>
    </w:p>
    <w:p w:rsidR="00000000" w:rsidRPr="00CC2BFB" w:rsidP="00CC2BFB">
      <w:pPr>
        <w:pStyle w:val="Heading1"/>
      </w:pPr>
      <w:bookmarkStart w:id="1" w:name="O_493314"/>
      <w:bookmarkEnd w:id="1"/>
      <w:r w:rsidRPr="00CC2BFB">
        <w:t>Modification History</w:t>
      </w:r>
    </w:p>
    <w:tbl>
      <w:tblPr>
        <w:tblW w:w="0" w:type="auto"/>
        <w:tblLayout w:type="fixed"/>
        <w:tblCellMar>
          <w:left w:w="62" w:type="dxa"/>
          <w:right w:w="62" w:type="dxa"/>
        </w:tblCellMar>
        <w:tblLook w:val="0000"/>
      </w:tblPr>
      <w:tblGrid>
        <w:gridCol w:w="3052"/>
        <w:gridCol w:w="3052"/>
        <w:gridCol w:w="3052"/>
      </w:tblGrid>
      <w:tr w:rsidTr="006819C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BFB" w:rsidP="00CC2BFB">
            <w:pPr>
              <w:pStyle w:val="BodyText"/>
            </w:pPr>
            <w:r w:rsidRPr="00CC2BFB">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BFB" w:rsidP="00CC2BFB">
            <w:pPr>
              <w:pStyle w:val="BodyText"/>
            </w:pPr>
            <w:r w:rsidRPr="00CC2BFB">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BFB">
            <w:pPr>
              <w:pStyle w:val="BodyText"/>
              <w:rPr>
                <w:lang w:val="en-NZ"/>
              </w:rPr>
            </w:pPr>
            <w:r w:rsidRPr="00CC2BFB">
              <w:rPr>
                <w:rStyle w:val="SpecialBold"/>
              </w:rPr>
              <w:t>Comments</w:t>
            </w:r>
          </w:p>
        </w:tc>
      </w:tr>
      <w:tr w:rsidTr="006819C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BFB">
            <w:pPr>
              <w:pStyle w:val="BodyText"/>
              <w:rPr>
                <w:lang w:val="en-NZ"/>
              </w:rPr>
            </w:pPr>
            <w:r w:rsidRPr="00CC2BFB">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BFB">
            <w:pPr>
              <w:pStyle w:val="BodyText"/>
              <w:rPr>
                <w:lang w:val="en-NZ"/>
              </w:rPr>
            </w:pPr>
            <w:r w:rsidRPr="00CC2BFB">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BFB">
            <w:pPr>
              <w:pStyle w:val="BodyText"/>
              <w:rPr>
                <w:lang w:val="en-NZ"/>
              </w:rPr>
            </w:pPr>
            <w:r w:rsidRPr="00CC2BFB">
              <w:t xml:space="preserve">Unit descriptor edited. </w:t>
            </w:r>
          </w:p>
        </w:tc>
      </w:tr>
      <w:tr w:rsidTr="006819C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BFB">
            <w:pPr>
              <w:pStyle w:val="BodyText"/>
              <w:rPr>
                <w:lang w:val="en-NZ"/>
              </w:rPr>
            </w:pPr>
            <w:r w:rsidRPr="00CC2BFB">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BFB">
            <w:pPr>
              <w:pStyle w:val="BodyText"/>
              <w:rPr>
                <w:lang w:val="en-NZ"/>
              </w:rPr>
            </w:pPr>
            <w:r w:rsidRPr="00CC2BFB">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BFB">
            <w:pPr>
              <w:pStyle w:val="BodyText"/>
              <w:rPr>
                <w:lang w:val="en-NZ"/>
              </w:rPr>
            </w:pPr>
            <w:r w:rsidRPr="00CC2BFB">
              <w:t>Layout adjusted. No changes to content.</w:t>
            </w:r>
          </w:p>
        </w:tc>
      </w:tr>
      <w:tr w:rsidTr="006819C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BFB">
            <w:pPr>
              <w:pStyle w:val="BodyText"/>
              <w:rPr>
                <w:lang w:val="en-NZ"/>
              </w:rPr>
            </w:pPr>
            <w:r w:rsidRPr="00CC2BFB">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BFB">
            <w:pPr>
              <w:pStyle w:val="BodyText"/>
              <w:rPr>
                <w:lang w:val="en-NZ"/>
              </w:rPr>
            </w:pPr>
            <w:r w:rsidRPr="00CC2BFB">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BFB" w:rsidP="00CC2BFB">
            <w:pPr>
              <w:pStyle w:val="BodyText"/>
            </w:pPr>
            <w:r w:rsidRPr="00CC2BFB">
              <w:t>Primary release.</w:t>
            </w:r>
          </w:p>
        </w:tc>
      </w:tr>
    </w:tbl>
    <w:p w:rsidR="006819C0" w:rsidP="00CC2BFB">
      <w:pPr>
        <w:pStyle w:val="BodyText"/>
      </w:pPr>
    </w:p>
    <w:p w:rsidR="006819C0" w:rsidP="00CC2BFB">
      <w:pPr>
        <w:pStyle w:val="BodyText"/>
      </w:pPr>
    </w:p>
    <w:p w:rsidR="00000000" w:rsidRPr="00CC2BFB" w:rsidP="00CC2BFB">
      <w:pPr>
        <w:pStyle w:val="Heading1"/>
      </w:pPr>
      <w:bookmarkStart w:id="2" w:name="O_493310"/>
      <w:bookmarkEnd w:id="2"/>
      <w:r w:rsidRPr="00CC2BFB">
        <w:t>Unit Descriptor</w:t>
      </w:r>
    </w:p>
    <w:p w:rsidR="00000000" w:rsidRPr="00CC2BFB" w:rsidP="00CC2BFB">
      <w:pPr>
        <w:pStyle w:val="BodyText"/>
      </w:pPr>
      <w:r w:rsidRPr="00CC2BFB">
        <w:t>This unit covers coordination and monitoring of available resources to achieve work unit outcomes. It includes allocating available resources, mo</w:t>
      </w:r>
      <w:r w:rsidRPr="00CC2BFB">
        <w:t xml:space="preserve">nitoring and evaluation of resource usage and reporting on resource usage. </w:t>
      </w:r>
    </w:p>
    <w:p w:rsidR="00000000" w:rsidRPr="00CC2BFB" w:rsidP="00CC2BFB">
      <w:pPr>
        <w:pStyle w:val="BodyText"/>
      </w:pPr>
      <w:r w:rsidRPr="00CC2BFB">
        <w:t>In practice, coordination of resource allocation and usage may overlap with other generalist or specialist public sector work activities such as acting ethically, complying with le</w:t>
      </w:r>
      <w:r w:rsidRPr="00CC2BFB">
        <w:t xml:space="preserve">gislation, leading a workgroup, working with diversity, research and analysis etc. </w:t>
      </w:r>
    </w:p>
    <w:p w:rsidR="00000000" w:rsidRPr="00CC2BFB" w:rsidP="00CC2BFB">
      <w:pPr>
        <w:pStyle w:val="BodyText"/>
      </w:pPr>
      <w:r w:rsidRPr="00CC2BFB">
        <w:t xml:space="preserve">This is one of 5 units of competency in the </w:t>
      </w:r>
      <w:r w:rsidRPr="00CC2BFB">
        <w:rPr>
          <w:rStyle w:val="Emphasis"/>
        </w:rPr>
        <w:t>Working in Government</w:t>
      </w:r>
      <w:r w:rsidRPr="00CC2BFB">
        <w:t xml:space="preserve"> and </w:t>
      </w:r>
      <w:r w:rsidRPr="00CC2BFB">
        <w:rPr>
          <w:rStyle w:val="Emphasis"/>
        </w:rPr>
        <w:t>Management</w:t>
      </w:r>
      <w:r w:rsidRPr="00CC2BFB">
        <w:t xml:space="preserve"> Competency Fields that deal with resources. Related units are:</w:t>
      </w:r>
    </w:p>
    <w:p w:rsidR="00000000" w:rsidRPr="00CC2BFB" w:rsidP="00CC2BFB">
      <w:pPr>
        <w:pStyle w:val="ListBullet"/>
      </w:pPr>
      <w:r w:rsidRPr="00CC2BFB">
        <w:t>PSPGOV204B Access and use r</w:t>
      </w:r>
      <w:r w:rsidRPr="00CC2BFB">
        <w:t>esources</w:t>
      </w:r>
    </w:p>
    <w:p w:rsidR="00000000" w:rsidRPr="00CC2BFB" w:rsidP="00CC2BFB">
      <w:pPr>
        <w:pStyle w:val="ListBullet"/>
      </w:pPr>
      <w:r w:rsidRPr="00CC2BFB">
        <w:t>PSPGOV305B Access and use resources and financial systems</w:t>
      </w:r>
    </w:p>
    <w:p w:rsidR="00000000" w:rsidRPr="00CC2BFB" w:rsidP="00CC2BFB">
      <w:pPr>
        <w:pStyle w:val="ListBullet"/>
      </w:pPr>
      <w:r w:rsidRPr="00CC2BFB">
        <w:t>PSPGOV403B Use resources to achieve work unit goals</w:t>
      </w:r>
    </w:p>
    <w:p w:rsidR="00000000" w:rsidRPr="00CC2BFB" w:rsidP="00CC2BFB">
      <w:pPr>
        <w:pStyle w:val="ListBullet"/>
      </w:pPr>
      <w:r w:rsidRPr="00CC2BFB">
        <w:t>PSPMNGT602B Manage resources</w:t>
      </w:r>
    </w:p>
    <w:p w:rsidR="00000000" w:rsidRPr="00CC2BFB" w:rsidP="00CC2BFB">
      <w:pPr>
        <w:pStyle w:val="ListBullet"/>
      </w:pPr>
    </w:p>
    <w:p w:rsidR="00000000" w:rsidRPr="00CC2BFB" w:rsidP="00CC2BFB">
      <w:pPr>
        <w:pStyle w:val="BodyText"/>
      </w:pPr>
      <w:r w:rsidRPr="00CC2BFB">
        <w:t>No licensing, legislative, regulatory or certification requirements apply to this unit at the time of publication</w:t>
      </w:r>
    </w:p>
    <w:p w:rsidR="00000000" w:rsidRPr="00CC2BFB" w:rsidP="00CC2BFB">
      <w:pPr>
        <w:pStyle w:val="AllowPageBreak"/>
      </w:pPr>
    </w:p>
    <w:p w:rsidR="00000000" w:rsidRPr="00CC2BFB" w:rsidP="00CC2BFB">
      <w:pPr>
        <w:pStyle w:val="Heading1"/>
      </w:pPr>
      <w:bookmarkStart w:id="3" w:name="O_493322"/>
      <w:bookmarkEnd w:id="3"/>
      <w:r w:rsidRPr="00CC2BFB">
        <w:t>Application of the Unit</w:t>
      </w:r>
    </w:p>
    <w:p w:rsidR="00000000" w:rsidRPr="00CC2BFB" w:rsidP="00CC2BFB">
      <w:pPr>
        <w:pStyle w:val="BodyText"/>
      </w:pPr>
      <w:r w:rsidRPr="00CC2BFB">
        <w:t>Not applicable.</w:t>
      </w:r>
    </w:p>
    <w:p w:rsidR="00000000" w:rsidRPr="00CC2BFB" w:rsidP="00CC2BFB">
      <w:pPr>
        <w:pStyle w:val="AllowPageBreak"/>
      </w:pPr>
    </w:p>
    <w:p w:rsidR="00000000" w:rsidRPr="00CC2BFB" w:rsidP="00CC2BFB">
      <w:pPr>
        <w:pStyle w:val="Heading1"/>
      </w:pPr>
      <w:bookmarkStart w:id="4" w:name="O_493317"/>
      <w:bookmarkEnd w:id="4"/>
      <w:r w:rsidRPr="00CC2BFB">
        <w:t>Licensing/Regulatory Information</w:t>
      </w:r>
    </w:p>
    <w:p w:rsidR="00000000" w:rsidRPr="00CC2BFB" w:rsidP="00CC2BFB">
      <w:pPr>
        <w:pStyle w:val="BodyText"/>
      </w:pPr>
      <w:r w:rsidRPr="00CC2BFB">
        <w:t>Not applicable.</w:t>
      </w:r>
    </w:p>
    <w:p w:rsidR="00000000" w:rsidRPr="00CC2BFB" w:rsidP="00CC2BFB">
      <w:pPr>
        <w:pStyle w:val="AllowPageBreak"/>
      </w:pPr>
    </w:p>
    <w:p w:rsidR="00000000" w:rsidRPr="00CC2BFB" w:rsidP="00CC2BFB">
      <w:pPr>
        <w:pStyle w:val="Heading1"/>
      </w:pPr>
      <w:bookmarkStart w:id="5" w:name="O_493315"/>
      <w:bookmarkEnd w:id="5"/>
      <w:r w:rsidRPr="00CC2BFB">
        <w:t>Pre-Requisites</w:t>
      </w:r>
    </w:p>
    <w:p w:rsidR="00000000" w:rsidRPr="00CC2BFB" w:rsidP="00CC2BFB">
      <w:pPr>
        <w:pStyle w:val="BodyText"/>
      </w:pPr>
      <w:r w:rsidRPr="00CC2BFB">
        <w:t>Not applicable.</w:t>
      </w:r>
    </w:p>
    <w:p w:rsidR="00000000" w:rsidRPr="00CC2BFB" w:rsidP="00CC2BFB">
      <w:pPr>
        <w:pStyle w:val="AllowPageBreak"/>
      </w:pPr>
    </w:p>
    <w:p w:rsidR="00000000" w:rsidRPr="00CC2BFB" w:rsidP="00CC2BFB">
      <w:pPr>
        <w:pStyle w:val="Heading1"/>
      </w:pPr>
      <w:bookmarkStart w:id="6" w:name="O_493318"/>
      <w:bookmarkEnd w:id="6"/>
      <w:r w:rsidRPr="00CC2BFB">
        <w:t>Employability Skills Information</w:t>
      </w:r>
    </w:p>
    <w:p w:rsidR="00000000" w:rsidRPr="00CC2BFB" w:rsidP="00CC2BFB">
      <w:pPr>
        <w:pStyle w:val="BodyText"/>
      </w:pPr>
      <w:r w:rsidRPr="00CC2BFB">
        <w:t>This unit contains employability skills.</w:t>
      </w:r>
    </w:p>
    <w:p w:rsidR="00000000" w:rsidRPr="00CC2BFB" w:rsidP="00CC2BFB">
      <w:pPr>
        <w:pStyle w:val="AllowPageBreak"/>
      </w:pPr>
    </w:p>
    <w:p w:rsidR="00000000" w:rsidRPr="00CC2BFB" w:rsidP="00CC2BFB">
      <w:pPr>
        <w:pStyle w:val="Heading1"/>
      </w:pPr>
      <w:bookmarkStart w:id="7" w:name="O_493319"/>
      <w:bookmarkEnd w:id="7"/>
      <w:r w:rsidRPr="00CC2BFB">
        <w:t>Elements and Performance Criteria Pre-Content</w:t>
      </w:r>
    </w:p>
    <w:tbl>
      <w:tblPr>
        <w:tblW w:w="9322" w:type="dxa"/>
        <w:tblLayout w:type="fixed"/>
        <w:tblCellMar>
          <w:left w:w="62" w:type="dxa"/>
          <w:right w:w="62" w:type="dxa"/>
        </w:tblCellMar>
        <w:tblLook w:val="0000"/>
      </w:tblPr>
      <w:tblGrid>
        <w:gridCol w:w="2660"/>
        <w:gridCol w:w="6662"/>
      </w:tblGrid>
      <w:tr w:rsidTr="006819C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C2BFB">
            <w:pPr>
              <w:pStyle w:val="BodyText"/>
              <w:rPr>
                <w:lang w:val="en-NZ"/>
              </w:rPr>
            </w:pPr>
            <w:r w:rsidRPr="00CC2BFB">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CC2BFB" w:rsidP="00CC2BFB">
            <w:pPr>
              <w:pStyle w:val="BodyText"/>
            </w:pPr>
            <w:r w:rsidRPr="00CC2BFB">
              <w:t>Together, performance criteria specify the requirements for competent performance. Text in</w:t>
            </w:r>
            <w:r w:rsidRPr="00CC2BFB">
              <w:rPr>
                <w:rStyle w:val="BoldandItalics"/>
              </w:rPr>
              <w:t xml:space="preserve"> bold italics</w:t>
            </w:r>
            <w:r w:rsidRPr="00CC2BFB">
              <w:t xml:space="preserve"> is explained in the Range Statement following.</w:t>
            </w:r>
          </w:p>
        </w:tc>
      </w:tr>
    </w:tbl>
    <w:p w:rsidR="00000000" w:rsidRPr="00CC2BFB" w:rsidP="00CC2BFB">
      <w:pPr>
        <w:pStyle w:val="BodyText"/>
      </w:pPr>
    </w:p>
    <w:p w:rsidR="00000000" w:rsidRPr="00CC2BFB" w:rsidP="00CC2BFB">
      <w:pPr>
        <w:pStyle w:val="AllowPageBreak"/>
      </w:pPr>
    </w:p>
    <w:p w:rsidR="00000000" w:rsidRPr="00CC2BFB" w:rsidP="00CC2BFB">
      <w:pPr>
        <w:pStyle w:val="Heading1"/>
      </w:pPr>
      <w:bookmarkStart w:id="8" w:name="O_493320"/>
      <w:bookmarkEnd w:id="8"/>
      <w:r w:rsidRPr="00CC2BFB">
        <w:t>Elements and Performance Criteria</w:t>
      </w:r>
    </w:p>
    <w:tbl>
      <w:tblPr>
        <w:tblW w:w="9322" w:type="dxa"/>
        <w:tblLayout w:type="fixed"/>
        <w:tblCellMar>
          <w:left w:w="62" w:type="dxa"/>
          <w:right w:w="62" w:type="dxa"/>
        </w:tblCellMar>
        <w:tblLook w:val="0000"/>
      </w:tblPr>
      <w:tblGrid>
        <w:gridCol w:w="2660"/>
        <w:gridCol w:w="6662"/>
      </w:tblGrid>
      <w:tr w:rsidTr="006819C0">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CC2BFB" w:rsidP="00CC2BFB">
            <w:pPr>
              <w:pStyle w:val="BodyText"/>
            </w:pPr>
            <w:r w:rsidRPr="00CC2BFB">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CC2BFB">
            <w:pPr>
              <w:pStyle w:val="BodyText"/>
              <w:rPr>
                <w:lang w:val="en-NZ"/>
              </w:rPr>
            </w:pPr>
            <w:r w:rsidRPr="00CC2BFB">
              <w:rPr>
                <w:rStyle w:val="SpecialBold"/>
              </w:rPr>
              <w:t>PERFORMANCE CRITERIA</w:t>
            </w:r>
          </w:p>
        </w:tc>
      </w:tr>
      <w:tr w:rsidTr="006819C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C2BFB">
            <w:pPr>
              <w:pStyle w:val="List"/>
              <w:rPr>
                <w:lang w:val="en-NZ"/>
              </w:rPr>
            </w:pPr>
            <w:r w:rsidRPr="00CC2BFB">
              <w:rPr>
                <w:rStyle w:val="SpecialBold"/>
              </w:rPr>
              <w:t>1</w:t>
            </w:r>
            <w:r w:rsidRPr="00CC2BFB">
              <w:t xml:space="preserve">. </w:t>
            </w:r>
            <w:r w:rsidRPr="00CC2BFB">
              <w:tab/>
            </w:r>
            <w:r w:rsidRPr="00CC2BFB">
              <w:rPr>
                <w:rStyle w:val="SpecialBold"/>
              </w:rPr>
              <w:t>Allocate available</w:t>
            </w:r>
            <w:r w:rsidRPr="00CC2BFB">
              <w:rPr>
                <w:rStyle w:val="SpecialBold"/>
              </w:rPr>
              <w:t xml:space="preserve"> resources to achieve results</w:t>
            </w:r>
          </w:p>
        </w:tc>
        <w:tc>
          <w:tcPr>
            <w:tcW w:w="6662" w:type="dxa"/>
            <w:tcBorders>
              <w:top w:val="nil"/>
              <w:left w:val="nil"/>
              <w:bottom w:val="nil"/>
              <w:right w:val="nil"/>
            </w:tcBorders>
            <w:tcMar>
              <w:top w:w="0" w:type="dxa"/>
              <w:left w:w="62" w:type="dxa"/>
              <w:bottom w:w="0" w:type="dxa"/>
              <w:right w:w="62" w:type="dxa"/>
            </w:tcMar>
          </w:tcPr>
          <w:p w:rsidR="00000000" w:rsidRPr="00CC2BFB" w:rsidP="00CC2BFB">
            <w:pPr>
              <w:pStyle w:val="List"/>
            </w:pPr>
            <w:r w:rsidRPr="00CC2BFB">
              <w:t>1.1</w:t>
            </w:r>
            <w:r w:rsidRPr="00CC2BFB">
              <w:tab/>
              <w:t xml:space="preserve">Required </w:t>
            </w:r>
            <w:r w:rsidRPr="00CC2BFB">
              <w:rPr>
                <w:rStyle w:val="BoldandItalics"/>
              </w:rPr>
              <w:t xml:space="preserve">resources </w:t>
            </w:r>
            <w:r w:rsidRPr="00CC2BFB">
              <w:t>are identified, obtained and allocated to enable achievement of work unit objectives.</w:t>
            </w:r>
          </w:p>
          <w:p w:rsidR="00000000" w:rsidP="00CC2BFB">
            <w:pPr>
              <w:pStyle w:val="List"/>
              <w:rPr>
                <w:lang w:val="en-NZ"/>
              </w:rPr>
            </w:pPr>
            <w:r w:rsidRPr="00CC2BFB">
              <w:t>1.2</w:t>
            </w:r>
            <w:r w:rsidRPr="00CC2BFB">
              <w:tab/>
              <w:t>Resource allocation is undertaken in accordance with</w:t>
            </w:r>
            <w:r w:rsidRPr="00CC2BFB">
              <w:rPr>
                <w:rStyle w:val="BoldandItalics"/>
              </w:rPr>
              <w:t xml:space="preserve"> legislation, policies and guidelines.</w:t>
            </w:r>
          </w:p>
        </w:tc>
      </w:tr>
      <w:tr w:rsidTr="006819C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C2BFB">
            <w:pPr>
              <w:pStyle w:val="List"/>
              <w:rPr>
                <w:lang w:val="en-NZ"/>
              </w:rPr>
            </w:pPr>
            <w:r w:rsidRPr="00CC2BFB">
              <w:rPr>
                <w:rStyle w:val="SpecialBold"/>
              </w:rPr>
              <w:t>2</w:t>
            </w:r>
            <w:r w:rsidRPr="00CC2BFB">
              <w:t xml:space="preserve">. </w:t>
            </w:r>
            <w:r w:rsidRPr="00CC2BFB">
              <w:tab/>
            </w:r>
            <w:r w:rsidRPr="00CC2BFB">
              <w:rPr>
                <w:rStyle w:val="SpecialBold"/>
              </w:rPr>
              <w:t>Monitor and evalu</w:t>
            </w:r>
            <w:r w:rsidRPr="00CC2BFB">
              <w:rPr>
                <w:rStyle w:val="SpecialBold"/>
              </w:rPr>
              <w:t>ate resource usage</w:t>
            </w:r>
          </w:p>
        </w:tc>
        <w:tc>
          <w:tcPr>
            <w:tcW w:w="6662" w:type="dxa"/>
            <w:tcBorders>
              <w:top w:val="nil"/>
              <w:left w:val="nil"/>
              <w:bottom w:val="nil"/>
              <w:right w:val="nil"/>
            </w:tcBorders>
            <w:tcMar>
              <w:top w:w="0" w:type="dxa"/>
              <w:left w:w="62" w:type="dxa"/>
              <w:bottom w:w="0" w:type="dxa"/>
              <w:right w:w="62" w:type="dxa"/>
            </w:tcMar>
          </w:tcPr>
          <w:p w:rsidR="00000000" w:rsidRPr="00CC2BFB" w:rsidP="00CC2BFB">
            <w:pPr>
              <w:pStyle w:val="List"/>
            </w:pPr>
            <w:r w:rsidRPr="00CC2BFB">
              <w:t>2.1</w:t>
            </w:r>
            <w:r w:rsidRPr="00CC2BFB">
              <w:tab/>
              <w:t>Systems are implemented to enable timely and accurate monitoring and evaluation of resource usage against targets and organisational standards.</w:t>
            </w:r>
          </w:p>
          <w:p w:rsidR="00000000" w:rsidRPr="00CC2BFB" w:rsidP="00CC2BFB">
            <w:pPr>
              <w:pStyle w:val="List"/>
            </w:pPr>
            <w:r w:rsidRPr="00CC2BFB">
              <w:t>2.2</w:t>
            </w:r>
            <w:r w:rsidRPr="00CC2BFB">
              <w:tab/>
              <w:t>Records of resource allocation and usage are maintained in accordance with relevant</w:t>
            </w:r>
            <w:r w:rsidRPr="00CC2BFB">
              <w:t xml:space="preserve"> legislation and guidelines.</w:t>
            </w:r>
          </w:p>
          <w:p w:rsidR="00000000" w:rsidRPr="00CC2BFB" w:rsidP="00CC2BFB">
            <w:pPr>
              <w:pStyle w:val="List"/>
            </w:pPr>
            <w:r w:rsidRPr="00CC2BFB">
              <w:t>2.3</w:t>
            </w:r>
            <w:r w:rsidRPr="00CC2BFB">
              <w:tab/>
              <w:t>Resource usage issues are identified, analysed and addressed within limits of individual delegation or referred in accordance with organisational procedures.</w:t>
            </w:r>
          </w:p>
          <w:p w:rsidR="00000000" w:rsidP="00CC2BFB">
            <w:pPr>
              <w:pStyle w:val="List"/>
              <w:rPr>
                <w:lang w:val="en-NZ"/>
              </w:rPr>
            </w:pPr>
            <w:r w:rsidRPr="00CC2BFB">
              <w:t>2.4</w:t>
            </w:r>
            <w:r w:rsidRPr="00CC2BFB">
              <w:tab/>
              <w:t>Replacements or additional resources are allocated as require</w:t>
            </w:r>
            <w:r w:rsidRPr="00CC2BFB">
              <w:t>d.</w:t>
            </w:r>
          </w:p>
        </w:tc>
      </w:tr>
      <w:tr w:rsidTr="006819C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C2BFB">
            <w:pPr>
              <w:pStyle w:val="List"/>
              <w:rPr>
                <w:lang w:val="en-NZ"/>
              </w:rPr>
            </w:pPr>
            <w:r w:rsidRPr="00CC2BFB">
              <w:rPr>
                <w:rStyle w:val="SpecialBold"/>
              </w:rPr>
              <w:t>3</w:t>
            </w:r>
            <w:r w:rsidRPr="00CC2BFB">
              <w:t xml:space="preserve">. </w:t>
            </w:r>
            <w:r w:rsidRPr="00CC2BFB">
              <w:tab/>
            </w:r>
            <w:r w:rsidRPr="00CC2BFB">
              <w:rPr>
                <w:rStyle w:val="SpecialBold"/>
              </w:rPr>
              <w:t>Report on resource usage</w:t>
            </w:r>
          </w:p>
        </w:tc>
        <w:tc>
          <w:tcPr>
            <w:tcW w:w="6662" w:type="dxa"/>
            <w:tcBorders>
              <w:top w:val="nil"/>
              <w:left w:val="nil"/>
              <w:bottom w:val="nil"/>
              <w:right w:val="nil"/>
            </w:tcBorders>
            <w:tcMar>
              <w:top w:w="0" w:type="dxa"/>
              <w:left w:w="62" w:type="dxa"/>
              <w:bottom w:w="0" w:type="dxa"/>
              <w:right w:w="62" w:type="dxa"/>
            </w:tcMar>
          </w:tcPr>
          <w:p w:rsidR="00000000" w:rsidRPr="00CC2BFB" w:rsidP="00CC2BFB">
            <w:pPr>
              <w:pStyle w:val="List"/>
            </w:pPr>
            <w:r w:rsidRPr="00CC2BFB">
              <w:t>3.1</w:t>
            </w:r>
            <w:r w:rsidRPr="00CC2BFB">
              <w:tab/>
              <w:t>Resource usage is reported in required format and on a regular basis in accordance with organisational requirements.</w:t>
            </w:r>
          </w:p>
          <w:p w:rsidR="00000000" w:rsidRPr="00CC2BFB" w:rsidP="00CC2BFB">
            <w:pPr>
              <w:pStyle w:val="List"/>
            </w:pPr>
            <w:r w:rsidRPr="00CC2BFB">
              <w:t>3.2</w:t>
            </w:r>
            <w:r w:rsidRPr="00CC2BFB">
              <w:tab/>
              <w:t>Reports are completed to indicate the level of performance achieved and any follow-up action.</w:t>
            </w:r>
          </w:p>
          <w:p w:rsidR="00000000" w:rsidRPr="00CC2BFB" w:rsidP="00CC2BFB">
            <w:pPr>
              <w:pStyle w:val="List"/>
            </w:pPr>
            <w:r w:rsidRPr="00CC2BFB">
              <w:t>3.3</w:t>
            </w:r>
            <w:r w:rsidRPr="00CC2BFB">
              <w:tab/>
            </w:r>
            <w:r w:rsidRPr="00CC2BFB">
              <w:t>Technology is applied to resource management systems in accordance with organisational requirements.</w:t>
            </w:r>
          </w:p>
        </w:tc>
      </w:tr>
    </w:tbl>
    <w:p w:rsidR="00000000" w:rsidRPr="00CC2BFB" w:rsidP="00CC2BFB">
      <w:pPr>
        <w:pStyle w:val="BodyText"/>
      </w:pPr>
    </w:p>
    <w:p w:rsidR="00000000" w:rsidRPr="00CC2BFB" w:rsidP="00CC2BFB">
      <w:pPr>
        <w:pStyle w:val="AllowPageBreak"/>
      </w:pPr>
    </w:p>
    <w:p w:rsidR="00000000" w:rsidRPr="00CC2BFB" w:rsidP="00CC2BFB">
      <w:pPr>
        <w:pStyle w:val="Heading1"/>
      </w:pPr>
      <w:bookmarkStart w:id="9" w:name="O_493311"/>
      <w:bookmarkEnd w:id="9"/>
      <w:r w:rsidRPr="00CC2BFB">
        <w:t>Required Skills and Knowledge</w:t>
      </w:r>
    </w:p>
    <w:tbl>
      <w:tblPr>
        <w:tblW w:w="0" w:type="auto"/>
        <w:tblLayout w:type="fixed"/>
        <w:tblCellMar>
          <w:left w:w="62" w:type="dxa"/>
          <w:right w:w="62" w:type="dxa"/>
        </w:tblCellMar>
        <w:tblLook w:val="0000"/>
      </w:tblPr>
      <w:tblGrid>
        <w:gridCol w:w="8544"/>
        <w:gridCol w:w="9"/>
      </w:tblGrid>
      <w:tr w:rsidTr="006819C0">
        <w:tblPrEx>
          <w:tblW w:w="0" w:type="auto"/>
          <w:tblLayout w:type="fixed"/>
          <w:tblCellMar>
            <w:left w:w="62" w:type="dxa"/>
            <w:right w:w="62" w:type="dxa"/>
          </w:tblCellMar>
          <w:tblLook w:val="0000"/>
        </w:tblPrEx>
        <w:trPr>
          <w:gridAfter w:val="1"/>
          <w:wAfter w:w="9" w:type="dxa"/>
        </w:trPr>
        <w:tc>
          <w:tcPr>
            <w:tcW w:w="8544" w:type="dxa"/>
            <w:tcBorders>
              <w:top w:val="nil"/>
              <w:left w:val="nil"/>
              <w:bottom w:val="nil"/>
              <w:right w:val="nil"/>
            </w:tcBorders>
            <w:tcMar>
              <w:top w:w="0" w:type="dxa"/>
              <w:left w:w="62" w:type="dxa"/>
              <w:bottom w:w="0" w:type="dxa"/>
              <w:right w:w="62" w:type="dxa"/>
            </w:tcMar>
          </w:tcPr>
          <w:p w:rsidR="00000000" w:rsidP="00CC2BFB">
            <w:pPr>
              <w:pStyle w:val="BodyText"/>
              <w:rPr>
                <w:lang w:val="en-NZ"/>
              </w:rPr>
            </w:pPr>
            <w:r w:rsidRPr="00CC2BFB">
              <w:t>This section describes the essential skills and knowledge and their level, required for this unit.</w:t>
            </w:r>
          </w:p>
        </w:tc>
      </w:tr>
      <w:tr w:rsidTr="006819C0">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CC2BFB" w:rsidP="00CC2BFB">
            <w:pPr>
              <w:pStyle w:val="BodyText"/>
            </w:pPr>
            <w:r w:rsidRPr="00CC2BFB">
              <w:rPr>
                <w:rStyle w:val="SpecialBold"/>
              </w:rPr>
              <w:t>Skill requirements</w:t>
            </w:r>
          </w:p>
          <w:p w:rsidR="00000000" w:rsidRPr="00CC2BFB" w:rsidP="00CC2BFB">
            <w:pPr>
              <w:pStyle w:val="BodyText"/>
            </w:pPr>
            <w:r w:rsidRPr="00CC2BFB">
              <w:t>Look for evidence that confirms skills in:</w:t>
            </w:r>
          </w:p>
          <w:p w:rsidR="00000000" w:rsidRPr="00CC2BFB" w:rsidP="00CC2BFB">
            <w:pPr>
              <w:pStyle w:val="ListBullet"/>
            </w:pPr>
            <w:r w:rsidRPr="00CC2BFB">
              <w:t xml:space="preserve">accessing and using legislation and guidelines relating to resource allocation and usage </w:t>
            </w:r>
          </w:p>
          <w:p w:rsidR="00000000" w:rsidRPr="00CC2BFB" w:rsidP="00CC2BFB">
            <w:pPr>
              <w:pStyle w:val="ListBullet"/>
            </w:pPr>
            <w:r w:rsidRPr="00CC2BFB">
              <w:t>meeting organisational reporting requirements</w:t>
            </w:r>
          </w:p>
          <w:p w:rsidR="00000000" w:rsidRPr="00CC2BFB" w:rsidP="00CC2BFB">
            <w:pPr>
              <w:pStyle w:val="ListBullet"/>
            </w:pPr>
            <w:r w:rsidRPr="00CC2BFB">
              <w:t>recordkeeping in relation to resource allocation and usag</w:t>
            </w:r>
            <w:r w:rsidRPr="00CC2BFB">
              <w:t>e</w:t>
            </w:r>
          </w:p>
          <w:p w:rsidR="00000000" w:rsidRPr="00CC2BFB" w:rsidP="00CC2BFB">
            <w:pPr>
              <w:pStyle w:val="ListBullet"/>
            </w:pPr>
            <w:r w:rsidRPr="00CC2BFB">
              <w:t>accessing and using information systems in the context of resource allocation and usage</w:t>
            </w:r>
          </w:p>
          <w:p w:rsidR="00000000" w:rsidRPr="00CC2BFB" w:rsidP="00CC2BFB">
            <w:pPr>
              <w:pStyle w:val="ListBullet"/>
            </w:pPr>
            <w:r w:rsidRPr="00CC2BFB">
              <w:t>responding to diversity, including gender and disability</w:t>
            </w:r>
          </w:p>
          <w:p w:rsidR="00000000" w:rsidP="00CC2BFB">
            <w:pPr>
              <w:pStyle w:val="ListBullet"/>
              <w:rPr>
                <w:lang w:val="en-NZ"/>
              </w:rPr>
            </w:pPr>
            <w:r w:rsidRPr="00CC2BFB">
              <w:t>applying public sector legislation including occupational health, safety and environment and sustainability i</w:t>
            </w:r>
            <w:r w:rsidRPr="00CC2BFB">
              <w:t>n the context of resource allocation and usage</w:t>
            </w:r>
          </w:p>
        </w:tc>
      </w:tr>
      <w:tr w:rsidTr="006819C0">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CC2BFB" w:rsidP="00CC2BFB">
            <w:pPr>
              <w:pStyle w:val="BodyText"/>
            </w:pPr>
            <w:r w:rsidRPr="00CC2BFB">
              <w:rPr>
                <w:rStyle w:val="SpecialBold"/>
              </w:rPr>
              <w:t>Knowledge requirements</w:t>
            </w:r>
          </w:p>
          <w:p w:rsidR="00000000" w:rsidRPr="00CC2BFB" w:rsidP="00CC2BFB">
            <w:pPr>
              <w:pStyle w:val="BodyText"/>
            </w:pPr>
            <w:r w:rsidRPr="00CC2BFB">
              <w:t>Look for evidence that confirms knowledge and understanding of:</w:t>
            </w:r>
          </w:p>
          <w:p w:rsidR="00000000" w:rsidRPr="00CC2BFB" w:rsidP="00CC2BFB">
            <w:pPr>
              <w:pStyle w:val="ListBullet"/>
            </w:pPr>
            <w:r w:rsidRPr="00CC2BFB">
              <w:t>legislation, policy and guidelines relating to resource allocation and usage</w:t>
            </w:r>
          </w:p>
          <w:p w:rsidR="00000000" w:rsidRPr="00CC2BFB" w:rsidP="00CC2BFB">
            <w:pPr>
              <w:pStyle w:val="ListBullet"/>
            </w:pPr>
            <w:r w:rsidRPr="00CC2BFB">
              <w:t>operational procedures for accessing, storing, maintaining and using resources</w:t>
            </w:r>
          </w:p>
          <w:p w:rsidR="00000000" w:rsidRPr="00CC2BFB" w:rsidP="00CC2BFB">
            <w:pPr>
              <w:pStyle w:val="ListBullet"/>
            </w:pPr>
            <w:r w:rsidRPr="00CC2BFB">
              <w:t>stock handling procedures</w:t>
            </w:r>
          </w:p>
          <w:p w:rsidR="00000000" w:rsidRPr="00CC2BFB" w:rsidP="00CC2BFB">
            <w:pPr>
              <w:pStyle w:val="ListBullet"/>
            </w:pPr>
            <w:r w:rsidRPr="00CC2BFB">
              <w:t>financial management principles and procedures</w:t>
            </w:r>
          </w:p>
          <w:p w:rsidR="00000000" w:rsidRPr="00CC2BFB" w:rsidP="00CC2BFB">
            <w:pPr>
              <w:pStyle w:val="ListBullet"/>
            </w:pPr>
            <w:r w:rsidRPr="00CC2BFB">
              <w:t>budget processes</w:t>
            </w:r>
          </w:p>
          <w:p w:rsidR="00000000" w:rsidRPr="00CC2BFB" w:rsidP="00CC2BFB">
            <w:pPr>
              <w:pStyle w:val="ListBullet"/>
            </w:pPr>
            <w:r w:rsidRPr="00CC2BFB">
              <w:t>fraud control guidelines</w:t>
            </w:r>
          </w:p>
          <w:p w:rsidR="00000000" w:rsidRPr="00CC2BFB" w:rsidP="00CC2BFB">
            <w:pPr>
              <w:pStyle w:val="ListBullet"/>
            </w:pPr>
            <w:r w:rsidRPr="00CC2BFB">
              <w:t>government security procedures relating to resources</w:t>
            </w:r>
          </w:p>
          <w:p w:rsidR="00000000" w:rsidRPr="00CC2BFB" w:rsidP="00CC2BFB">
            <w:pPr>
              <w:pStyle w:val="ListBullet"/>
            </w:pPr>
            <w:r w:rsidRPr="00CC2BFB">
              <w:t>equal emp</w:t>
            </w:r>
            <w:r w:rsidRPr="00CC2BFB">
              <w:t>loyment opportunity, equity and diversity principles</w:t>
            </w:r>
          </w:p>
          <w:p w:rsidR="00000000" w:rsidRPr="00CC2BFB" w:rsidP="00CC2BFB">
            <w:pPr>
              <w:pStyle w:val="ListBullet"/>
            </w:pPr>
            <w:r w:rsidRPr="00CC2BFB">
              <w:t>public sector legislation including occupational health, safety and environment and sustainability in the context of resource allocation and usage</w:t>
            </w:r>
          </w:p>
        </w:tc>
      </w:tr>
    </w:tbl>
    <w:p w:rsidR="00000000" w:rsidRPr="00CC2BFB" w:rsidP="00CC2BFB">
      <w:pPr>
        <w:pStyle w:val="BodyText"/>
      </w:pPr>
    </w:p>
    <w:p w:rsidR="00000000" w:rsidRPr="00CC2BFB" w:rsidP="00CC2BFB">
      <w:pPr>
        <w:pStyle w:val="AllowPageBreak"/>
      </w:pPr>
    </w:p>
    <w:p w:rsidR="00000000" w:rsidRPr="00CC2BFB" w:rsidP="00CC2BFB">
      <w:pPr>
        <w:pStyle w:val="Heading1"/>
      </w:pPr>
      <w:bookmarkStart w:id="10" w:name="O_493316"/>
      <w:bookmarkEnd w:id="10"/>
      <w:r w:rsidRPr="00CC2BFB">
        <w:t>Evidence Guide</w:t>
      </w:r>
    </w:p>
    <w:tbl>
      <w:tblPr>
        <w:tblW w:w="9322" w:type="dxa"/>
        <w:tblLayout w:type="fixed"/>
        <w:tblCellMar>
          <w:left w:w="62" w:type="dxa"/>
          <w:right w:w="62" w:type="dxa"/>
        </w:tblCellMar>
        <w:tblLook w:val="0000"/>
      </w:tblPr>
      <w:tblGrid>
        <w:gridCol w:w="2660"/>
        <w:gridCol w:w="6662"/>
      </w:tblGrid>
      <w:tr w:rsidTr="006819C0">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CC2BFB">
            <w:pPr>
              <w:pStyle w:val="BodyText"/>
              <w:rPr>
                <w:lang w:val="en-NZ"/>
              </w:rPr>
            </w:pPr>
            <w:r w:rsidRPr="00CC2BFB">
              <w:t>The Evidence Guide specifies the evidence required to demonstrate achievement in the unit of competency as a whole. It must be read in conjunction with the Unit descriptor, Performance Criteria, the Range Statement and the Assessment Guidelines for the Pub</w:t>
            </w:r>
            <w:r w:rsidRPr="00CC2BFB">
              <w:t>lic Sector Training Package.</w:t>
            </w:r>
          </w:p>
        </w:tc>
      </w:tr>
      <w:tr w:rsidTr="006819C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CC2BFB" w:rsidP="00CC2BFB">
            <w:pPr>
              <w:pStyle w:val="BodyText"/>
            </w:pPr>
            <w:r w:rsidRPr="00CC2BFB">
              <w:rPr>
                <w:rStyle w:val="SpecialBold"/>
              </w:rPr>
              <w:t>Units to be assessed together</w:t>
            </w:r>
            <w:r w:rsidRPr="00CC2BFB">
              <w:t xml:space="preserve"> </w:t>
            </w:r>
          </w:p>
        </w:tc>
        <w:tc>
          <w:tcPr>
            <w:tcW w:w="6662" w:type="dxa"/>
            <w:tcBorders>
              <w:top w:val="nil"/>
              <w:left w:val="nil"/>
              <w:bottom w:val="nil"/>
              <w:right w:val="nil"/>
            </w:tcBorders>
            <w:tcMar>
              <w:top w:w="0" w:type="dxa"/>
              <w:left w:w="62" w:type="dxa"/>
              <w:bottom w:w="0" w:type="dxa"/>
              <w:right w:w="62" w:type="dxa"/>
            </w:tcMar>
          </w:tcPr>
          <w:p w:rsidR="00000000" w:rsidRPr="00CC2BFB" w:rsidP="00CC2BFB">
            <w:pPr>
              <w:pStyle w:val="ListBullet"/>
            </w:pPr>
            <w:r w:rsidRPr="00CC2BFB">
              <w:rPr>
                <w:rStyle w:val="Emphasis"/>
              </w:rPr>
              <w:t>Pre</w:t>
            </w:r>
            <w:r w:rsidRPr="00CC2BFB">
              <w:t>-</w:t>
            </w:r>
            <w:r w:rsidRPr="00CC2BFB">
              <w:rPr>
                <w:rStyle w:val="Emphasis"/>
              </w:rPr>
              <w:t>requisite</w:t>
            </w:r>
            <w:r w:rsidRPr="00CC2BFB">
              <w:t xml:space="preserve"> units that </w:t>
            </w:r>
            <w:r w:rsidRPr="00CC2BFB">
              <w:rPr>
                <w:rStyle w:val="Underline"/>
              </w:rPr>
              <w:t>must</w:t>
            </w:r>
            <w:r w:rsidRPr="00CC2BFB">
              <w:t xml:space="preserve"> be achieved </w:t>
            </w:r>
            <w:r w:rsidRPr="00CC2BFB">
              <w:rPr>
                <w:rStyle w:val="Underline"/>
              </w:rPr>
              <w:t>prior</w:t>
            </w:r>
            <w:r w:rsidRPr="00CC2BFB">
              <w:t xml:space="preserve"> to this unit:</w:t>
            </w:r>
            <w:r w:rsidRPr="00CC2BFB">
              <w:rPr>
                <w:rStyle w:val="Emphasis"/>
              </w:rPr>
              <w:t>Nil</w:t>
            </w:r>
          </w:p>
          <w:p w:rsidR="00000000" w:rsidRPr="00CC2BFB" w:rsidP="00CC2BFB">
            <w:pPr>
              <w:pStyle w:val="ListBullet"/>
            </w:pPr>
            <w:r w:rsidRPr="00CC2BFB">
              <w:rPr>
                <w:rStyle w:val="Emphasis"/>
              </w:rPr>
              <w:t>Co</w:t>
            </w:r>
            <w:r w:rsidRPr="00CC2BFB">
              <w:t>-</w:t>
            </w:r>
            <w:r w:rsidRPr="00CC2BFB">
              <w:rPr>
                <w:rStyle w:val="Emphasis"/>
              </w:rPr>
              <w:t>requisite</w:t>
            </w:r>
            <w:r w:rsidRPr="00CC2BFB">
              <w:t xml:space="preserve"> units that </w:t>
            </w:r>
            <w:r w:rsidRPr="00CC2BFB">
              <w:rPr>
                <w:rStyle w:val="Underline"/>
              </w:rPr>
              <w:t>must</w:t>
            </w:r>
            <w:r w:rsidRPr="00CC2BFB">
              <w:t xml:space="preserve"> be assessed </w:t>
            </w:r>
            <w:r w:rsidRPr="00CC2BFB">
              <w:rPr>
                <w:rStyle w:val="Underline"/>
              </w:rPr>
              <w:t>with</w:t>
            </w:r>
            <w:r w:rsidRPr="00CC2BFB">
              <w:t xml:space="preserve"> this unit:</w:t>
            </w:r>
            <w:r w:rsidRPr="00CC2BFB">
              <w:rPr>
                <w:rStyle w:val="Emphasis"/>
              </w:rPr>
              <w:t>Nil</w:t>
            </w:r>
          </w:p>
          <w:p w:rsidR="00000000" w:rsidRPr="00CC2BFB" w:rsidP="00CC2BFB">
            <w:pPr>
              <w:pStyle w:val="ListBullet"/>
            </w:pPr>
            <w:r w:rsidRPr="00CC2BFB">
              <w:rPr>
                <w:rStyle w:val="Emphasis"/>
              </w:rPr>
              <w:t>Co</w:t>
            </w:r>
            <w:r w:rsidRPr="00CC2BFB">
              <w:t>-</w:t>
            </w:r>
            <w:r w:rsidRPr="00CC2BFB">
              <w:rPr>
                <w:rStyle w:val="Emphasis"/>
              </w:rPr>
              <w:t>assessed units</w:t>
            </w:r>
            <w:r w:rsidRPr="00CC2BFB">
              <w:t xml:space="preserve"> that </w:t>
            </w:r>
            <w:r w:rsidRPr="00CC2BFB">
              <w:rPr>
                <w:rStyle w:val="Underline"/>
              </w:rPr>
              <w:t>may</w:t>
            </w:r>
            <w:r w:rsidRPr="00CC2BFB">
              <w:t xml:space="preserve"> be assessed with this unit to increase the efficiency and realism of the assessment process include, but are not limited to:</w:t>
            </w:r>
          </w:p>
          <w:p w:rsidR="00000000" w:rsidRPr="00CC2BFB" w:rsidP="00CC2BFB">
            <w:pPr>
              <w:pStyle w:val="ListBullet2"/>
            </w:pPr>
            <w:r w:rsidRPr="00CC2BFB">
              <w:t xml:space="preserve">PSPETHC501B Promote the values and ethos of public service </w:t>
            </w:r>
          </w:p>
          <w:p w:rsidR="00000000" w:rsidRPr="00CC2BFB" w:rsidP="00CC2BFB">
            <w:pPr>
              <w:pStyle w:val="ListBullet2"/>
            </w:pPr>
            <w:r w:rsidRPr="00CC2BFB">
              <w:t>PSPGOV502B Develop client services</w:t>
            </w:r>
          </w:p>
          <w:p w:rsidR="00000000" w:rsidRPr="00CC2BFB" w:rsidP="00CC2BFB">
            <w:pPr>
              <w:pStyle w:val="ListBullet2"/>
            </w:pPr>
            <w:r w:rsidRPr="00CC2BFB">
              <w:t>PSPGOV50</w:t>
            </w:r>
            <w:r w:rsidRPr="00CC2BFB">
              <w:t>4B Undertake research and analysis</w:t>
            </w:r>
          </w:p>
          <w:p w:rsidR="00000000" w:rsidRPr="00CC2BFB" w:rsidP="00CC2BFB">
            <w:pPr>
              <w:pStyle w:val="ListBullet2"/>
            </w:pPr>
            <w:r w:rsidRPr="00CC2BFB">
              <w:t xml:space="preserve">PSPGOV505A Promote diversity </w:t>
            </w:r>
          </w:p>
          <w:p w:rsidR="00000000" w:rsidRPr="00CC2BFB" w:rsidP="00CC2BFB">
            <w:pPr>
              <w:pStyle w:val="ListBullet2"/>
            </w:pPr>
            <w:r w:rsidRPr="00CC2BFB">
              <w:t>PSPGOV507A Undertake negotiations</w:t>
            </w:r>
          </w:p>
          <w:p w:rsidR="00000000" w:rsidRPr="00CC2BFB" w:rsidP="00CC2BFB">
            <w:pPr>
              <w:pStyle w:val="ListBullet2"/>
            </w:pPr>
            <w:r w:rsidRPr="00CC2BFB">
              <w:t>PSPGOV511A Provide leadership</w:t>
            </w:r>
          </w:p>
          <w:p w:rsidR="00000000" w:rsidRPr="00CC2BFB" w:rsidP="00CC2BFB">
            <w:pPr>
              <w:pStyle w:val="ListBullet2"/>
            </w:pPr>
            <w:r w:rsidRPr="00CC2BFB">
              <w:t>PSPGOV512A Use complex workplace communication strategies</w:t>
            </w:r>
          </w:p>
          <w:p w:rsidR="00000000" w:rsidRPr="00CC2BFB" w:rsidP="00CC2BFB">
            <w:pPr>
              <w:pStyle w:val="ListBullet2"/>
            </w:pPr>
            <w:r w:rsidRPr="00CC2BFB">
              <w:t>PSPGOV513A Refine complex workplace documents</w:t>
            </w:r>
          </w:p>
          <w:p w:rsidR="00000000" w:rsidRPr="00CC2BFB" w:rsidP="00CC2BFB">
            <w:pPr>
              <w:pStyle w:val="ListBullet2"/>
            </w:pPr>
            <w:r w:rsidRPr="00CC2BFB">
              <w:t>PSPGOV517A Coordinate r</w:t>
            </w:r>
            <w:r w:rsidRPr="00CC2BFB">
              <w:t>isk management</w:t>
            </w:r>
          </w:p>
          <w:p w:rsidR="00000000" w:rsidRPr="00CC2BFB" w:rsidP="00CC2BFB">
            <w:pPr>
              <w:pStyle w:val="ListBullet2"/>
            </w:pPr>
            <w:r w:rsidRPr="00CC2BFB">
              <w:t>PSPLEGN501B Promote compliance with legislation in the public sector</w:t>
            </w:r>
          </w:p>
          <w:p w:rsidR="00000000" w:rsidP="00CC2BFB">
            <w:pPr>
              <w:pStyle w:val="ListBullet2"/>
              <w:rPr>
                <w:lang w:val="en-NZ"/>
              </w:rPr>
            </w:pPr>
            <w:r w:rsidRPr="00CC2BFB">
              <w:t>PSPOHS501A Monitor and maintain workplace safety</w:t>
            </w:r>
          </w:p>
        </w:tc>
      </w:tr>
      <w:tr w:rsidTr="006819C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C2BFB">
            <w:pPr>
              <w:pStyle w:val="BodyText"/>
              <w:rPr>
                <w:lang w:val="en-NZ"/>
              </w:rPr>
            </w:pPr>
            <w:r w:rsidRPr="00CC2BFB">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CC2BFB" w:rsidP="00CC2BFB">
            <w:pPr>
              <w:pStyle w:val="BodyText"/>
            </w:pPr>
            <w:r w:rsidRPr="00CC2BFB">
              <w:t>In addition to integrated demonstration of the elements and their related performance cr</w:t>
            </w:r>
            <w:r w:rsidRPr="00CC2BFB">
              <w:t>iteria, look for evidence that confirms:</w:t>
            </w:r>
          </w:p>
          <w:p w:rsidR="00000000" w:rsidRPr="00CC2BFB" w:rsidP="00CC2BFB">
            <w:pPr>
              <w:pStyle w:val="ListBullet"/>
            </w:pPr>
            <w:r w:rsidRPr="00CC2BFB">
              <w:t xml:space="preserve">the knowledge requirements of this unit </w:t>
            </w:r>
          </w:p>
          <w:p w:rsidR="00000000" w:rsidRPr="00CC2BFB" w:rsidP="00CC2BFB">
            <w:pPr>
              <w:pStyle w:val="ListBullet"/>
            </w:pPr>
            <w:r w:rsidRPr="00CC2BFB">
              <w:t>the skill requirements of this unit</w:t>
            </w:r>
          </w:p>
          <w:p w:rsidR="00000000" w:rsidRPr="00CC2BFB" w:rsidP="00CC2BFB">
            <w:pPr>
              <w:pStyle w:val="ListBullet"/>
            </w:pPr>
            <w:r w:rsidRPr="00CC2BFB">
              <w:t xml:space="preserve">application of Employability Skills as they relate to this unit </w:t>
            </w:r>
          </w:p>
          <w:p w:rsidR="00000000" w:rsidP="00CC2BFB">
            <w:pPr>
              <w:pStyle w:val="ListBullet"/>
              <w:rPr>
                <w:lang w:val="en-NZ"/>
              </w:rPr>
            </w:pPr>
            <w:r w:rsidRPr="00CC2BFB">
              <w:t>coordination of resource allocation and usage in a range of (3 or more) contexts (or occasions, over time)</w:t>
            </w:r>
          </w:p>
        </w:tc>
      </w:tr>
      <w:tr w:rsidTr="006819C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C2BFB">
            <w:pPr>
              <w:pStyle w:val="BodyText"/>
              <w:rPr>
                <w:lang w:val="en-NZ"/>
              </w:rPr>
            </w:pPr>
            <w:r w:rsidRPr="00CC2BFB">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CC2BFB" w:rsidP="00CC2BFB">
            <w:pPr>
              <w:pStyle w:val="BodyText"/>
            </w:pPr>
            <w:r w:rsidRPr="00CC2BFB">
              <w:t>These resources include:</w:t>
            </w:r>
          </w:p>
          <w:p w:rsidR="00000000" w:rsidRPr="00CC2BFB" w:rsidP="00CC2BFB">
            <w:pPr>
              <w:pStyle w:val="ListBullet"/>
            </w:pPr>
            <w:r w:rsidRPr="00CC2BFB">
              <w:t>legislation, policy, procedures and protocols relating to resource allocation a</w:t>
            </w:r>
            <w:r w:rsidRPr="00CC2BFB">
              <w:t>nd usage</w:t>
            </w:r>
          </w:p>
          <w:p w:rsidR="00000000" w:rsidP="00CC2BFB">
            <w:pPr>
              <w:pStyle w:val="ListBullet"/>
              <w:rPr>
                <w:lang w:val="en-NZ"/>
              </w:rPr>
            </w:pPr>
            <w:r w:rsidRPr="00CC2BFB">
              <w:t>case studies and workplace scenarios to capture the range of situations likely to be encountered when coordinating resource allocation and usage</w:t>
            </w:r>
          </w:p>
        </w:tc>
      </w:tr>
      <w:tr w:rsidTr="006819C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C2BFB">
            <w:pPr>
              <w:pStyle w:val="BodyText"/>
              <w:rPr>
                <w:lang w:val="en-NZ"/>
              </w:rPr>
            </w:pPr>
            <w:r w:rsidRPr="00CC2BFB">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CC2BFB" w:rsidP="00CC2BFB">
            <w:pPr>
              <w:pStyle w:val="BodyText"/>
            </w:pPr>
            <w:r w:rsidRPr="00CC2BFB">
              <w:t xml:space="preserve">Valid assessment of this unit requires: </w:t>
            </w:r>
          </w:p>
          <w:p w:rsidR="00000000" w:rsidRPr="00CC2BFB" w:rsidP="00CC2BFB">
            <w:pPr>
              <w:pStyle w:val="ListBullet"/>
            </w:pPr>
            <w:r w:rsidRPr="00CC2BFB">
              <w:t>a workplace environment, o</w:t>
            </w:r>
            <w:r w:rsidRPr="00CC2BFB">
              <w:t>r one that closely resembles normal work practice and replicates the range of conditions likely to be encountered when coordinating resource allocation and usage, including coping with difficulties, irregularities and breakdowns in routine</w:t>
            </w:r>
          </w:p>
          <w:p w:rsidR="00000000" w:rsidRPr="00CC2BFB" w:rsidP="00CC2BFB">
            <w:pPr>
              <w:pStyle w:val="ListBullet"/>
            </w:pPr>
            <w:r w:rsidRPr="00CC2BFB">
              <w:t xml:space="preserve">coordination of </w:t>
            </w:r>
            <w:r w:rsidRPr="00CC2BFB">
              <w:t>resource allocation and usage in a range of (3 or more) contexts (or occasions, over time).</w:t>
            </w:r>
          </w:p>
          <w:p w:rsidR="00000000" w:rsidRPr="00CC2BFB" w:rsidP="00CC2BFB">
            <w:pPr>
              <w:pStyle w:val="BodyText"/>
            </w:pPr>
            <w:r w:rsidRPr="00CC2BFB">
              <w:t>Assessment methods should reflect workplace demands, such as literacy, and the needs of particular groups, such as:</w:t>
            </w:r>
          </w:p>
          <w:p w:rsidR="00000000" w:rsidRPr="00CC2BFB" w:rsidP="00CC2BFB">
            <w:pPr>
              <w:pStyle w:val="ListBullet"/>
            </w:pPr>
            <w:r w:rsidRPr="00CC2BFB">
              <w:t>people with disabilities</w:t>
            </w:r>
          </w:p>
          <w:p w:rsidR="00000000" w:rsidRPr="00CC2BFB" w:rsidP="00CC2BFB">
            <w:pPr>
              <w:pStyle w:val="ListBullet"/>
            </w:pPr>
            <w:r w:rsidRPr="00CC2BFB">
              <w:t>people from culturally and linguistically diverse backgrounds</w:t>
            </w:r>
          </w:p>
          <w:p w:rsidR="00000000" w:rsidRPr="00CC2BFB" w:rsidP="00CC2BFB">
            <w:pPr>
              <w:pStyle w:val="ListBullet"/>
            </w:pPr>
            <w:r w:rsidRPr="00CC2BFB">
              <w:t>Aboriginal and Torres Strait Islander people</w:t>
            </w:r>
          </w:p>
          <w:p w:rsidR="00000000" w:rsidRPr="00CC2BFB" w:rsidP="00CC2BFB">
            <w:pPr>
              <w:pStyle w:val="ListBullet"/>
            </w:pPr>
            <w:r w:rsidRPr="00CC2BFB">
              <w:t>women</w:t>
            </w:r>
          </w:p>
          <w:p w:rsidR="00000000" w:rsidRPr="00CC2BFB" w:rsidP="00CC2BFB">
            <w:pPr>
              <w:pStyle w:val="ListBullet"/>
            </w:pPr>
            <w:r w:rsidRPr="00CC2BFB">
              <w:t>young people</w:t>
            </w:r>
          </w:p>
          <w:p w:rsidR="00000000" w:rsidRPr="00CC2BFB" w:rsidP="00CC2BFB">
            <w:pPr>
              <w:pStyle w:val="ListBullet"/>
            </w:pPr>
            <w:r w:rsidRPr="00CC2BFB">
              <w:t>older people</w:t>
            </w:r>
          </w:p>
          <w:p w:rsidR="00000000" w:rsidRPr="00CC2BFB" w:rsidP="00CC2BFB">
            <w:pPr>
              <w:pStyle w:val="ListBullet"/>
            </w:pPr>
            <w:r w:rsidRPr="00CC2BFB">
              <w:t>people in rural and remote locations.</w:t>
            </w:r>
          </w:p>
          <w:p w:rsidR="00000000" w:rsidRPr="00CC2BFB" w:rsidP="00CC2BFB">
            <w:pPr>
              <w:pStyle w:val="BodyText"/>
            </w:pPr>
            <w:r w:rsidRPr="00CC2BFB">
              <w:t>Assessment methods suitable for valid and reliable assessment of this competenc</w:t>
            </w:r>
            <w:r w:rsidRPr="00CC2BFB">
              <w:t xml:space="preserve">y may include, but are not limited to, a combination of 2 or more of: </w:t>
            </w:r>
          </w:p>
          <w:p w:rsidR="00000000" w:rsidRPr="00CC2BFB" w:rsidP="00CC2BFB">
            <w:pPr>
              <w:pStyle w:val="ListBullet"/>
            </w:pPr>
            <w:r w:rsidRPr="00CC2BFB">
              <w:t xml:space="preserve">demonstration </w:t>
            </w:r>
          </w:p>
          <w:p w:rsidR="00000000" w:rsidRPr="00CC2BFB" w:rsidP="00CC2BFB">
            <w:pPr>
              <w:pStyle w:val="ListBullet"/>
            </w:pPr>
            <w:r w:rsidRPr="00CC2BFB">
              <w:t xml:space="preserve">portfolios </w:t>
            </w:r>
          </w:p>
          <w:p w:rsidR="00000000" w:rsidRPr="00CC2BFB" w:rsidP="00CC2BFB">
            <w:pPr>
              <w:pStyle w:val="ListBullet"/>
            </w:pPr>
            <w:r w:rsidRPr="00CC2BFB">
              <w:t>projects</w:t>
            </w:r>
          </w:p>
          <w:p w:rsidR="00000000" w:rsidRPr="00CC2BFB" w:rsidP="00CC2BFB">
            <w:pPr>
              <w:pStyle w:val="ListBullet"/>
            </w:pPr>
            <w:r w:rsidRPr="00CC2BFB">
              <w:t>questioning</w:t>
            </w:r>
          </w:p>
          <w:p w:rsidR="00000000" w:rsidRPr="00CC2BFB" w:rsidP="00CC2BFB">
            <w:pPr>
              <w:pStyle w:val="ListBullet"/>
            </w:pPr>
            <w:r w:rsidRPr="00CC2BFB">
              <w:t>scenarios</w:t>
            </w:r>
          </w:p>
          <w:p w:rsidR="00000000" w:rsidRPr="00CC2BFB" w:rsidP="00CC2BFB">
            <w:pPr>
              <w:pStyle w:val="ListBullet"/>
            </w:pPr>
            <w:r w:rsidRPr="00CC2BFB">
              <w:t>simulation or role plays</w:t>
            </w:r>
          </w:p>
          <w:p w:rsidR="00000000" w:rsidP="00CC2BFB">
            <w:pPr>
              <w:pStyle w:val="ListBullet"/>
              <w:rPr>
                <w:lang w:val="en-NZ"/>
              </w:rPr>
            </w:pPr>
            <w:r w:rsidRPr="00CC2BFB">
              <w:t>authenticated evidence from the workplace and/or training courses</w:t>
            </w:r>
          </w:p>
        </w:tc>
      </w:tr>
      <w:tr w:rsidTr="006819C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C2BFB">
            <w:pPr>
              <w:pStyle w:val="BodyText"/>
              <w:rPr>
                <w:lang w:val="en-NZ"/>
              </w:rPr>
            </w:pPr>
            <w:r w:rsidRPr="00CC2BFB">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CC2BFB" w:rsidP="00CC2BFB">
            <w:pPr>
              <w:pStyle w:val="BodyText"/>
            </w:pPr>
            <w:r w:rsidRPr="00CC2BFB">
              <w:t>Evidence must be gathered over time in a range of contexts to ensure the person can achieve the unit outcome and apply the competency in different situations or environments</w:t>
            </w:r>
          </w:p>
        </w:tc>
      </w:tr>
    </w:tbl>
    <w:p w:rsidR="00000000" w:rsidRPr="00CC2BFB" w:rsidP="00CC2BFB">
      <w:pPr>
        <w:pStyle w:val="BodyText"/>
      </w:pPr>
    </w:p>
    <w:p w:rsidR="00000000" w:rsidRPr="00CC2BFB" w:rsidP="00CC2BFB">
      <w:pPr>
        <w:pStyle w:val="AllowPageBreak"/>
      </w:pPr>
    </w:p>
    <w:p w:rsidR="00000000" w:rsidRPr="00CC2BFB" w:rsidP="00CC2BFB">
      <w:pPr>
        <w:pStyle w:val="Heading1"/>
      </w:pPr>
      <w:bookmarkStart w:id="11" w:name="O_493312"/>
      <w:bookmarkEnd w:id="11"/>
      <w:r w:rsidRPr="00CC2BFB">
        <w:t>Range Statement</w:t>
      </w:r>
    </w:p>
    <w:tbl>
      <w:tblPr>
        <w:tblW w:w="0" w:type="auto"/>
        <w:tblLayout w:type="fixed"/>
        <w:tblCellMar>
          <w:left w:w="62" w:type="dxa"/>
          <w:right w:w="62" w:type="dxa"/>
        </w:tblCellMar>
        <w:tblLook w:val="0000"/>
      </w:tblPr>
      <w:tblGrid>
        <w:gridCol w:w="2441"/>
        <w:gridCol w:w="6112"/>
      </w:tblGrid>
      <w:tr w:rsidTr="006819C0">
        <w:tblPrEx>
          <w:tblW w:w="0" w:type="auto"/>
          <w:tblLayout w:type="fixed"/>
          <w:tblCellMar>
            <w:left w:w="62" w:type="dxa"/>
            <w:right w:w="62" w:type="dxa"/>
          </w:tblCellMar>
          <w:tblLook w:val="0000"/>
        </w:tblPrEx>
        <w:tc>
          <w:tcPr>
            <w:tcW w:w="855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BFB">
            <w:pPr>
              <w:pStyle w:val="BodyText"/>
              <w:rPr>
                <w:lang w:val="en-NZ"/>
              </w:rPr>
            </w:pPr>
            <w:r w:rsidRPr="00CC2BFB">
              <w:t xml:space="preserve">The Range Statement provides information about </w:t>
            </w:r>
            <w:r w:rsidRPr="00CC2BFB">
              <w:t>the context in which the unit of competency is carried out. The variables cater for differences between States and Territories and the Commonwealth, and between organisations and workplaces. They allow for different work requirements, work practices and kn</w:t>
            </w:r>
            <w:r w:rsidRPr="00CC2BFB">
              <w:t xml:space="preserve">owledge. The Range Statement also provides a focus for assessment. It relates to the unit as a whole. Text in </w:t>
            </w:r>
            <w:r w:rsidRPr="00CC2BFB">
              <w:rPr>
                <w:rStyle w:val="BoldandItalics"/>
              </w:rPr>
              <w:t>bold italics</w:t>
            </w:r>
            <w:r w:rsidRPr="00CC2BFB">
              <w:t xml:space="preserve"> in the Performance Criteria is explained here.</w:t>
            </w:r>
          </w:p>
        </w:tc>
      </w:tr>
      <w:tr w:rsidTr="006819C0">
        <w:tblPrEx>
          <w:tblW w:w="0" w:type="auto"/>
          <w:tblLayout w:type="fixed"/>
          <w:tblCellMar>
            <w:left w:w="62" w:type="dxa"/>
            <w:right w:w="62" w:type="dxa"/>
          </w:tblCellMar>
          <w:tblLook w:val="0000"/>
        </w:tblPrEx>
        <w:tc>
          <w:tcPr>
            <w:tcW w:w="2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BFB">
            <w:pPr>
              <w:pStyle w:val="BodyText"/>
              <w:rPr>
                <w:lang w:val="en-NZ"/>
              </w:rPr>
            </w:pPr>
            <w:r w:rsidRPr="00CC2BFB">
              <w:rPr>
                <w:rStyle w:val="BoldandItalics"/>
              </w:rPr>
              <w:t>Resources</w:t>
            </w:r>
            <w:r w:rsidRPr="00CC2BFB">
              <w:t xml:space="preserve"> may include:</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BFB" w:rsidP="00CC2BFB">
            <w:pPr>
              <w:pStyle w:val="ListBullet"/>
            </w:pPr>
            <w:r w:rsidRPr="00CC2BFB">
              <w:t>finances</w:t>
            </w:r>
          </w:p>
          <w:p w:rsidR="00000000" w:rsidRPr="00CC2BFB" w:rsidP="00CC2BFB">
            <w:pPr>
              <w:pStyle w:val="ListBullet"/>
            </w:pPr>
            <w:r w:rsidRPr="00CC2BFB">
              <w:t>facilities</w:t>
            </w:r>
          </w:p>
          <w:p w:rsidR="00000000" w:rsidRPr="00CC2BFB" w:rsidP="00CC2BFB">
            <w:pPr>
              <w:pStyle w:val="ListBullet"/>
            </w:pPr>
            <w:r w:rsidRPr="00CC2BFB">
              <w:t>equipment</w:t>
            </w:r>
          </w:p>
          <w:p w:rsidR="00000000" w:rsidRPr="00CC2BFB" w:rsidP="00CC2BFB">
            <w:pPr>
              <w:pStyle w:val="ListBullet"/>
            </w:pPr>
            <w:r w:rsidRPr="00CC2BFB">
              <w:t>stock and supplies</w:t>
            </w:r>
          </w:p>
          <w:p w:rsidR="00000000" w:rsidRPr="00CC2BFB" w:rsidP="00CC2BFB">
            <w:pPr>
              <w:pStyle w:val="ListBullet"/>
            </w:pPr>
            <w:r w:rsidRPr="00CC2BFB">
              <w:t>human</w:t>
            </w:r>
          </w:p>
          <w:p w:rsidR="00000000" w:rsidRPr="00CC2BFB" w:rsidP="00CC2BFB">
            <w:pPr>
              <w:pStyle w:val="ListBullet"/>
            </w:pPr>
            <w:r w:rsidRPr="00CC2BFB">
              <w:t>technical expertise</w:t>
            </w:r>
          </w:p>
          <w:p w:rsidR="00000000" w:rsidRPr="00CC2BFB" w:rsidP="00CC2BFB">
            <w:pPr>
              <w:pStyle w:val="ListBullet"/>
            </w:pPr>
            <w:r w:rsidRPr="00CC2BFB">
              <w:t>consultants</w:t>
            </w:r>
          </w:p>
          <w:p w:rsidR="00000000" w:rsidP="00CC2BFB">
            <w:pPr>
              <w:pStyle w:val="ListBullet"/>
              <w:rPr>
                <w:lang w:val="en-NZ"/>
              </w:rPr>
            </w:pPr>
            <w:r w:rsidRPr="00CC2BFB">
              <w:t>information, knowledge and other intellectual resources</w:t>
            </w:r>
          </w:p>
        </w:tc>
      </w:tr>
      <w:tr w:rsidTr="006819C0">
        <w:tblPrEx>
          <w:tblW w:w="0" w:type="auto"/>
          <w:tblLayout w:type="fixed"/>
          <w:tblCellMar>
            <w:left w:w="62" w:type="dxa"/>
            <w:right w:w="62" w:type="dxa"/>
          </w:tblCellMar>
          <w:tblLook w:val="0000"/>
        </w:tblPrEx>
        <w:tc>
          <w:tcPr>
            <w:tcW w:w="2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BFB">
            <w:pPr>
              <w:pStyle w:val="BodyText"/>
              <w:rPr>
                <w:lang w:val="en-NZ"/>
              </w:rPr>
            </w:pPr>
            <w:r w:rsidRPr="00CC2BFB">
              <w:rPr>
                <w:rStyle w:val="BoldandItalics"/>
              </w:rPr>
              <w:t>Legislation</w:t>
            </w:r>
            <w:r w:rsidRPr="00CC2BFB">
              <w:t xml:space="preserve">, </w:t>
            </w:r>
            <w:r w:rsidRPr="00CC2BFB">
              <w:rPr>
                <w:rStyle w:val="BoldandItalics"/>
              </w:rPr>
              <w:t>policies and guidelines</w:t>
            </w:r>
            <w:r w:rsidRPr="00CC2BFB">
              <w:t xml:space="preserve"> may include:</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BFB" w:rsidP="00CC2BFB">
            <w:pPr>
              <w:pStyle w:val="ListBullet"/>
            </w:pPr>
            <w:r w:rsidRPr="00CC2BFB">
              <w:t>public sector legislation, policies and procedures</w:t>
            </w:r>
          </w:p>
          <w:p w:rsidR="00000000" w:rsidRPr="00CC2BFB" w:rsidP="00CC2BFB">
            <w:pPr>
              <w:pStyle w:val="ListBullet"/>
            </w:pPr>
            <w:r w:rsidRPr="00CC2BFB">
              <w:t>procurement legislation and guidelines</w:t>
            </w:r>
          </w:p>
          <w:p w:rsidR="00000000" w:rsidRPr="00CC2BFB" w:rsidP="00CC2BFB">
            <w:pPr>
              <w:pStyle w:val="ListBullet"/>
            </w:pPr>
            <w:r w:rsidRPr="00CC2BFB">
              <w:t>fraud control</w:t>
            </w:r>
          </w:p>
          <w:p w:rsidR="00000000" w:rsidRPr="00CC2BFB" w:rsidP="00CC2BFB">
            <w:pPr>
              <w:pStyle w:val="ListBullet"/>
            </w:pPr>
            <w:r w:rsidRPr="00CC2BFB">
              <w:t>government s</w:t>
            </w:r>
            <w:r w:rsidRPr="00CC2BFB">
              <w:t xml:space="preserve">ecurity management </w:t>
            </w:r>
          </w:p>
          <w:p w:rsidR="00000000" w:rsidRPr="00CC2BFB" w:rsidP="00CC2BFB">
            <w:pPr>
              <w:pStyle w:val="ListBullet"/>
            </w:pPr>
            <w:r w:rsidRPr="00CC2BFB">
              <w:t>environmental and sustainability practices</w:t>
            </w:r>
          </w:p>
          <w:p w:rsidR="00000000" w:rsidRPr="00CC2BFB" w:rsidP="00CC2BFB">
            <w:pPr>
              <w:pStyle w:val="ListBullet"/>
            </w:pPr>
            <w:r w:rsidRPr="00CC2BFB">
              <w:t>organisational code of practice</w:t>
            </w:r>
          </w:p>
          <w:p w:rsidR="00000000" w:rsidRPr="00CC2BFB" w:rsidP="00CC2BFB">
            <w:pPr>
              <w:pStyle w:val="ListBullet"/>
            </w:pPr>
            <w:r w:rsidRPr="00CC2BFB">
              <w:t xml:space="preserve">public sector code of ethics </w:t>
            </w:r>
          </w:p>
          <w:p w:rsidR="00000000" w:rsidRPr="00CC2BFB" w:rsidP="00CC2BFB">
            <w:pPr>
              <w:pStyle w:val="ListBullet"/>
            </w:pPr>
            <w:r w:rsidRPr="00CC2BFB">
              <w:t>asset management legislation and guidelines</w:t>
            </w:r>
          </w:p>
          <w:p w:rsidR="00000000" w:rsidRPr="00CC2BFB" w:rsidP="00CC2BFB">
            <w:pPr>
              <w:pStyle w:val="ListBullet"/>
            </w:pPr>
            <w:r w:rsidRPr="00CC2BFB">
              <w:t>financial management legislation and guidelines</w:t>
            </w:r>
          </w:p>
        </w:tc>
      </w:tr>
    </w:tbl>
    <w:p w:rsidR="006819C0" w:rsidP="00CC2BFB">
      <w:pPr>
        <w:pStyle w:val="BodyText"/>
      </w:pPr>
    </w:p>
    <w:p w:rsidR="006819C0" w:rsidP="00CC2BFB">
      <w:pPr>
        <w:pStyle w:val="BodyText"/>
      </w:pPr>
    </w:p>
    <w:p w:rsidR="00000000" w:rsidRPr="00CC2BFB" w:rsidP="00CC2BFB">
      <w:pPr>
        <w:pStyle w:val="Heading1"/>
      </w:pPr>
      <w:bookmarkStart w:id="12" w:name="O_493313"/>
      <w:bookmarkEnd w:id="12"/>
      <w:r w:rsidRPr="00CC2BFB">
        <w:t>Unit Sector(s)</w:t>
      </w:r>
    </w:p>
    <w:p w:rsidR="00000000" w:rsidRPr="00CC2BFB" w:rsidP="00CC2BFB">
      <w:pPr>
        <w:pStyle w:val="BodyText"/>
      </w:pPr>
      <w:r w:rsidRPr="00CC2BFB">
        <w:t>Not applicable.</w:t>
      </w:r>
    </w:p>
    <w:p w:rsidR="00000000" w:rsidRPr="00CC2BFB" w:rsidP="00CC2BFB">
      <w:pPr>
        <w:pStyle w:val="AllowPageBreak"/>
      </w:pPr>
    </w:p>
    <w:p w:rsidR="00000000" w:rsidRPr="00CC2BFB" w:rsidP="00CC2BFB">
      <w:pPr>
        <w:pStyle w:val="Heading1"/>
      </w:pPr>
      <w:bookmarkStart w:id="13" w:name="O_493321"/>
      <w:bookmarkEnd w:id="13"/>
      <w:r w:rsidRPr="00CC2BFB">
        <w:t>Competency field</w:t>
      </w:r>
    </w:p>
    <w:p w:rsidR="00000000" w:rsidRPr="00CC2BFB" w:rsidP="00CC2BFB">
      <w:pPr>
        <w:pStyle w:val="BodyText"/>
      </w:pPr>
      <w:r w:rsidRPr="00CC2BFB">
        <w:t>Working in Government.</w:t>
      </w:r>
    </w:p>
    <w:p w:rsidR="00000000" w:rsidRPr="00CC2BFB" w:rsidP="00CC2BFB"/>
    <w:sectPr w:rsidSect="00CC2B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B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19C0" w:rsidP="006819C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B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9C0" w:rsidP="00CC2BF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819C0" w:rsidP="00CC2BF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819C0" w:rsidP="00CC2BF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B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BFB" w:rsidRPr="006819C0" w:rsidP="006819C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B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9C0" w:rsidRPr="002D2AF8" w:rsidP="00CC2BFB">
    <w:pPr>
      <w:pStyle w:val="Header"/>
      <w:framePr w:wrap="around"/>
    </w:pPr>
    <w:r>
      <w:fldChar w:fldCharType="begin"/>
    </w:r>
    <w:r>
      <w:instrText xml:space="preserve"> TITLE   \* MERGEFORMAT </w:instrText>
    </w:r>
    <w:r>
      <w:fldChar w:fldCharType="separate"/>
    </w:r>
    <w:r>
      <w:t>PSPGOV503B Coordinate resource allocation and usage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6819C0" w:rsidP="00CC2B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B498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72BE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C8F8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2B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2BFB"/>
    <w:pPr>
      <w:spacing w:before="360" w:after="60"/>
      <w:outlineLvl w:val="0"/>
    </w:pPr>
    <w:rPr>
      <w:sz w:val="32"/>
    </w:rPr>
  </w:style>
  <w:style w:type="paragraph" w:styleId="Heading2">
    <w:name w:val="heading 2"/>
    <w:basedOn w:val="HeadingBase"/>
    <w:next w:val="BodyText"/>
    <w:link w:val="Heading2Char"/>
    <w:qFormat/>
    <w:rsid w:val="00CC2BFB"/>
    <w:pPr>
      <w:keepLines/>
      <w:spacing w:before="240" w:after="120"/>
      <w:outlineLvl w:val="1"/>
    </w:pPr>
    <w:rPr>
      <w:sz w:val="28"/>
      <w:szCs w:val="40"/>
    </w:rPr>
  </w:style>
  <w:style w:type="paragraph" w:styleId="Heading3">
    <w:name w:val="heading 3"/>
    <w:basedOn w:val="HeadingBase"/>
    <w:next w:val="BodyText"/>
    <w:link w:val="Heading3Char"/>
    <w:qFormat/>
    <w:rsid w:val="00CC2BFB"/>
    <w:pPr>
      <w:spacing w:before="180" w:after="120"/>
      <w:outlineLvl w:val="2"/>
    </w:pPr>
    <w:rPr>
      <w:spacing w:val="-10"/>
      <w:kern w:val="32"/>
    </w:rPr>
  </w:style>
  <w:style w:type="paragraph" w:styleId="Heading4">
    <w:name w:val="heading 4"/>
    <w:basedOn w:val="HeadingBase"/>
    <w:next w:val="BodyText"/>
    <w:link w:val="Heading4Char"/>
    <w:qFormat/>
    <w:rsid w:val="00CC2BFB"/>
    <w:pPr>
      <w:spacing w:before="160" w:after="120"/>
      <w:outlineLvl w:val="3"/>
    </w:pPr>
    <w:rPr>
      <w:sz w:val="22"/>
    </w:rPr>
  </w:style>
  <w:style w:type="paragraph" w:styleId="Heading5">
    <w:name w:val="heading 5"/>
    <w:basedOn w:val="HeadingBase"/>
    <w:next w:val="Normal"/>
    <w:link w:val="Heading5Char"/>
    <w:qFormat/>
    <w:rsid w:val="00CC2BFB"/>
    <w:pPr>
      <w:spacing w:before="80"/>
      <w:outlineLvl w:val="4"/>
    </w:pPr>
    <w:rPr>
      <w:color w:val="918585"/>
      <w:sz w:val="20"/>
    </w:rPr>
  </w:style>
  <w:style w:type="paragraph" w:styleId="Heading6">
    <w:name w:val="heading 6"/>
    <w:basedOn w:val="HeadingBase"/>
    <w:next w:val="Normal"/>
    <w:link w:val="Heading6Char"/>
    <w:qFormat/>
    <w:rsid w:val="00CC2BFB"/>
    <w:pPr>
      <w:spacing w:before="60"/>
      <w:outlineLvl w:val="5"/>
    </w:pPr>
    <w:rPr>
      <w:color w:val="918585"/>
      <w:sz w:val="20"/>
    </w:rPr>
  </w:style>
  <w:style w:type="paragraph" w:styleId="Heading7">
    <w:name w:val="heading 7"/>
    <w:basedOn w:val="Normal"/>
    <w:next w:val="Normal"/>
    <w:link w:val="Heading7Char"/>
    <w:qFormat/>
    <w:rsid w:val="00CC2BFB"/>
    <w:pPr>
      <w:ind w:left="720"/>
      <w:outlineLvl w:val="6"/>
    </w:pPr>
    <w:rPr>
      <w:i/>
    </w:rPr>
  </w:style>
  <w:style w:type="paragraph" w:styleId="Heading8">
    <w:name w:val="heading 8"/>
    <w:basedOn w:val="Normal"/>
    <w:next w:val="Normal"/>
    <w:link w:val="Heading8Char"/>
    <w:qFormat/>
    <w:rsid w:val="00CC2BFB"/>
    <w:pPr>
      <w:ind w:left="720"/>
      <w:outlineLvl w:val="7"/>
    </w:pPr>
    <w:rPr>
      <w:i/>
    </w:rPr>
  </w:style>
  <w:style w:type="paragraph" w:styleId="Heading9">
    <w:name w:val="heading 9"/>
    <w:basedOn w:val="Normal"/>
    <w:next w:val="Normal"/>
    <w:link w:val="Heading9Char"/>
    <w:qFormat/>
    <w:rsid w:val="00CC2BFB"/>
    <w:pPr>
      <w:ind w:left="720"/>
      <w:outlineLvl w:val="8"/>
    </w:pPr>
    <w:rPr>
      <w:i/>
    </w:rPr>
  </w:style>
  <w:style w:type="character" w:default="1" w:styleId="DefaultParagraphFont">
    <w:name w:val="Default Paragraph Font"/>
    <w:uiPriority w:val="1"/>
    <w:unhideWhenUsed/>
    <w:rsid w:val="00CC2B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2BFB"/>
  </w:style>
  <w:style w:type="character" w:customStyle="1" w:styleId="Heading1Char">
    <w:name w:val="Heading 1 Char"/>
    <w:basedOn w:val="DefaultParagraphFont"/>
    <w:link w:val="Heading1"/>
    <w:rsid w:val="00CC2BFB"/>
    <w:rPr>
      <w:rFonts w:ascii="Times New Roman" w:eastAsia="Times New Roman" w:hAnsi="Times New Roman" w:cs="Times New Roman"/>
      <w:b/>
      <w:sz w:val="32"/>
      <w:szCs w:val="20"/>
      <w:lang w:eastAsia="en-US"/>
    </w:rPr>
  </w:style>
  <w:style w:type="paragraph" w:styleId="BodyText">
    <w:name w:val="Body Text"/>
    <w:basedOn w:val="Normal"/>
    <w:link w:val="BodyTextChar"/>
    <w:rsid w:val="00CC2BF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2BFB"/>
    <w:rPr>
      <w:rFonts w:ascii="Times New Roman" w:eastAsia="Times New Roman" w:hAnsi="Times New Roman" w:cs="Times New Roman"/>
      <w:sz w:val="24"/>
      <w:lang w:eastAsia="en-US"/>
    </w:rPr>
  </w:style>
  <w:style w:type="paragraph" w:styleId="Footer">
    <w:name w:val="footer"/>
    <w:basedOn w:val="Normal"/>
    <w:link w:val="FooterChar"/>
    <w:rsid w:val="00CC2B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2BFB"/>
    <w:rPr>
      <w:rFonts w:ascii="Times New Roman" w:eastAsia="Times New Roman" w:hAnsi="Times New Roman" w:cs="Times New Roman"/>
      <w:sz w:val="16"/>
      <w:lang w:eastAsia="en-US"/>
    </w:rPr>
  </w:style>
  <w:style w:type="paragraph" w:styleId="List">
    <w:name w:val="List"/>
    <w:basedOn w:val="BodyText"/>
    <w:next w:val="BodyText"/>
    <w:rsid w:val="00CC2BFB"/>
    <w:pPr>
      <w:tabs>
        <w:tab w:val="left" w:pos="340"/>
      </w:tabs>
      <w:spacing w:before="60" w:after="60"/>
      <w:ind w:left="340" w:hanging="340"/>
    </w:pPr>
  </w:style>
  <w:style w:type="paragraph" w:styleId="ListBullet">
    <w:name w:val="List Bullet"/>
    <w:basedOn w:val="List"/>
    <w:rsid w:val="00CC2BFB"/>
    <w:pPr>
      <w:numPr>
        <w:numId w:val="13"/>
      </w:numPr>
      <w:tabs>
        <w:tab w:val="clear" w:pos="340"/>
      </w:tabs>
      <w:spacing w:before="40" w:after="40"/>
    </w:pPr>
  </w:style>
  <w:style w:type="character" w:customStyle="1" w:styleId="SpecialBold">
    <w:name w:val="Special Bold"/>
    <w:basedOn w:val="DefaultParagraphFont"/>
    <w:rsid w:val="00CC2BFB"/>
    <w:rPr>
      <w:b/>
      <w:spacing w:val="0"/>
    </w:rPr>
  </w:style>
  <w:style w:type="paragraph" w:styleId="ListBullet2">
    <w:name w:val="List Bullet 2"/>
    <w:basedOn w:val="List2"/>
    <w:rsid w:val="00CC2BFB"/>
    <w:pPr>
      <w:numPr>
        <w:numId w:val="14"/>
      </w:numPr>
      <w:tabs>
        <w:tab w:val="clear" w:pos="680"/>
      </w:tabs>
    </w:pPr>
  </w:style>
  <w:style w:type="character" w:styleId="Emphasis">
    <w:name w:val="Emphasis"/>
    <w:basedOn w:val="DefaultParagraphFont"/>
    <w:qFormat/>
    <w:rsid w:val="00CC2BFB"/>
    <w:rPr>
      <w:i/>
    </w:rPr>
  </w:style>
  <w:style w:type="paragraph" w:customStyle="1" w:styleId="SuperHeading">
    <w:name w:val="SuperHeading"/>
    <w:basedOn w:val="Normal"/>
    <w:rsid w:val="00CC2BFB"/>
    <w:pPr>
      <w:spacing w:before="240" w:after="120"/>
      <w:outlineLvl w:val="0"/>
    </w:pPr>
    <w:rPr>
      <w:rFonts w:ascii="Times New Roman" w:hAnsi="Times New Roman"/>
      <w:b/>
      <w:sz w:val="28"/>
    </w:rPr>
  </w:style>
  <w:style w:type="paragraph" w:customStyle="1" w:styleId="AllowPageBreak">
    <w:name w:val="AllowPageBreak"/>
    <w:rsid w:val="00CC2B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CC2BFB"/>
    <w:rPr>
      <w:u w:val="single"/>
    </w:rPr>
  </w:style>
  <w:style w:type="character" w:customStyle="1" w:styleId="BoldandItalics">
    <w:name w:val="Bold and Italics"/>
    <w:qFormat/>
    <w:rsid w:val="00CC2BFB"/>
    <w:rPr>
      <w:b/>
      <w:i/>
      <w:u w:val="none"/>
    </w:rPr>
  </w:style>
  <w:style w:type="character" w:customStyle="1" w:styleId="Heading2Char">
    <w:name w:val="Heading 2 Char"/>
    <w:basedOn w:val="DefaultParagraphFont"/>
    <w:link w:val="Heading2"/>
    <w:rsid w:val="00CC2B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2B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2B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2B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2B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2B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2B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2BFB"/>
    <w:rPr>
      <w:rFonts w:ascii="Courier New" w:eastAsia="Times New Roman" w:hAnsi="Courier New" w:cs="Times New Roman"/>
      <w:i/>
      <w:szCs w:val="20"/>
      <w:lang w:eastAsia="en-US"/>
    </w:rPr>
  </w:style>
  <w:style w:type="paragraph" w:customStyle="1" w:styleId="HeadingBase">
    <w:name w:val="Heading Base"/>
    <w:rsid w:val="00CC2B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2BFB"/>
    <w:pPr>
      <w:tabs>
        <w:tab w:val="right" w:leader="dot" w:pos="9072"/>
      </w:tabs>
      <w:ind w:left="567"/>
    </w:pPr>
    <w:rPr>
      <w:szCs w:val="22"/>
    </w:rPr>
  </w:style>
  <w:style w:type="paragraph" w:customStyle="1" w:styleId="TOCBase">
    <w:name w:val="TOC Base"/>
    <w:rsid w:val="00CC2B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2BFB"/>
    <w:pPr>
      <w:tabs>
        <w:tab w:val="right" w:leader="dot" w:pos="9072"/>
      </w:tabs>
      <w:spacing w:before="40" w:after="40"/>
      <w:ind w:left="284"/>
    </w:pPr>
    <w:rPr>
      <w:rFonts w:ascii="Times New Roman" w:hAnsi="Times New Roman"/>
    </w:rPr>
  </w:style>
  <w:style w:type="paragraph" w:styleId="TOC1">
    <w:name w:val="toc 1"/>
    <w:basedOn w:val="TOCBase"/>
    <w:next w:val="Normal"/>
    <w:rsid w:val="00CC2BF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C2BFB"/>
    <w:pPr>
      <w:spacing w:before="5040"/>
      <w:jc w:val="center"/>
    </w:pPr>
    <w:rPr>
      <w:sz w:val="48"/>
      <w:szCs w:val="72"/>
      <w:lang w:val="en-US"/>
    </w:rPr>
  </w:style>
  <w:style w:type="character" w:customStyle="1" w:styleId="TitleChar">
    <w:name w:val="Title Char"/>
    <w:basedOn w:val="DefaultParagraphFont"/>
    <w:link w:val="Title"/>
    <w:rsid w:val="00CC2B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2BFB"/>
    <w:pPr>
      <w:tabs>
        <w:tab w:val="left" w:pos="3600"/>
        <w:tab w:val="left" w:pos="3958"/>
      </w:tabs>
    </w:pPr>
  </w:style>
  <w:style w:type="paragraph" w:customStyle="1" w:styleId="Note">
    <w:name w:val="Note"/>
    <w:basedOn w:val="BodyText"/>
    <w:rsid w:val="00CC2B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2BFB"/>
    <w:pPr>
      <w:framePr w:wrap="auto" w:hAnchor="text" w:y="6049"/>
    </w:pPr>
    <w:rPr>
      <w:color w:val="000000"/>
      <w:sz w:val="40"/>
    </w:rPr>
  </w:style>
  <w:style w:type="paragraph" w:customStyle="1" w:styleId="TOCTitle">
    <w:name w:val="TOCTitle"/>
    <w:basedOn w:val="Heading1"/>
    <w:rsid w:val="00CC2BFB"/>
    <w:pPr>
      <w:spacing w:after="240"/>
      <w:jc w:val="center"/>
      <w:outlineLvl w:val="9"/>
    </w:pPr>
    <w:rPr>
      <w:caps/>
    </w:rPr>
  </w:style>
  <w:style w:type="paragraph" w:customStyle="1" w:styleId="Version">
    <w:name w:val="Version"/>
    <w:rsid w:val="00CC2B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2BFB"/>
    <w:pPr>
      <w:keepNext w:val="0"/>
      <w:tabs>
        <w:tab w:val="right" w:pos="4176"/>
      </w:tabs>
      <w:ind w:left="198" w:hanging="198"/>
    </w:pPr>
    <w:rPr>
      <w:rFonts w:ascii="Garamond" w:hAnsi="Garamond"/>
    </w:rPr>
  </w:style>
  <w:style w:type="paragraph" w:styleId="IndexHeading">
    <w:name w:val="index heading"/>
    <w:basedOn w:val="Normal"/>
    <w:next w:val="Index1"/>
    <w:semiHidden/>
    <w:rsid w:val="00CC2BFB"/>
    <w:pPr>
      <w:spacing w:before="120" w:after="120"/>
    </w:pPr>
    <w:rPr>
      <w:rFonts w:ascii="Arial" w:hAnsi="Arial"/>
      <w:b/>
      <w:color w:val="918585"/>
      <w:sz w:val="24"/>
    </w:rPr>
  </w:style>
  <w:style w:type="paragraph" w:styleId="Header">
    <w:name w:val="header"/>
    <w:basedOn w:val="Normal"/>
    <w:link w:val="HeaderChar"/>
    <w:rsid w:val="00CC2B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2BFB"/>
    <w:rPr>
      <w:rFonts w:ascii="Times New Roman" w:eastAsia="Times New Roman" w:hAnsi="Times New Roman" w:cs="Times New Roman"/>
      <w:sz w:val="16"/>
      <w:szCs w:val="20"/>
      <w:lang w:val="en-GB" w:eastAsia="en-US"/>
    </w:rPr>
  </w:style>
  <w:style w:type="paragraph" w:customStyle="1" w:styleId="Chapter">
    <w:name w:val="Chapter"/>
    <w:basedOn w:val="Normal"/>
    <w:rsid w:val="00CC2BFB"/>
    <w:pPr>
      <w:spacing w:before="240"/>
    </w:pPr>
    <w:rPr>
      <w:rFonts w:ascii="Times New Roman" w:hAnsi="Times New Roman"/>
      <w:smallCaps/>
      <w:spacing w:val="80"/>
      <w:sz w:val="28"/>
    </w:rPr>
  </w:style>
  <w:style w:type="paragraph" w:customStyle="1" w:styleId="InChapter">
    <w:name w:val="InChapter"/>
    <w:basedOn w:val="Heading3"/>
    <w:rsid w:val="00CC2BFB"/>
    <w:pPr>
      <w:spacing w:after="240"/>
      <w:outlineLvl w:val="9"/>
    </w:pPr>
    <w:rPr>
      <w:noProof/>
    </w:rPr>
  </w:style>
  <w:style w:type="paragraph" w:styleId="Index2">
    <w:name w:val="index 2"/>
    <w:basedOn w:val="Normal"/>
    <w:next w:val="Normal"/>
    <w:semiHidden/>
    <w:rsid w:val="00CC2BFB"/>
    <w:pPr>
      <w:tabs>
        <w:tab w:val="right" w:pos="4176"/>
      </w:tabs>
      <w:ind w:left="568" w:hanging="284"/>
    </w:pPr>
    <w:rPr>
      <w:rFonts w:ascii="Garamond" w:hAnsi="Garamond"/>
    </w:rPr>
  </w:style>
  <w:style w:type="paragraph" w:customStyle="1" w:styleId="Byline">
    <w:name w:val="Byline"/>
    <w:rsid w:val="00CC2B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2BFB"/>
    <w:pPr>
      <w:tabs>
        <w:tab w:val="clear" w:pos="3600"/>
        <w:tab w:val="clear" w:pos="3958"/>
      </w:tabs>
      <w:jc w:val="right"/>
    </w:pPr>
  </w:style>
  <w:style w:type="paragraph" w:styleId="Caption">
    <w:name w:val="caption"/>
    <w:basedOn w:val="BodyText"/>
    <w:next w:val="Normal"/>
    <w:qFormat/>
    <w:rsid w:val="00CC2BFB"/>
    <w:pPr>
      <w:framePr w:w="2268" w:hSpace="181" w:vSpace="181" w:wrap="around" w:vAnchor="text" w:hAnchor="page" w:x="1135" w:y="285" w:anchorLock="1"/>
    </w:pPr>
    <w:rPr>
      <w:i/>
    </w:rPr>
  </w:style>
  <w:style w:type="paragraph" w:customStyle="1" w:styleId="MiniTOCTitle">
    <w:name w:val="MiniTOCTitle"/>
    <w:basedOn w:val="Heading4"/>
    <w:rsid w:val="00CC2BFB"/>
    <w:pPr>
      <w:spacing w:before="240"/>
      <w:outlineLvl w:val="9"/>
    </w:pPr>
    <w:rPr>
      <w:noProof/>
      <w:sz w:val="24"/>
    </w:rPr>
  </w:style>
  <w:style w:type="paragraph" w:customStyle="1" w:styleId="MiniTOCItem">
    <w:name w:val="MiniTOCItem"/>
    <w:basedOn w:val="ListBullet"/>
    <w:rsid w:val="00CC2BFB"/>
    <w:pPr>
      <w:numPr>
        <w:numId w:val="0"/>
      </w:numPr>
      <w:tabs>
        <w:tab w:val="right" w:leader="dot" w:pos="6521"/>
      </w:tabs>
      <w:spacing w:before="0" w:after="0"/>
    </w:pPr>
  </w:style>
  <w:style w:type="paragraph" w:customStyle="1" w:styleId="TOFTitle">
    <w:name w:val="TOFTitle"/>
    <w:basedOn w:val="TOCTitle"/>
    <w:rsid w:val="00CC2BFB"/>
  </w:style>
  <w:style w:type="paragraph" w:styleId="TableofFigures">
    <w:name w:val="table of figures"/>
    <w:basedOn w:val="Normal"/>
    <w:next w:val="Normal"/>
    <w:semiHidden/>
    <w:rsid w:val="00CC2BFB"/>
    <w:pPr>
      <w:tabs>
        <w:tab w:val="right" w:leader="dot" w:pos="9072"/>
      </w:tabs>
      <w:ind w:left="970" w:hanging="403"/>
    </w:pPr>
    <w:rPr>
      <w:rFonts w:ascii="Times New Roman" w:hAnsi="Times New Roman"/>
      <w:b/>
    </w:rPr>
  </w:style>
  <w:style w:type="paragraph" w:styleId="ListNumber">
    <w:name w:val="List Number"/>
    <w:basedOn w:val="List"/>
    <w:rsid w:val="00CC2BFB"/>
    <w:pPr>
      <w:numPr>
        <w:numId w:val="11"/>
      </w:numPr>
    </w:pPr>
  </w:style>
  <w:style w:type="character" w:customStyle="1" w:styleId="WingdingSymbols">
    <w:name w:val="Wingding Symbols"/>
    <w:rsid w:val="00CC2BFB"/>
    <w:rPr>
      <w:rFonts w:ascii="Wingdings" w:hAnsi="Wingdings"/>
    </w:rPr>
  </w:style>
  <w:style w:type="paragraph" w:customStyle="1" w:styleId="TableHeading">
    <w:name w:val="Table Heading"/>
    <w:basedOn w:val="HeadingBase"/>
    <w:rsid w:val="00CC2BFB"/>
    <w:pPr>
      <w:keepLines/>
      <w:pBdr>
        <w:bottom w:val="single" w:sz="6" w:space="1" w:color="918585"/>
      </w:pBdr>
      <w:spacing w:before="240"/>
    </w:pPr>
  </w:style>
  <w:style w:type="character" w:customStyle="1" w:styleId="HotSpot">
    <w:name w:val="HotSpot"/>
    <w:rsid w:val="00CC2BFB"/>
    <w:rPr>
      <w:color w:val="0033CC"/>
      <w:u w:val="none"/>
    </w:rPr>
  </w:style>
  <w:style w:type="paragraph" w:customStyle="1" w:styleId="BodyTextRight">
    <w:name w:val="Body Text Right"/>
    <w:basedOn w:val="BodyText"/>
    <w:rsid w:val="00CC2BFB"/>
    <w:pPr>
      <w:spacing w:before="0" w:after="0"/>
      <w:jc w:val="right"/>
    </w:pPr>
  </w:style>
  <w:style w:type="paragraph" w:styleId="Index3">
    <w:name w:val="index 3"/>
    <w:basedOn w:val="ListNumber2"/>
    <w:next w:val="Normal"/>
    <w:semiHidden/>
    <w:rsid w:val="00CC2BFB"/>
    <w:pPr>
      <w:numPr>
        <w:numId w:val="0"/>
      </w:numPr>
      <w:tabs>
        <w:tab w:val="right" w:leader="dot" w:pos="4176"/>
      </w:tabs>
    </w:pPr>
  </w:style>
  <w:style w:type="paragraph" w:styleId="ListNumber2">
    <w:name w:val="List Number 2"/>
    <w:basedOn w:val="List2"/>
    <w:rsid w:val="00CC2BFB"/>
    <w:pPr>
      <w:numPr>
        <w:numId w:val="10"/>
      </w:numPr>
      <w:tabs>
        <w:tab w:val="clear" w:pos="1060"/>
      </w:tabs>
    </w:pPr>
  </w:style>
  <w:style w:type="paragraph" w:customStyle="1" w:styleId="MarginNote">
    <w:name w:val="Margin Note"/>
    <w:basedOn w:val="BodyText"/>
    <w:rsid w:val="00CC2B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2B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2B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2BFB"/>
    <w:rPr>
      <w:sz w:val="32"/>
    </w:rPr>
  </w:style>
  <w:style w:type="paragraph" w:customStyle="1" w:styleId="HeadingProcedure">
    <w:name w:val="Heading Procedure"/>
    <w:basedOn w:val="HeadingBase"/>
    <w:next w:val="Normal"/>
    <w:rsid w:val="00CC2BFB"/>
    <w:pPr>
      <w:tabs>
        <w:tab w:val="left" w:pos="0"/>
      </w:tabs>
      <w:spacing w:before="120" w:after="60"/>
    </w:pPr>
    <w:rPr>
      <w:i/>
      <w:color w:val="918585"/>
      <w:sz w:val="22"/>
    </w:rPr>
  </w:style>
  <w:style w:type="paragraph" w:customStyle="1" w:styleId="TableBodyText">
    <w:name w:val="Table Body Text"/>
    <w:basedOn w:val="BodyText"/>
    <w:rsid w:val="00CC2BFB"/>
    <w:pPr>
      <w:spacing w:before="60" w:after="60"/>
    </w:pPr>
  </w:style>
  <w:style w:type="paragraph" w:styleId="ListContinue">
    <w:name w:val="List Continue"/>
    <w:basedOn w:val="List"/>
    <w:rsid w:val="00CC2BFB"/>
    <w:pPr>
      <w:ind w:firstLine="0"/>
    </w:pPr>
  </w:style>
  <w:style w:type="paragraph" w:customStyle="1" w:styleId="ListNote">
    <w:name w:val="List Note"/>
    <w:basedOn w:val="List"/>
    <w:rsid w:val="00CC2BFB"/>
    <w:pPr>
      <w:pBdr>
        <w:top w:val="single" w:sz="6" w:space="2" w:color="918585"/>
        <w:bottom w:val="single" w:sz="6" w:space="2" w:color="918585"/>
      </w:pBdr>
      <w:tabs>
        <w:tab w:val="left" w:pos="1021"/>
      </w:tabs>
      <w:ind w:firstLine="0"/>
    </w:pPr>
  </w:style>
  <w:style w:type="paragraph" w:customStyle="1" w:styleId="Warning">
    <w:name w:val="Warning"/>
    <w:basedOn w:val="BodyText"/>
    <w:rsid w:val="00CC2BFB"/>
    <w:pPr>
      <w:shd w:val="clear" w:color="auto" w:fill="D9D9D9"/>
      <w:tabs>
        <w:tab w:val="left" w:pos="992"/>
      </w:tabs>
      <w:ind w:left="119" w:right="119"/>
    </w:pPr>
    <w:rPr>
      <w:sz w:val="20"/>
    </w:rPr>
  </w:style>
  <w:style w:type="paragraph" w:customStyle="1" w:styleId="MarginIcons">
    <w:name w:val="Margin Icons"/>
    <w:basedOn w:val="BodyText"/>
    <w:rsid w:val="00CC2B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2BFB"/>
    <w:rPr>
      <w:rFonts w:ascii="Courier New" w:hAnsi="Courier New"/>
    </w:rPr>
  </w:style>
  <w:style w:type="paragraph" w:customStyle="1" w:styleId="NoteBullet">
    <w:name w:val="Note Bullet"/>
    <w:basedOn w:val="Note"/>
    <w:rsid w:val="00CC2BFB"/>
    <w:pPr>
      <w:tabs>
        <w:tab w:val="clear" w:pos="680"/>
      </w:tabs>
      <w:spacing w:before="60" w:after="60"/>
    </w:pPr>
  </w:style>
  <w:style w:type="paragraph" w:customStyle="1" w:styleId="SubHeading2">
    <w:name w:val="SubHeading2"/>
    <w:basedOn w:val="HeadingBase"/>
    <w:rsid w:val="00CC2BFB"/>
    <w:pPr>
      <w:spacing w:before="240" w:after="60"/>
    </w:pPr>
    <w:rPr>
      <w:sz w:val="20"/>
    </w:rPr>
  </w:style>
  <w:style w:type="paragraph" w:customStyle="1" w:styleId="SubHeading1">
    <w:name w:val="SubHeading1"/>
    <w:basedOn w:val="HeadingBase"/>
    <w:rsid w:val="00CC2BFB"/>
    <w:pPr>
      <w:spacing w:before="240" w:after="60"/>
    </w:pPr>
    <w:rPr>
      <w:color w:val="918585"/>
      <w:sz w:val="22"/>
    </w:rPr>
  </w:style>
  <w:style w:type="paragraph" w:customStyle="1" w:styleId="SideHeading">
    <w:name w:val="Side Heading"/>
    <w:basedOn w:val="HeadingBase"/>
    <w:rsid w:val="00CC2B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2BFB"/>
    <w:pPr>
      <w:numPr>
        <w:numId w:val="12"/>
      </w:numPr>
    </w:pPr>
  </w:style>
  <w:style w:type="paragraph" w:styleId="PlainText">
    <w:name w:val="Plain Text"/>
    <w:basedOn w:val="Normal"/>
    <w:link w:val="PlainTextChar"/>
    <w:rsid w:val="00CC2BFB"/>
    <w:rPr>
      <w:sz w:val="20"/>
    </w:rPr>
  </w:style>
  <w:style w:type="character" w:customStyle="1" w:styleId="PlainTextChar">
    <w:name w:val="Plain Text Char"/>
    <w:basedOn w:val="DefaultParagraphFont"/>
    <w:link w:val="PlainText"/>
    <w:rsid w:val="00CC2BFB"/>
    <w:rPr>
      <w:rFonts w:ascii="Courier New" w:eastAsia="Times New Roman" w:hAnsi="Courier New" w:cs="Times New Roman"/>
      <w:sz w:val="20"/>
      <w:szCs w:val="20"/>
      <w:lang w:eastAsia="en-US"/>
    </w:rPr>
  </w:style>
  <w:style w:type="character" w:customStyle="1" w:styleId="MenuOption">
    <w:name w:val="Menu Option"/>
    <w:basedOn w:val="DefaultParagraphFont"/>
    <w:rsid w:val="00CC2BFB"/>
    <w:rPr>
      <w:b/>
      <w:smallCaps/>
    </w:rPr>
  </w:style>
  <w:style w:type="paragraph" w:customStyle="1" w:styleId="TableListNumber">
    <w:name w:val="Table List Number"/>
    <w:basedOn w:val="ListNumber"/>
    <w:rsid w:val="00CC2BFB"/>
    <w:pPr>
      <w:numPr>
        <w:numId w:val="0"/>
      </w:numPr>
    </w:pPr>
  </w:style>
  <w:style w:type="paragraph" w:styleId="TOC4">
    <w:name w:val="toc 4"/>
    <w:basedOn w:val="TOCBase"/>
    <w:next w:val="Normal"/>
    <w:semiHidden/>
    <w:rsid w:val="00CC2BFB"/>
    <w:pPr>
      <w:tabs>
        <w:tab w:val="right" w:leader="dot" w:pos="9071"/>
      </w:tabs>
      <w:ind w:left="1701"/>
    </w:pPr>
  </w:style>
  <w:style w:type="paragraph" w:customStyle="1" w:styleId="ListAlpha">
    <w:name w:val="List Alpha"/>
    <w:basedOn w:val="List"/>
    <w:rsid w:val="00CC2BFB"/>
    <w:pPr>
      <w:numPr>
        <w:numId w:val="9"/>
      </w:numPr>
    </w:pPr>
  </w:style>
  <w:style w:type="paragraph" w:customStyle="1" w:styleId="ListAlpha2">
    <w:name w:val="List Alpha 2"/>
    <w:basedOn w:val="List2"/>
    <w:rsid w:val="00CC2BFB"/>
    <w:pPr>
      <w:numPr>
        <w:numId w:val="8"/>
      </w:numPr>
    </w:pPr>
  </w:style>
  <w:style w:type="paragraph" w:styleId="List2">
    <w:name w:val="List 2"/>
    <w:basedOn w:val="BodyText"/>
    <w:rsid w:val="00CC2BFB"/>
    <w:pPr>
      <w:tabs>
        <w:tab w:val="left" w:pos="680"/>
      </w:tabs>
      <w:spacing w:before="60" w:after="60"/>
      <w:ind w:left="680" w:hanging="340"/>
    </w:pPr>
  </w:style>
  <w:style w:type="paragraph" w:styleId="List3">
    <w:name w:val="List 3"/>
    <w:basedOn w:val="BodyText"/>
    <w:rsid w:val="00CC2BFB"/>
    <w:pPr>
      <w:tabs>
        <w:tab w:val="left" w:pos="1021"/>
      </w:tabs>
      <w:spacing w:before="60" w:after="60"/>
      <w:ind w:left="1020" w:hanging="340"/>
    </w:pPr>
  </w:style>
  <w:style w:type="paragraph" w:styleId="List4">
    <w:name w:val="List 4"/>
    <w:basedOn w:val="BodyText"/>
    <w:rsid w:val="00CC2BFB"/>
    <w:pPr>
      <w:tabs>
        <w:tab w:val="left" w:pos="1361"/>
      </w:tabs>
      <w:spacing w:before="60" w:after="60"/>
      <w:ind w:left="1361" w:hanging="340"/>
    </w:pPr>
  </w:style>
  <w:style w:type="paragraph" w:styleId="List5">
    <w:name w:val="List 5"/>
    <w:basedOn w:val="BodyText"/>
    <w:rsid w:val="00CC2BFB"/>
    <w:pPr>
      <w:tabs>
        <w:tab w:val="left" w:pos="1701"/>
      </w:tabs>
      <w:spacing w:before="60" w:after="60"/>
      <w:ind w:left="1701" w:hanging="340"/>
    </w:pPr>
  </w:style>
  <w:style w:type="paragraph" w:styleId="ListBullet3">
    <w:name w:val="List Bullet 3"/>
    <w:basedOn w:val="List3"/>
    <w:rsid w:val="00CC2BFB"/>
    <w:pPr>
      <w:numPr>
        <w:numId w:val="15"/>
      </w:numPr>
      <w:tabs>
        <w:tab w:val="clear" w:pos="1021"/>
      </w:tabs>
      <w:ind w:left="1037" w:hanging="357"/>
    </w:pPr>
  </w:style>
  <w:style w:type="paragraph" w:styleId="ListBullet4">
    <w:name w:val="List Bullet 4"/>
    <w:basedOn w:val="List4"/>
    <w:rsid w:val="00CC2BFB"/>
    <w:pPr>
      <w:numPr>
        <w:numId w:val="3"/>
      </w:numPr>
    </w:pPr>
  </w:style>
  <w:style w:type="paragraph" w:styleId="ListBullet5">
    <w:name w:val="List Bullet 5"/>
    <w:basedOn w:val="List5"/>
    <w:rsid w:val="00CC2BFB"/>
    <w:pPr>
      <w:numPr>
        <w:numId w:val="4"/>
      </w:numPr>
    </w:pPr>
  </w:style>
  <w:style w:type="paragraph" w:styleId="ListContinue2">
    <w:name w:val="List Continue 2"/>
    <w:basedOn w:val="List2"/>
    <w:rsid w:val="00CC2BFB"/>
    <w:pPr>
      <w:ind w:firstLine="0"/>
    </w:pPr>
  </w:style>
  <w:style w:type="paragraph" w:styleId="ListContinue3">
    <w:name w:val="List Continue 3"/>
    <w:basedOn w:val="List3"/>
    <w:rsid w:val="00CC2BFB"/>
    <w:pPr>
      <w:ind w:left="1021" w:firstLine="0"/>
    </w:pPr>
  </w:style>
  <w:style w:type="paragraph" w:styleId="ListContinue4">
    <w:name w:val="List Continue 4"/>
    <w:basedOn w:val="List4"/>
    <w:rsid w:val="00CC2BFB"/>
    <w:pPr>
      <w:ind w:firstLine="0"/>
    </w:pPr>
  </w:style>
  <w:style w:type="paragraph" w:styleId="ListContinue5">
    <w:name w:val="List Continue 5"/>
    <w:basedOn w:val="List5"/>
    <w:rsid w:val="00CC2BFB"/>
    <w:pPr>
      <w:ind w:firstLine="0"/>
    </w:pPr>
  </w:style>
  <w:style w:type="paragraph" w:styleId="ListNumber3">
    <w:name w:val="List Number 3"/>
    <w:basedOn w:val="List3"/>
    <w:rsid w:val="00CC2BFB"/>
    <w:pPr>
      <w:numPr>
        <w:numId w:val="5"/>
      </w:numPr>
    </w:pPr>
  </w:style>
  <w:style w:type="paragraph" w:styleId="ListNumber4">
    <w:name w:val="List Number 4"/>
    <w:basedOn w:val="List4"/>
    <w:rsid w:val="00CC2BFB"/>
    <w:pPr>
      <w:numPr>
        <w:numId w:val="6"/>
      </w:numPr>
    </w:pPr>
  </w:style>
  <w:style w:type="paragraph" w:styleId="ListNumber5">
    <w:name w:val="List Number 5"/>
    <w:basedOn w:val="List5"/>
    <w:rsid w:val="00CC2BFB"/>
    <w:pPr>
      <w:numPr>
        <w:numId w:val="7"/>
      </w:numPr>
    </w:pPr>
  </w:style>
  <w:style w:type="paragraph" w:styleId="BlockText">
    <w:name w:val="Block Text"/>
    <w:basedOn w:val="Normal"/>
    <w:rsid w:val="00CC2BFB"/>
    <w:pPr>
      <w:spacing w:after="120"/>
      <w:ind w:left="1440" w:right="1440"/>
    </w:pPr>
  </w:style>
  <w:style w:type="character" w:customStyle="1" w:styleId="Subscript">
    <w:name w:val="Subscript"/>
    <w:basedOn w:val="DefaultParagraphFont"/>
    <w:rsid w:val="00CC2BFB"/>
    <w:rPr>
      <w:sz w:val="16"/>
      <w:vertAlign w:val="subscript"/>
    </w:rPr>
  </w:style>
  <w:style w:type="character" w:customStyle="1" w:styleId="Superscript">
    <w:name w:val="Superscript"/>
    <w:basedOn w:val="DefaultParagraphFont"/>
    <w:rsid w:val="00CC2BFB"/>
    <w:rPr>
      <w:sz w:val="16"/>
      <w:vertAlign w:val="superscript"/>
    </w:rPr>
  </w:style>
  <w:style w:type="character" w:customStyle="1" w:styleId="Symbols">
    <w:name w:val="Symbols"/>
    <w:basedOn w:val="DefaultParagraphFont"/>
    <w:rsid w:val="00CC2BFB"/>
    <w:rPr>
      <w:rFonts w:ascii="Symbol" w:hAnsi="Symbol"/>
    </w:rPr>
  </w:style>
  <w:style w:type="character" w:customStyle="1" w:styleId="MenuOptions">
    <w:name w:val="Menu Options"/>
    <w:basedOn w:val="DefaultParagraphFont"/>
    <w:rsid w:val="00CC2BFB"/>
    <w:rPr>
      <w:rFonts w:ascii="Arial Narrow" w:hAnsi="Arial Narrow"/>
      <w:smallCaps/>
    </w:rPr>
  </w:style>
  <w:style w:type="character" w:customStyle="1" w:styleId="Buttons">
    <w:name w:val="Buttons"/>
    <w:basedOn w:val="DefaultParagraphFont"/>
    <w:rsid w:val="00CC2BFB"/>
    <w:rPr>
      <w:b/>
    </w:rPr>
  </w:style>
  <w:style w:type="character" w:customStyle="1" w:styleId="Underlined">
    <w:name w:val="Underlined"/>
    <w:basedOn w:val="DefaultParagraphFont"/>
    <w:rsid w:val="00CC2BFB"/>
    <w:rPr>
      <w:u w:val="single"/>
    </w:rPr>
  </w:style>
  <w:style w:type="paragraph" w:customStyle="1" w:styleId="TableBodyTextRight">
    <w:name w:val="Table Body Text Right"/>
    <w:basedOn w:val="TableBodyText"/>
    <w:rsid w:val="00CC2BFB"/>
    <w:pPr>
      <w:widowControl w:val="0"/>
      <w:autoSpaceDE w:val="0"/>
      <w:autoSpaceDN w:val="0"/>
      <w:adjustRightInd w:val="0"/>
      <w:jc w:val="right"/>
    </w:pPr>
    <w:rPr>
      <w:rFonts w:cs="Arial"/>
      <w:szCs w:val="18"/>
    </w:rPr>
  </w:style>
  <w:style w:type="paragraph" w:customStyle="1" w:styleId="CopyrightText">
    <w:name w:val="Copyright Text"/>
    <w:basedOn w:val="BodyText"/>
    <w:rsid w:val="00CC2BFB"/>
    <w:rPr>
      <w:sz w:val="18"/>
    </w:rPr>
  </w:style>
  <w:style w:type="paragraph" w:customStyle="1" w:styleId="BodySmallRight">
    <w:name w:val="Body Small Right"/>
    <w:basedOn w:val="BodyTextRight"/>
    <w:rsid w:val="00CC2BFB"/>
    <w:rPr>
      <w:sz w:val="18"/>
      <w:szCs w:val="18"/>
    </w:rPr>
  </w:style>
  <w:style w:type="paragraph" w:customStyle="1" w:styleId="MarginEdition">
    <w:name w:val="Margin Edition"/>
    <w:basedOn w:val="MarginNote"/>
    <w:rsid w:val="00CC2BFB"/>
    <w:pPr>
      <w:spacing w:before="0" w:after="0"/>
    </w:pPr>
    <w:rPr>
      <w:rFonts w:ascii="Times New Roman" w:hAnsi="Times New Roman"/>
      <w:color w:val="999999"/>
    </w:rPr>
  </w:style>
  <w:style w:type="paragraph" w:customStyle="1" w:styleId="Spacer">
    <w:name w:val="Spacer"/>
    <w:basedOn w:val="Normal"/>
    <w:rsid w:val="00CC2BFB"/>
    <w:rPr>
      <w:sz w:val="2"/>
      <w:szCs w:val="2"/>
    </w:rPr>
  </w:style>
  <w:style w:type="character" w:customStyle="1" w:styleId="Small">
    <w:name w:val="Small"/>
    <w:basedOn w:val="DefaultParagraphFont"/>
    <w:rsid w:val="00CC2BFB"/>
    <w:rPr>
      <w:sz w:val="16"/>
    </w:rPr>
  </w:style>
  <w:style w:type="paragraph" w:customStyle="1" w:styleId="WideTable">
    <w:name w:val="Wide Table"/>
    <w:basedOn w:val="Normal"/>
    <w:rsid w:val="00CC2BFB"/>
    <w:pPr>
      <w:ind w:left="-1418"/>
    </w:pPr>
    <w:rPr>
      <w:sz w:val="2"/>
      <w:szCs w:val="2"/>
    </w:rPr>
  </w:style>
  <w:style w:type="character" w:styleId="PageNumber">
    <w:name w:val="page number"/>
    <w:basedOn w:val="DefaultParagraphFont"/>
    <w:rsid w:val="00CC2BFB"/>
  </w:style>
  <w:style w:type="paragraph" w:styleId="Quote">
    <w:name w:val="Quote"/>
    <w:basedOn w:val="Heading1"/>
    <w:link w:val="QuoteChar"/>
    <w:qFormat/>
    <w:rsid w:val="00CC2BFB"/>
    <w:rPr>
      <w:b w:val="0"/>
      <w:sz w:val="72"/>
      <w:szCs w:val="72"/>
      <w:lang w:val="en-NZ"/>
    </w:rPr>
  </w:style>
  <w:style w:type="character" w:customStyle="1" w:styleId="QuoteChar">
    <w:name w:val="Quote Char"/>
    <w:basedOn w:val="DefaultParagraphFont"/>
    <w:link w:val="Quote"/>
    <w:rsid w:val="00CC2B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2BFB"/>
    <w:pPr>
      <w:pageBreakBefore/>
    </w:pPr>
  </w:style>
  <w:style w:type="paragraph" w:customStyle="1" w:styleId="Border">
    <w:name w:val="Border"/>
    <w:basedOn w:val="Normal"/>
    <w:qFormat/>
    <w:rsid w:val="00CC2B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2BFB"/>
    <w:rPr>
      <w:b/>
      <w:bCs/>
      <w:i/>
      <w:iCs/>
      <w:color w:val="auto"/>
    </w:rPr>
  </w:style>
  <w:style w:type="paragraph" w:styleId="IntenseQuote">
    <w:name w:val="Intense Quote"/>
    <w:basedOn w:val="Normal"/>
    <w:next w:val="Normal"/>
    <w:link w:val="IntenseQuoteChar"/>
    <w:uiPriority w:val="30"/>
    <w:qFormat/>
    <w:rsid w:val="00CC2B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2B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2BFB"/>
    <w:rPr>
      <w:smallCaps/>
      <w:color w:val="auto"/>
      <w:u w:val="single"/>
    </w:rPr>
  </w:style>
  <w:style w:type="character" w:styleId="IntenseReference">
    <w:name w:val="Intense Reference"/>
    <w:basedOn w:val="DefaultParagraphFont"/>
    <w:uiPriority w:val="32"/>
    <w:qFormat/>
    <w:rsid w:val="00CC2BFB"/>
    <w:rPr>
      <w:b/>
      <w:bCs/>
      <w:smallCaps/>
      <w:color w:val="auto"/>
      <w:spacing w:val="5"/>
      <w:u w:val="single"/>
    </w:rPr>
  </w:style>
  <w:style w:type="paragraph" w:customStyle="1" w:styleId="2ColumnHeading">
    <w:name w:val="2Column Heading"/>
    <w:basedOn w:val="BodyText"/>
    <w:qFormat/>
    <w:rsid w:val="00CC2BFB"/>
    <w:pPr>
      <w:spacing w:after="60"/>
      <w:ind w:left="-2268"/>
    </w:pPr>
    <w:rPr>
      <w:b/>
    </w:rPr>
  </w:style>
  <w:style w:type="paragraph" w:customStyle="1" w:styleId="Heading1TOC">
    <w:name w:val="Heading1 TOC"/>
    <w:basedOn w:val="Normal"/>
    <w:qFormat/>
    <w:rsid w:val="00CC2BFB"/>
    <w:pPr>
      <w:spacing w:before="240" w:after="120"/>
    </w:pPr>
    <w:rPr>
      <w:rFonts w:ascii="Times New Roman" w:hAnsi="Times New Roman"/>
      <w:b/>
      <w:sz w:val="32"/>
    </w:rPr>
  </w:style>
  <w:style w:type="paragraph" w:customStyle="1" w:styleId="Heading2TOC">
    <w:name w:val="Heading2 TOC"/>
    <w:basedOn w:val="Normal"/>
    <w:qFormat/>
    <w:rsid w:val="00CC2BFB"/>
    <w:pPr>
      <w:spacing w:before="240" w:after="60"/>
    </w:pPr>
    <w:rPr>
      <w:rFonts w:ascii="Times New Roman" w:hAnsi="Times New Roman"/>
      <w:b/>
      <w:sz w:val="28"/>
    </w:rPr>
  </w:style>
  <w:style w:type="paragraph" w:styleId="BalloonText">
    <w:name w:val="Balloon Text"/>
    <w:basedOn w:val="Normal"/>
    <w:link w:val="BalloonTextChar"/>
    <w:rsid w:val="00CC2BFB"/>
    <w:rPr>
      <w:rFonts w:ascii="Tahoma" w:hAnsi="Tahoma" w:cs="Tahoma"/>
      <w:sz w:val="16"/>
      <w:szCs w:val="16"/>
    </w:rPr>
  </w:style>
  <w:style w:type="character" w:customStyle="1" w:styleId="BalloonTextChar">
    <w:name w:val="Balloon Text Char"/>
    <w:basedOn w:val="DefaultParagraphFont"/>
    <w:link w:val="BalloonText"/>
    <w:rsid w:val="00CC2B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2BF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2B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2BFB"/>
    <w:rPr>
      <w:b/>
      <w:color w:val="660033"/>
      <w:spacing w:val="0"/>
    </w:rPr>
  </w:style>
  <w:style w:type="paragraph" w:customStyle="1" w:styleId="Nameditemlist">
    <w:name w:val="Named item list"/>
    <w:basedOn w:val="BodyText"/>
    <w:qFormat/>
    <w:rsid w:val="00CC2BF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1142</Words>
  <Characters>7293</Characters>
  <Application>Microsoft Office Word</Application>
  <DocSecurity>0</DocSecurity>
  <Lines>236</Lines>
  <Paragraphs>146</Paragraphs>
  <ScaleCrop>false</ScaleCrop>
  <Company>Author-it Software Corporation Ltd.</Company>
  <LinksUpToDate>false</LinksUpToDate>
  <CharactersWithSpaces>8379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PSPGOV503B Coordinate resource allocation and usage</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2012-11-01T18:27:00Z</dcterms:created>
  <dcterms:modified xsi:type="dcterms:W3CDTF">2012-11-01T18:27:00Z</dcterms:modified>
</cp:coreProperties>
</file>