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F3F" w:rsidP="00574F3F">
      <w:pPr>
        <w:pStyle w:val="Title"/>
      </w:pPr>
      <w:bookmarkStart w:id="0" w:name="_GoBack"/>
      <w:bookmarkEnd w:id="0"/>
      <w:r>
        <w:fldChar w:fldCharType="begin"/>
      </w:r>
      <w:r>
        <w:instrText xml:space="preserve"> TITLE   \* MERGEFORMAT </w:instrText>
      </w:r>
      <w:r>
        <w:fldChar w:fldCharType="separate"/>
      </w:r>
      <w:r>
        <w:t>PSPGOV422A Apply government processes</w:t>
      </w:r>
      <w:r>
        <w:fldChar w:fldCharType="end"/>
      </w:r>
    </w:p>
    <w:p w:rsidR="00574F3F" w:rsidP="00574F3F">
      <w:pPr>
        <w:pStyle w:val="Version"/>
        <w:sectPr w:rsidSect="00E73C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E73C98" w:rsidP="00E73C98">
      <w:pPr>
        <w:pStyle w:val="SuperHeading"/>
      </w:pPr>
      <w:r w:rsidRPr="00E73C98">
        <w:t>PSPGOV422A Apply government processes</w:t>
      </w:r>
    </w:p>
    <w:p w:rsidR="00000000" w:rsidRPr="00E73C98" w:rsidP="00E73C98">
      <w:pPr>
        <w:pStyle w:val="SuperHeading"/>
      </w:pPr>
    </w:p>
    <w:p w:rsidR="00000000" w:rsidRPr="00E73C98" w:rsidP="00E73C98">
      <w:pPr>
        <w:pStyle w:val="Heading1"/>
      </w:pPr>
      <w:bookmarkStart w:id="1" w:name="O_493282"/>
      <w:bookmarkEnd w:id="1"/>
      <w:r w:rsidRPr="00E73C98">
        <w:t>Modification History</w:t>
      </w:r>
    </w:p>
    <w:tbl>
      <w:tblPr>
        <w:tblW w:w="0" w:type="auto"/>
        <w:tblLayout w:type="fixed"/>
        <w:tblCellMar>
          <w:left w:w="62" w:type="dxa"/>
          <w:right w:w="62" w:type="dxa"/>
        </w:tblCellMar>
        <w:tblLook w:val="0000"/>
      </w:tblPr>
      <w:tblGrid>
        <w:gridCol w:w="3052"/>
        <w:gridCol w:w="3052"/>
        <w:gridCol w:w="3052"/>
      </w:tblGrid>
      <w:tr w:rsidTr="00574F3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C98" w:rsidP="00E73C98">
            <w:pPr>
              <w:pStyle w:val="BodyText"/>
            </w:pPr>
            <w:r w:rsidRPr="00E73C9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C98" w:rsidP="00E73C98">
            <w:pPr>
              <w:pStyle w:val="BodyText"/>
            </w:pPr>
            <w:r w:rsidRPr="00E73C9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C98">
            <w:pPr>
              <w:pStyle w:val="BodyText"/>
              <w:rPr>
                <w:lang w:val="en-NZ"/>
              </w:rPr>
            </w:pPr>
            <w:r w:rsidRPr="00E73C98">
              <w:rPr>
                <w:rStyle w:val="SpecialBold"/>
              </w:rPr>
              <w:t>Comments</w:t>
            </w:r>
          </w:p>
        </w:tc>
      </w:tr>
      <w:tr w:rsidTr="00574F3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C98">
            <w:pPr>
              <w:pStyle w:val="BodyText"/>
              <w:rPr>
                <w:lang w:val="en-NZ"/>
              </w:rPr>
            </w:pPr>
            <w:r w:rsidRPr="00E73C9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C98">
            <w:pPr>
              <w:pStyle w:val="BodyText"/>
              <w:rPr>
                <w:lang w:val="en-NZ"/>
              </w:rPr>
            </w:pPr>
            <w:r w:rsidRPr="00E73C9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C98">
            <w:pPr>
              <w:pStyle w:val="BodyText"/>
              <w:rPr>
                <w:lang w:val="en-NZ"/>
              </w:rPr>
            </w:pPr>
            <w:r w:rsidRPr="00E73C98">
              <w:t xml:space="preserve">Unit descriptor edited. </w:t>
            </w:r>
          </w:p>
        </w:tc>
      </w:tr>
      <w:tr w:rsidTr="00574F3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C98">
            <w:pPr>
              <w:pStyle w:val="BodyText"/>
              <w:rPr>
                <w:lang w:val="en-NZ"/>
              </w:rPr>
            </w:pPr>
            <w:r w:rsidRPr="00E73C9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C98">
            <w:pPr>
              <w:pStyle w:val="BodyText"/>
              <w:rPr>
                <w:lang w:val="en-NZ"/>
              </w:rPr>
            </w:pPr>
            <w:r w:rsidRPr="00E73C9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C98">
            <w:pPr>
              <w:pStyle w:val="BodyText"/>
              <w:rPr>
                <w:lang w:val="en-NZ"/>
              </w:rPr>
            </w:pPr>
            <w:r w:rsidRPr="00E73C98">
              <w:t>Layout adjusted. No changes to content.</w:t>
            </w:r>
          </w:p>
        </w:tc>
      </w:tr>
      <w:tr w:rsidTr="00574F3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C98">
            <w:pPr>
              <w:pStyle w:val="BodyText"/>
              <w:rPr>
                <w:lang w:val="en-NZ"/>
              </w:rPr>
            </w:pPr>
            <w:r w:rsidRPr="00E73C9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C98">
            <w:pPr>
              <w:pStyle w:val="BodyText"/>
              <w:rPr>
                <w:lang w:val="en-NZ"/>
              </w:rPr>
            </w:pPr>
            <w:r w:rsidRPr="00E73C9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C98" w:rsidP="00E73C98">
            <w:pPr>
              <w:pStyle w:val="BodyText"/>
            </w:pPr>
            <w:r w:rsidRPr="00E73C98">
              <w:t>Primary release.</w:t>
            </w:r>
          </w:p>
        </w:tc>
      </w:tr>
    </w:tbl>
    <w:p w:rsidR="00574F3F" w:rsidP="00E73C98">
      <w:pPr>
        <w:pStyle w:val="BodyText"/>
      </w:pPr>
    </w:p>
    <w:p w:rsidR="00574F3F" w:rsidP="00E73C98">
      <w:pPr>
        <w:pStyle w:val="BodyText"/>
      </w:pPr>
    </w:p>
    <w:p w:rsidR="00000000" w:rsidRPr="00E73C98" w:rsidP="00E73C98">
      <w:pPr>
        <w:pStyle w:val="Heading1"/>
      </w:pPr>
      <w:bookmarkStart w:id="2" w:name="O_493287"/>
      <w:bookmarkEnd w:id="2"/>
      <w:r w:rsidRPr="00E73C98">
        <w:t>Unit Descriptor</w:t>
      </w:r>
    </w:p>
    <w:p w:rsidR="00000000" w:rsidRPr="00E73C98" w:rsidP="00E73C98">
      <w:pPr>
        <w:pStyle w:val="BodyText"/>
      </w:pPr>
      <w:r w:rsidRPr="00E73C98">
        <w:t>This unit covers the application of a knowledge of government processes. It includes applying information relating to Machinery of Government, and a</w:t>
      </w:r>
      <w:r w:rsidRPr="00E73C98">
        <w:t xml:space="preserve">pplying knowledge of organisational functions and protocols Legislation/regulations applying across the public sector, such as equal employment opportunity, equity and diversity etc, are not addressed here, as these are covered in </w:t>
      </w:r>
      <w:r w:rsidRPr="00E73C98">
        <w:rPr>
          <w:rStyle w:val="Emphasis"/>
        </w:rPr>
        <w:t>PSPLEGN401A Encourage com</w:t>
      </w:r>
      <w:r w:rsidRPr="00E73C98">
        <w:rPr>
          <w:rStyle w:val="Emphasis"/>
        </w:rPr>
        <w:t>pliance with legislation in the public sector</w:t>
      </w:r>
      <w:r w:rsidRPr="00E73C98">
        <w:t>.</w:t>
      </w:r>
    </w:p>
    <w:p w:rsidR="00000000" w:rsidRPr="00E73C98" w:rsidP="00E73C98">
      <w:pPr>
        <w:pStyle w:val="BodyText"/>
      </w:pPr>
      <w:r w:rsidRPr="00E73C98">
        <w:t>In practice, knowledge of government processes is applied in the context of other generalist and specialist work activities such as delivering and monitoring services to clients, using resources, conducting in</w:t>
      </w:r>
      <w:r w:rsidRPr="00E73C98">
        <w:t>terviews, giving evidence, awarding contracts etc.</w:t>
      </w:r>
    </w:p>
    <w:p w:rsidR="00000000" w:rsidRPr="00E73C98" w:rsidP="00E73C98">
      <w:pPr>
        <w:pStyle w:val="BodyText"/>
      </w:pPr>
      <w:r w:rsidRPr="00E73C98">
        <w:t xml:space="preserve">This is one of 3 units of competency in the </w:t>
      </w:r>
      <w:r w:rsidRPr="00E73C98">
        <w:rPr>
          <w:rStyle w:val="Emphasis"/>
        </w:rPr>
        <w:t>Working in Government</w:t>
      </w:r>
      <w:r w:rsidRPr="00E73C98">
        <w:t xml:space="preserve"> Competency Field that deal with government processes. Related units are:</w:t>
      </w:r>
    </w:p>
    <w:p w:rsidR="00000000" w:rsidRPr="00E73C98" w:rsidP="00E73C98">
      <w:pPr>
        <w:pStyle w:val="ListBullet"/>
      </w:pPr>
      <w:r w:rsidRPr="00E73C98">
        <w:t>PSPGOV515A Develop and use political nous</w:t>
      </w:r>
    </w:p>
    <w:p w:rsidR="00000000" w:rsidRPr="00E73C98" w:rsidP="00E73C98">
      <w:pPr>
        <w:pStyle w:val="ListBullet"/>
      </w:pPr>
      <w:r w:rsidRPr="00E73C98">
        <w:t>PSPGOV601B Apply gover</w:t>
      </w:r>
      <w:r w:rsidRPr="00E73C98">
        <w:t>nment systems</w:t>
      </w:r>
    </w:p>
    <w:p w:rsidR="00000000" w:rsidRPr="00E73C98" w:rsidP="00E73C98">
      <w:pPr>
        <w:pStyle w:val="BodyText"/>
      </w:pPr>
      <w:r w:rsidRPr="00E73C98">
        <w:t xml:space="preserve">This unit replaces </w:t>
      </w:r>
      <w:r w:rsidRPr="00E73C98">
        <w:rPr>
          <w:rStyle w:val="Emphasis"/>
        </w:rPr>
        <w:t>PSPGOV401A Apply knowledge of government processes</w:t>
      </w:r>
      <w:r w:rsidRPr="00E73C98">
        <w:t>. The units are not equivalent as this unit has additional knowledge requirements, and 2 additional performance criteria for dealing with ambiguity in the public sector; fur</w:t>
      </w:r>
      <w:r w:rsidRPr="00E73C98">
        <w:t xml:space="preserve">ther, an element relating to legislation has been deleted because of overlap with </w:t>
      </w:r>
      <w:r w:rsidRPr="00E73C98">
        <w:rPr>
          <w:rStyle w:val="Emphasis"/>
        </w:rPr>
        <w:t>PSPLEGN401A Encourage compliance with legislation in the public sector</w:t>
      </w:r>
    </w:p>
    <w:p w:rsidR="00000000" w:rsidRPr="00E73C98" w:rsidP="00E73C98">
      <w:pPr>
        <w:pStyle w:val="BodyText"/>
      </w:pPr>
      <w:r w:rsidRPr="00E73C98">
        <w:t>No licensing, legislative, regulatory or certification requirements apply to this unit at the time of p</w:t>
      </w:r>
      <w:r w:rsidRPr="00E73C98">
        <w:t>ublication</w:t>
      </w:r>
    </w:p>
    <w:p w:rsidR="00000000" w:rsidRPr="00E73C98" w:rsidP="00E73C98">
      <w:pPr>
        <w:pStyle w:val="AllowPageBreak"/>
      </w:pPr>
    </w:p>
    <w:p w:rsidR="00000000" w:rsidRPr="00E73C98" w:rsidP="00E73C98">
      <w:pPr>
        <w:pStyle w:val="Heading1"/>
      </w:pPr>
      <w:bookmarkStart w:id="3" w:name="O_493292"/>
      <w:bookmarkEnd w:id="3"/>
      <w:r w:rsidRPr="00E73C98">
        <w:t>Application of the Unit</w:t>
      </w:r>
    </w:p>
    <w:p w:rsidR="00000000" w:rsidRPr="00E73C98" w:rsidP="00E73C98">
      <w:pPr>
        <w:pStyle w:val="BodyText"/>
      </w:pPr>
      <w:r w:rsidRPr="00E73C98">
        <w:t>Not applicable.</w:t>
      </w:r>
    </w:p>
    <w:p w:rsidR="00000000" w:rsidRPr="00E73C98" w:rsidP="00E73C98">
      <w:pPr>
        <w:pStyle w:val="AllowPageBreak"/>
      </w:pPr>
    </w:p>
    <w:p w:rsidR="00000000" w:rsidRPr="00E73C98" w:rsidP="00E73C98">
      <w:pPr>
        <w:pStyle w:val="Heading1"/>
      </w:pPr>
      <w:bookmarkStart w:id="4" w:name="O_493286"/>
      <w:bookmarkEnd w:id="4"/>
      <w:r w:rsidRPr="00E73C98">
        <w:t>Licensing/Regulatory Information</w:t>
      </w:r>
    </w:p>
    <w:p w:rsidR="00000000" w:rsidRPr="00E73C98" w:rsidP="00E73C98">
      <w:pPr>
        <w:pStyle w:val="BodyText"/>
      </w:pPr>
      <w:r w:rsidRPr="00E73C98">
        <w:t>Not applicable.</w:t>
      </w:r>
    </w:p>
    <w:p w:rsidR="00000000" w:rsidRPr="00E73C98" w:rsidP="00E73C98">
      <w:pPr>
        <w:pStyle w:val="AllowPageBreak"/>
      </w:pPr>
    </w:p>
    <w:p w:rsidR="00000000" w:rsidRPr="00E73C98" w:rsidP="00E73C98">
      <w:pPr>
        <w:pStyle w:val="Heading1"/>
      </w:pPr>
      <w:bookmarkStart w:id="5" w:name="O_493285"/>
      <w:bookmarkEnd w:id="5"/>
      <w:r w:rsidRPr="00E73C98">
        <w:t>Pre-Requisites</w:t>
      </w:r>
    </w:p>
    <w:p w:rsidR="00000000" w:rsidRPr="00E73C98" w:rsidP="00E73C98">
      <w:pPr>
        <w:pStyle w:val="BodyText"/>
      </w:pPr>
      <w:r w:rsidRPr="00E73C98">
        <w:t>Not applicable.</w:t>
      </w:r>
    </w:p>
    <w:p w:rsidR="00000000" w:rsidRPr="00E73C98" w:rsidP="00E73C98">
      <w:pPr>
        <w:pStyle w:val="AllowPageBreak"/>
      </w:pPr>
    </w:p>
    <w:p w:rsidR="00000000" w:rsidRPr="00E73C98" w:rsidP="00E73C98">
      <w:pPr>
        <w:pStyle w:val="Heading1"/>
      </w:pPr>
      <w:bookmarkStart w:id="6" w:name="O_493288"/>
      <w:bookmarkEnd w:id="6"/>
      <w:r w:rsidRPr="00E73C98">
        <w:t>Employability Skills Information</w:t>
      </w:r>
    </w:p>
    <w:p w:rsidR="00000000" w:rsidRPr="00E73C98" w:rsidP="00E73C98">
      <w:pPr>
        <w:pStyle w:val="BodyText"/>
      </w:pPr>
      <w:r w:rsidRPr="00E73C98">
        <w:t>This unit con</w:t>
      </w:r>
      <w:r w:rsidRPr="00E73C98">
        <w:t>tains employability skills.</w:t>
      </w:r>
    </w:p>
    <w:p w:rsidR="00000000" w:rsidRPr="00E73C98" w:rsidP="00E73C98">
      <w:pPr>
        <w:pStyle w:val="AllowPageBreak"/>
      </w:pPr>
    </w:p>
    <w:p w:rsidR="00000000" w:rsidRPr="00E73C98" w:rsidP="00E73C98">
      <w:pPr>
        <w:pStyle w:val="Heading1"/>
      </w:pPr>
      <w:bookmarkStart w:id="7" w:name="O_493289"/>
      <w:bookmarkEnd w:id="7"/>
      <w:r w:rsidRPr="00E73C98">
        <w:t>Elements and Performance Criteria Pre-Content</w:t>
      </w:r>
    </w:p>
    <w:tbl>
      <w:tblPr>
        <w:tblW w:w="9322" w:type="dxa"/>
        <w:tblLayout w:type="fixed"/>
        <w:tblCellMar>
          <w:left w:w="62" w:type="dxa"/>
          <w:right w:w="62" w:type="dxa"/>
        </w:tblCellMar>
        <w:tblLook w:val="0000"/>
      </w:tblPr>
      <w:tblGrid>
        <w:gridCol w:w="2660"/>
        <w:gridCol w:w="6662"/>
      </w:tblGrid>
      <w:tr w:rsidTr="00574F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73C98">
            <w:pPr>
              <w:pStyle w:val="BodyText"/>
              <w:rPr>
                <w:lang w:val="en-NZ"/>
              </w:rPr>
            </w:pPr>
            <w:r w:rsidRPr="00E73C98">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E73C98" w:rsidP="00E73C98">
            <w:pPr>
              <w:pStyle w:val="BodyText"/>
            </w:pPr>
            <w:r w:rsidRPr="00E73C98">
              <w:t xml:space="preserve">Together, performance criteria specify the requirements for competent performance. Text in </w:t>
            </w:r>
            <w:r w:rsidRPr="00E73C98">
              <w:rPr>
                <w:rStyle w:val="BoldandItalics"/>
              </w:rPr>
              <w:t>bold italic</w:t>
            </w:r>
            <w:r w:rsidRPr="00E73C98">
              <w:rPr>
                <w:rStyle w:val="BoldandItalics"/>
              </w:rPr>
              <w:t xml:space="preserve">s </w:t>
            </w:r>
            <w:r w:rsidRPr="00E73C98">
              <w:t>is explained in the Range Statement following.</w:t>
            </w:r>
          </w:p>
        </w:tc>
      </w:tr>
    </w:tbl>
    <w:p w:rsidR="00000000" w:rsidRPr="00E73C98" w:rsidP="00E73C98">
      <w:pPr>
        <w:pStyle w:val="BodyText"/>
      </w:pPr>
    </w:p>
    <w:p w:rsidR="00000000" w:rsidRPr="00E73C98" w:rsidP="00E73C98">
      <w:pPr>
        <w:pStyle w:val="AllowPageBreak"/>
      </w:pPr>
    </w:p>
    <w:p w:rsidR="00000000" w:rsidRPr="00E73C98" w:rsidP="00E73C98">
      <w:pPr>
        <w:pStyle w:val="Heading1"/>
      </w:pPr>
      <w:bookmarkStart w:id="8" w:name="O_493290"/>
      <w:bookmarkEnd w:id="8"/>
      <w:r w:rsidRPr="00E73C98">
        <w:t>Elements and Performance Criteria</w:t>
      </w:r>
    </w:p>
    <w:tbl>
      <w:tblPr>
        <w:tblW w:w="9322" w:type="dxa"/>
        <w:tblLayout w:type="fixed"/>
        <w:tblCellMar>
          <w:left w:w="62" w:type="dxa"/>
          <w:right w:w="62" w:type="dxa"/>
        </w:tblCellMar>
        <w:tblLook w:val="0000"/>
      </w:tblPr>
      <w:tblGrid>
        <w:gridCol w:w="2660"/>
        <w:gridCol w:w="6662"/>
      </w:tblGrid>
      <w:tr w:rsidTr="00574F3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E73C98" w:rsidP="00E73C98">
            <w:pPr>
              <w:pStyle w:val="BodyText"/>
            </w:pPr>
            <w:r w:rsidRPr="00E73C9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73C98">
            <w:pPr>
              <w:pStyle w:val="BodyText"/>
              <w:rPr>
                <w:lang w:val="en-NZ"/>
              </w:rPr>
            </w:pPr>
            <w:r w:rsidRPr="00E73C98">
              <w:rPr>
                <w:rStyle w:val="SpecialBold"/>
              </w:rPr>
              <w:t>PERFORMANCE CRITERIA</w:t>
            </w:r>
          </w:p>
        </w:tc>
      </w:tr>
      <w:tr w:rsidTr="00574F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73C98">
            <w:pPr>
              <w:pStyle w:val="List"/>
              <w:rPr>
                <w:lang w:val="en-NZ"/>
              </w:rPr>
            </w:pPr>
            <w:r w:rsidRPr="00E73C98">
              <w:rPr>
                <w:rStyle w:val="SpecialBold"/>
              </w:rPr>
              <w:t>1</w:t>
            </w:r>
            <w:r w:rsidRPr="00E73C98">
              <w:t xml:space="preserve">. </w:t>
            </w:r>
            <w:r w:rsidRPr="00E73C98">
              <w:tab/>
            </w:r>
            <w:r w:rsidRPr="00E73C98">
              <w:rPr>
                <w:rStyle w:val="SpecialBold"/>
              </w:rPr>
              <w:t>Apply information relating to the Machinery of Government</w:t>
            </w:r>
            <w:r w:rsidRPr="00E73C98">
              <w:t xml:space="preserve"> </w:t>
            </w:r>
          </w:p>
        </w:tc>
        <w:tc>
          <w:tcPr>
            <w:tcW w:w="6662" w:type="dxa"/>
            <w:tcBorders>
              <w:top w:val="nil"/>
              <w:left w:val="nil"/>
              <w:bottom w:val="nil"/>
              <w:right w:val="nil"/>
            </w:tcBorders>
            <w:tcMar>
              <w:top w:w="0" w:type="dxa"/>
              <w:left w:w="62" w:type="dxa"/>
              <w:bottom w:w="0" w:type="dxa"/>
              <w:right w:w="62" w:type="dxa"/>
            </w:tcMar>
          </w:tcPr>
          <w:p w:rsidR="00000000" w:rsidRPr="00E73C98" w:rsidP="00E73C98">
            <w:pPr>
              <w:pStyle w:val="List"/>
            </w:pPr>
            <w:r w:rsidRPr="00E73C98">
              <w:t>1.1</w:t>
            </w:r>
            <w:r w:rsidRPr="00E73C98">
              <w:tab/>
              <w:t>Up-to-date information relating to</w:t>
            </w:r>
            <w:r w:rsidRPr="00E73C98">
              <w:rPr>
                <w:rStyle w:val="BoldandItalics"/>
              </w:rPr>
              <w:t xml:space="preserve"> Machinery of Government</w:t>
            </w:r>
            <w:r w:rsidRPr="00E73C98">
              <w:t xml:space="preserve"> relevant to work responsibilities is identified, accessed and applied.</w:t>
            </w:r>
          </w:p>
          <w:p w:rsidR="00000000" w:rsidRPr="00E73C98" w:rsidP="00E73C98">
            <w:pPr>
              <w:pStyle w:val="List"/>
            </w:pPr>
            <w:r w:rsidRPr="00E73C98">
              <w:t>1.2</w:t>
            </w:r>
            <w:r w:rsidRPr="00E73C98">
              <w:tab/>
              <w:t>Ambiguity in the structure and function of the organisation or work area as a result of past, present or future Machinery of Government changes is identifie</w:t>
            </w:r>
            <w:r w:rsidRPr="00E73C98">
              <w:t>d and advice obtained and implemented on required work priorities and outcomes for the transition period.</w:t>
            </w:r>
          </w:p>
          <w:p w:rsidR="00000000" w:rsidP="00E73C98">
            <w:pPr>
              <w:pStyle w:val="List"/>
              <w:rPr>
                <w:lang w:val="en-NZ"/>
              </w:rPr>
            </w:pPr>
            <w:r w:rsidRPr="00E73C98">
              <w:t>1.3</w:t>
            </w:r>
            <w:r w:rsidRPr="00E73C98">
              <w:tab/>
              <w:t>Role ambiguity as a result of past, present or future Machinery of Government changes is managed in accordance with organisational directions.</w:t>
            </w:r>
          </w:p>
        </w:tc>
      </w:tr>
      <w:tr w:rsidTr="00574F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73C98">
            <w:pPr>
              <w:pStyle w:val="List"/>
              <w:rPr>
                <w:lang w:val="en-NZ"/>
              </w:rPr>
            </w:pPr>
            <w:r w:rsidRPr="00E73C98">
              <w:rPr>
                <w:rStyle w:val="SpecialBold"/>
              </w:rPr>
              <w:t>2</w:t>
            </w:r>
            <w:r w:rsidRPr="00E73C98">
              <w:t>.</w:t>
            </w:r>
            <w:r w:rsidRPr="00E73C98">
              <w:t xml:space="preserve"> </w:t>
            </w:r>
            <w:r w:rsidRPr="00E73C98">
              <w:tab/>
            </w:r>
            <w:r w:rsidRPr="00E73C98">
              <w:rPr>
                <w:rStyle w:val="SpecialBold"/>
              </w:rPr>
              <w:t>Apply knowledge of organisational functions</w:t>
            </w:r>
            <w:r w:rsidRPr="00E73C98">
              <w:t xml:space="preserve"> </w:t>
            </w:r>
          </w:p>
        </w:tc>
        <w:tc>
          <w:tcPr>
            <w:tcW w:w="6662" w:type="dxa"/>
            <w:tcBorders>
              <w:top w:val="nil"/>
              <w:left w:val="nil"/>
              <w:bottom w:val="nil"/>
              <w:right w:val="nil"/>
            </w:tcBorders>
            <w:tcMar>
              <w:top w:w="0" w:type="dxa"/>
              <w:left w:w="62" w:type="dxa"/>
              <w:bottom w:w="0" w:type="dxa"/>
              <w:right w:w="62" w:type="dxa"/>
            </w:tcMar>
          </w:tcPr>
          <w:p w:rsidR="00000000" w:rsidRPr="00E73C98" w:rsidP="00E73C98">
            <w:pPr>
              <w:pStyle w:val="List"/>
            </w:pPr>
            <w:r w:rsidRPr="00E73C98">
              <w:t>2.1</w:t>
            </w:r>
            <w:r w:rsidRPr="00E73C98">
              <w:tab/>
              <w:t xml:space="preserve">Up-to-date </w:t>
            </w:r>
            <w:r w:rsidRPr="00E73C98">
              <w:rPr>
                <w:rStyle w:val="BoldandItalics"/>
              </w:rPr>
              <w:t xml:space="preserve">information </w:t>
            </w:r>
            <w:r w:rsidRPr="00E73C98">
              <w:t xml:space="preserve">relating to the </w:t>
            </w:r>
            <w:r w:rsidRPr="00E73C98">
              <w:rPr>
                <w:rStyle w:val="BoldandItalics"/>
              </w:rPr>
              <w:t xml:space="preserve">structure </w:t>
            </w:r>
            <w:r w:rsidRPr="00E73C98">
              <w:t>and functions of the organisation is accessed and applied.</w:t>
            </w:r>
          </w:p>
          <w:p w:rsidR="00000000" w:rsidRPr="00E73C98" w:rsidP="00E73C98">
            <w:pPr>
              <w:pStyle w:val="List"/>
            </w:pPr>
            <w:r w:rsidRPr="00E73C98">
              <w:t>2.2</w:t>
            </w:r>
            <w:r w:rsidRPr="00E73C98">
              <w:tab/>
            </w:r>
            <w:r w:rsidRPr="00E73C98">
              <w:t>Appropriate persons are identified to ensure correct levels of authority are utilised to deal with responsibilities within the organisation.</w:t>
            </w:r>
          </w:p>
          <w:p w:rsidR="00000000" w:rsidRPr="00E73C98" w:rsidP="00E73C98">
            <w:pPr>
              <w:pStyle w:val="List"/>
            </w:pPr>
            <w:r w:rsidRPr="00E73C98">
              <w:t>2.3</w:t>
            </w:r>
            <w:r w:rsidRPr="00E73C98">
              <w:tab/>
              <w:t>Areas of work where delegations apply are identified and delegation levels within the organisation are confirme</w:t>
            </w:r>
            <w:r w:rsidRPr="00E73C98">
              <w:t>d in accordance with organisational procedures/guidelines.</w:t>
            </w:r>
          </w:p>
          <w:p w:rsidR="00000000" w:rsidP="00E73C98">
            <w:pPr>
              <w:pStyle w:val="List"/>
              <w:rPr>
                <w:lang w:val="en-NZ"/>
              </w:rPr>
            </w:pPr>
            <w:r w:rsidRPr="00E73C98">
              <w:t>2.4</w:t>
            </w:r>
            <w:r w:rsidRPr="00E73C98">
              <w:tab/>
              <w:t>Approvals are obtained in the workplace in accordance with organisational delegations.</w:t>
            </w:r>
          </w:p>
        </w:tc>
      </w:tr>
      <w:tr w:rsidTr="00574F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73C98">
            <w:pPr>
              <w:pStyle w:val="List"/>
              <w:rPr>
                <w:lang w:val="en-NZ"/>
              </w:rPr>
            </w:pPr>
            <w:r w:rsidRPr="00E73C98">
              <w:rPr>
                <w:rStyle w:val="SpecialBold"/>
              </w:rPr>
              <w:t>3</w:t>
            </w:r>
            <w:r w:rsidRPr="00E73C98">
              <w:t xml:space="preserve">. </w:t>
            </w:r>
            <w:r w:rsidRPr="00E73C98">
              <w:tab/>
            </w:r>
            <w:r w:rsidRPr="00E73C98">
              <w:rPr>
                <w:rStyle w:val="SpecialBold"/>
              </w:rPr>
              <w:t>Apply knowledge of protocols</w:t>
            </w:r>
            <w:r w:rsidRPr="00E73C98">
              <w:t xml:space="preserve"> </w:t>
            </w:r>
          </w:p>
        </w:tc>
        <w:tc>
          <w:tcPr>
            <w:tcW w:w="6662" w:type="dxa"/>
            <w:tcBorders>
              <w:top w:val="nil"/>
              <w:left w:val="nil"/>
              <w:bottom w:val="nil"/>
              <w:right w:val="nil"/>
            </w:tcBorders>
            <w:tcMar>
              <w:top w:w="0" w:type="dxa"/>
              <w:left w:w="62" w:type="dxa"/>
              <w:bottom w:w="0" w:type="dxa"/>
              <w:right w:w="62" w:type="dxa"/>
            </w:tcMar>
          </w:tcPr>
          <w:p w:rsidR="00000000" w:rsidRPr="00E73C98" w:rsidP="00E73C98">
            <w:pPr>
              <w:pStyle w:val="List"/>
            </w:pPr>
            <w:r w:rsidRPr="00E73C98">
              <w:t>3.1</w:t>
            </w:r>
            <w:r w:rsidRPr="00E73C98">
              <w:tab/>
              <w:t xml:space="preserve">Up-to-date information relating to government </w:t>
            </w:r>
            <w:r w:rsidRPr="00E73C98">
              <w:rPr>
                <w:rStyle w:val="BoldandItalics"/>
              </w:rPr>
              <w:t xml:space="preserve">protocols </w:t>
            </w:r>
            <w:r w:rsidRPr="00E73C98">
              <w:t>is identifi</w:t>
            </w:r>
            <w:r w:rsidRPr="00E73C98">
              <w:t>ed, accessed and applied.</w:t>
            </w:r>
          </w:p>
          <w:p w:rsidR="00000000" w:rsidRPr="00E73C98" w:rsidP="00E73C98">
            <w:pPr>
              <w:pStyle w:val="List"/>
            </w:pPr>
            <w:r w:rsidRPr="00E73C98">
              <w:t>3.2</w:t>
            </w:r>
            <w:r w:rsidRPr="00E73C98">
              <w:tab/>
              <w:t>Protocols are observed in dealings with other organisations and with persons from within and outside the organisation.</w:t>
            </w:r>
          </w:p>
          <w:p w:rsidR="00000000" w:rsidRPr="00E73C98" w:rsidP="00E73C98">
            <w:pPr>
              <w:pStyle w:val="List"/>
            </w:pPr>
            <w:r w:rsidRPr="00E73C98">
              <w:t>3.3</w:t>
            </w:r>
            <w:r w:rsidRPr="00E73C98">
              <w:tab/>
              <w:t>Written protocols, formats and standards are adhered to in writing government documents.</w:t>
            </w:r>
          </w:p>
        </w:tc>
      </w:tr>
    </w:tbl>
    <w:p w:rsidR="00000000" w:rsidRPr="00E73C98" w:rsidP="00E73C98">
      <w:pPr>
        <w:pStyle w:val="BodyText"/>
      </w:pPr>
    </w:p>
    <w:p w:rsidR="00000000" w:rsidRPr="00E73C98" w:rsidP="00E73C98">
      <w:pPr>
        <w:pStyle w:val="AllowPageBreak"/>
      </w:pPr>
    </w:p>
    <w:p w:rsidR="00000000" w:rsidRPr="00E73C98" w:rsidP="00E73C98">
      <w:pPr>
        <w:pStyle w:val="Heading1"/>
      </w:pPr>
      <w:bookmarkStart w:id="9" w:name="O_493283"/>
      <w:bookmarkEnd w:id="9"/>
      <w:r w:rsidRPr="00E73C98">
        <w:t>Required Skills and Knowledge</w:t>
      </w:r>
    </w:p>
    <w:tbl>
      <w:tblPr>
        <w:tblW w:w="0" w:type="auto"/>
        <w:tblLayout w:type="fixed"/>
        <w:tblCellMar>
          <w:left w:w="62" w:type="dxa"/>
          <w:right w:w="62" w:type="dxa"/>
        </w:tblCellMar>
        <w:tblLook w:val="0000"/>
      </w:tblPr>
      <w:tblGrid>
        <w:gridCol w:w="8544"/>
        <w:gridCol w:w="9"/>
      </w:tblGrid>
      <w:tr w:rsidTr="00574F3F">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E73C98">
            <w:pPr>
              <w:pStyle w:val="BodyText"/>
              <w:rPr>
                <w:lang w:val="en-NZ"/>
              </w:rPr>
            </w:pPr>
            <w:r w:rsidRPr="00E73C98">
              <w:t>This section describes the essential skills and knowledge and their level, required for this unit.</w:t>
            </w:r>
          </w:p>
        </w:tc>
      </w:tr>
      <w:tr w:rsidTr="00574F3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E73C98" w:rsidP="00E73C98">
            <w:pPr>
              <w:pStyle w:val="BodyText"/>
            </w:pPr>
            <w:r w:rsidRPr="00E73C98">
              <w:rPr>
                <w:rStyle w:val="SpecialBold"/>
              </w:rPr>
              <w:t>Skill requirements</w:t>
            </w:r>
          </w:p>
          <w:p w:rsidR="00000000" w:rsidRPr="00E73C98" w:rsidP="00E73C98">
            <w:pPr>
              <w:pStyle w:val="BodyText"/>
            </w:pPr>
            <w:r w:rsidRPr="00E73C98">
              <w:t>Look for evidence that confirms skills in:</w:t>
            </w:r>
          </w:p>
          <w:p w:rsidR="00000000" w:rsidRPr="00E73C98" w:rsidP="00E73C98">
            <w:pPr>
              <w:pStyle w:val="ListBullet"/>
            </w:pPr>
            <w:r w:rsidRPr="00E73C98">
              <w:t>locating and accessing information</w:t>
            </w:r>
          </w:p>
          <w:p w:rsidR="00000000" w:rsidRPr="00E73C98" w:rsidP="00E73C98">
            <w:pPr>
              <w:pStyle w:val="ListBullet"/>
            </w:pPr>
            <w:r w:rsidRPr="00E73C98">
              <w:t>acquiring, retaining and recalling information</w:t>
            </w:r>
          </w:p>
          <w:p w:rsidR="00000000" w:rsidRPr="00E73C98" w:rsidP="00E73C98">
            <w:pPr>
              <w:pStyle w:val="ListBullet"/>
            </w:pPr>
            <w:r w:rsidRPr="00E73C98">
              <w:t>applying information and protocols</w:t>
            </w:r>
          </w:p>
          <w:p w:rsidR="00000000" w:rsidRPr="00E73C98" w:rsidP="00E73C98">
            <w:pPr>
              <w:pStyle w:val="ListBullet"/>
            </w:pPr>
            <w:r w:rsidRPr="00E73C98">
              <w:t>discarding redundant information</w:t>
            </w:r>
          </w:p>
          <w:p w:rsidR="00000000" w:rsidRPr="00E73C98" w:rsidP="00E73C98">
            <w:pPr>
              <w:pStyle w:val="ListBullet"/>
            </w:pPr>
            <w:r w:rsidRPr="00E73C98">
              <w:t>dealing with ambiguity and Machinery of Government changes</w:t>
            </w:r>
          </w:p>
          <w:p w:rsidR="00000000" w:rsidRPr="00E73C98" w:rsidP="00E73C98">
            <w:pPr>
              <w:pStyle w:val="ListBullet"/>
            </w:pPr>
            <w:r w:rsidRPr="00E73C98">
              <w:t>communicating with a diverse workforce</w:t>
            </w:r>
          </w:p>
          <w:p w:rsidR="00000000" w:rsidRPr="00E73C98" w:rsidP="00E73C98">
            <w:pPr>
              <w:pStyle w:val="ListBullet"/>
            </w:pPr>
            <w:r w:rsidRPr="00E73C98">
              <w:t>responding to diversity, including gender a</w:t>
            </w:r>
            <w:r w:rsidRPr="00E73C98">
              <w:t>nd disability</w:t>
            </w:r>
          </w:p>
          <w:p w:rsidR="00000000" w:rsidP="00E73C98">
            <w:pPr>
              <w:pStyle w:val="ListBullet"/>
              <w:rPr>
                <w:lang w:val="en-NZ"/>
              </w:rPr>
            </w:pPr>
            <w:r w:rsidRPr="00E73C98">
              <w:t>applying workplace safety procedures in the context of work in the public sector</w:t>
            </w:r>
          </w:p>
        </w:tc>
      </w:tr>
      <w:tr w:rsidTr="00574F3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E73C98" w:rsidP="00E73C98">
            <w:pPr>
              <w:pStyle w:val="BodyText"/>
            </w:pPr>
            <w:r w:rsidRPr="00E73C98">
              <w:rPr>
                <w:rStyle w:val="SpecialBold"/>
              </w:rPr>
              <w:t>Knowledge requirements</w:t>
            </w:r>
          </w:p>
          <w:p w:rsidR="00000000" w:rsidRPr="00E73C98" w:rsidP="00E73C98">
            <w:pPr>
              <w:pStyle w:val="BodyText"/>
            </w:pPr>
            <w:r w:rsidRPr="00E73C98">
              <w:t>Look for evidence that confirms knowledge and understanding of:</w:t>
            </w:r>
          </w:p>
          <w:p w:rsidR="00000000" w:rsidRPr="00E73C98" w:rsidP="00E73C98">
            <w:pPr>
              <w:pStyle w:val="ListBullet"/>
            </w:pPr>
            <w:r w:rsidRPr="00E73C98">
              <w:t>Westminster System</w:t>
            </w:r>
          </w:p>
          <w:p w:rsidR="00000000" w:rsidRPr="00E73C98" w:rsidP="00E73C98">
            <w:pPr>
              <w:pStyle w:val="ListBullet"/>
            </w:pPr>
            <w:r w:rsidRPr="00E73C98">
              <w:t>separation of powers</w:t>
            </w:r>
          </w:p>
          <w:p w:rsidR="00000000" w:rsidRPr="00E73C98" w:rsidP="00E73C98">
            <w:pPr>
              <w:pStyle w:val="ListBullet"/>
            </w:pPr>
            <w:r w:rsidRPr="00E73C98">
              <w:t xml:space="preserve">systems of government </w:t>
            </w:r>
          </w:p>
          <w:p w:rsidR="00000000" w:rsidRPr="00E73C98" w:rsidP="00E73C98">
            <w:pPr>
              <w:pStyle w:val="ListBullet"/>
            </w:pPr>
            <w:r w:rsidRPr="00E73C98">
              <w:t>Parliamentary structures (bicameral/unicameral)</w:t>
            </w:r>
          </w:p>
          <w:p w:rsidR="00000000" w:rsidRPr="00E73C98" w:rsidP="00E73C98">
            <w:pPr>
              <w:pStyle w:val="ListBullet"/>
            </w:pPr>
            <w:r w:rsidRPr="00E73C98">
              <w:t>role and function of Parliament</w:t>
            </w:r>
          </w:p>
          <w:p w:rsidR="00000000" w:rsidRPr="00E73C98" w:rsidP="00E73C98">
            <w:pPr>
              <w:pStyle w:val="ListBullet"/>
            </w:pPr>
            <w:r w:rsidRPr="00E73C98">
              <w:t>role and structures of Parliamentary committees</w:t>
            </w:r>
          </w:p>
          <w:p w:rsidR="00000000" w:rsidRPr="00E73C98" w:rsidP="00E73C98">
            <w:pPr>
              <w:pStyle w:val="ListBullet"/>
            </w:pPr>
            <w:r w:rsidRPr="00E73C98">
              <w:t>application of statutory requirements imposed by central agencies such as Treasury, Premiers, Prime Minister and Cabinet</w:t>
            </w:r>
          </w:p>
          <w:p w:rsidR="00000000" w:rsidRPr="00E73C98" w:rsidP="00E73C98">
            <w:pPr>
              <w:pStyle w:val="ListBullet"/>
            </w:pPr>
            <w:r w:rsidRPr="00E73C98">
              <w:t>delegat</w:t>
            </w:r>
            <w:r w:rsidRPr="00E73C98">
              <w:t>ions</w:t>
            </w:r>
          </w:p>
          <w:p w:rsidR="00000000" w:rsidRPr="00E73C98" w:rsidP="00E73C98">
            <w:pPr>
              <w:pStyle w:val="ListBullet"/>
            </w:pPr>
            <w:r w:rsidRPr="00E73C98">
              <w:t>Parliamentary procedures impacting on the organisation (such as petitions, Ministerial statements, Question Time, Questions without Notice, Questions on Notice)</w:t>
            </w:r>
          </w:p>
          <w:p w:rsidR="00000000" w:rsidRPr="00E73C98" w:rsidP="00E73C98">
            <w:pPr>
              <w:pStyle w:val="ListBullet"/>
            </w:pPr>
            <w:r w:rsidRPr="00E73C98">
              <w:t>Parliamentary process and how it affects operational objectives and timeframes</w:t>
            </w:r>
          </w:p>
          <w:p w:rsidR="00000000" w:rsidRPr="00E73C98" w:rsidP="00E73C98">
            <w:pPr>
              <w:pStyle w:val="ListBullet"/>
            </w:pPr>
            <w:r w:rsidRPr="00E73C98">
              <w:t>Cabinet pro</w:t>
            </w:r>
            <w:r w:rsidRPr="00E73C98">
              <w:t>cesses</w:t>
            </w:r>
          </w:p>
          <w:p w:rsidR="00000000" w:rsidRPr="00E73C98" w:rsidP="00E73C98">
            <w:pPr>
              <w:pStyle w:val="ListBullet"/>
            </w:pPr>
            <w:r w:rsidRPr="00E73C98">
              <w:t>Bill to Act process</w:t>
            </w:r>
          </w:p>
          <w:p w:rsidR="00000000" w:rsidRPr="00E73C98" w:rsidP="00E73C98">
            <w:pPr>
              <w:pStyle w:val="ListBullet"/>
            </w:pPr>
            <w:r w:rsidRPr="00E73C98">
              <w:t>Machinery of Government and administrative arrangements</w:t>
            </w:r>
          </w:p>
          <w:p w:rsidR="00000000" w:rsidRPr="00E73C98" w:rsidP="00E73C98">
            <w:pPr>
              <w:pStyle w:val="ListBullet"/>
            </w:pPr>
            <w:r w:rsidRPr="00E73C98">
              <w:t>range and type of legislation relating to the public sector including occupational health and safety</w:t>
            </w:r>
          </w:p>
          <w:p w:rsidR="00000000" w:rsidRPr="00E73C98" w:rsidP="00E73C98">
            <w:pPr>
              <w:pStyle w:val="ListBullet"/>
            </w:pPr>
            <w:r w:rsidRPr="00E73C98">
              <w:t>public sector code/s of ethics, code/s of conduct and statements of values</w:t>
            </w:r>
          </w:p>
          <w:p w:rsidR="00000000" w:rsidRPr="00E73C98" w:rsidP="00E73C98">
            <w:pPr>
              <w:pStyle w:val="ListBullet"/>
            </w:pPr>
            <w:r w:rsidRPr="00E73C98">
              <w:t>equal employment opportunity, equity and diversity principles</w:t>
            </w:r>
          </w:p>
        </w:tc>
      </w:tr>
    </w:tbl>
    <w:p w:rsidR="00000000" w:rsidRPr="00E73C98" w:rsidP="00E73C98">
      <w:pPr>
        <w:pStyle w:val="BodyText"/>
      </w:pPr>
    </w:p>
    <w:p w:rsidR="00000000" w:rsidRPr="00E73C98" w:rsidP="00E73C98">
      <w:pPr>
        <w:pStyle w:val="AllowPageBreak"/>
      </w:pPr>
    </w:p>
    <w:p w:rsidR="00000000" w:rsidRPr="00E73C98" w:rsidP="00E73C98">
      <w:pPr>
        <w:pStyle w:val="Heading1"/>
      </w:pPr>
      <w:bookmarkStart w:id="10" w:name="O_493281"/>
      <w:bookmarkEnd w:id="10"/>
      <w:r w:rsidRPr="00E73C98">
        <w:t>Evidence Guide</w:t>
      </w:r>
    </w:p>
    <w:tbl>
      <w:tblPr>
        <w:tblW w:w="9322" w:type="dxa"/>
        <w:tblLayout w:type="fixed"/>
        <w:tblCellMar>
          <w:left w:w="62" w:type="dxa"/>
          <w:right w:w="62" w:type="dxa"/>
        </w:tblCellMar>
        <w:tblLook w:val="0000"/>
      </w:tblPr>
      <w:tblGrid>
        <w:gridCol w:w="2660"/>
        <w:gridCol w:w="6662"/>
      </w:tblGrid>
      <w:tr w:rsidTr="00574F3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73C98">
            <w:pPr>
              <w:pStyle w:val="BodyText"/>
              <w:rPr>
                <w:lang w:val="en-NZ"/>
              </w:rPr>
            </w:pPr>
            <w:r w:rsidRPr="00E73C98">
              <w:t xml:space="preserve">The Evidence Guide specifies the evidence required to demonstrate achievement in the </w:t>
            </w:r>
            <w:r w:rsidRPr="00E73C98">
              <w:t>unit of competency as a whole. It must be read in conjunction with the Unit descriptor, Performance Criteria, the Range Statement and the Assessment Guidelines for the Public Sector Training Package.</w:t>
            </w:r>
          </w:p>
        </w:tc>
      </w:tr>
      <w:tr w:rsidTr="00574F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E73C98" w:rsidP="00E73C98">
            <w:pPr>
              <w:pStyle w:val="BodyText"/>
            </w:pPr>
            <w:r w:rsidRPr="00E73C98">
              <w:rPr>
                <w:rStyle w:val="SpecialBold"/>
              </w:rPr>
              <w:t>Units to be assessed together</w:t>
            </w:r>
            <w:r w:rsidRPr="00E73C98">
              <w:t xml:space="preserve"> </w:t>
            </w:r>
          </w:p>
        </w:tc>
        <w:tc>
          <w:tcPr>
            <w:tcW w:w="6662" w:type="dxa"/>
            <w:tcBorders>
              <w:top w:val="nil"/>
              <w:left w:val="nil"/>
              <w:bottom w:val="nil"/>
              <w:right w:val="nil"/>
            </w:tcBorders>
            <w:tcMar>
              <w:top w:w="0" w:type="dxa"/>
              <w:left w:w="62" w:type="dxa"/>
              <w:bottom w:w="0" w:type="dxa"/>
              <w:right w:w="62" w:type="dxa"/>
            </w:tcMar>
          </w:tcPr>
          <w:p w:rsidR="00000000" w:rsidRPr="00E73C98" w:rsidP="00E73C98">
            <w:pPr>
              <w:pStyle w:val="ListBullet"/>
            </w:pPr>
            <w:r w:rsidRPr="00E73C98">
              <w:rPr>
                <w:rStyle w:val="Emphasis"/>
              </w:rPr>
              <w:t>Pre</w:t>
            </w:r>
            <w:r w:rsidRPr="00E73C98">
              <w:t>-</w:t>
            </w:r>
            <w:r w:rsidRPr="00E73C98">
              <w:rPr>
                <w:rStyle w:val="Emphasis"/>
              </w:rPr>
              <w:t>requisite</w:t>
            </w:r>
            <w:r w:rsidRPr="00E73C98">
              <w:t xml:space="preserve"> units that </w:t>
            </w:r>
            <w:r w:rsidRPr="00E73C98">
              <w:rPr>
                <w:rStyle w:val="Underline"/>
              </w:rPr>
              <w:t>must</w:t>
            </w:r>
            <w:r w:rsidRPr="00E73C98">
              <w:t xml:space="preserve"> be achieved </w:t>
            </w:r>
            <w:r w:rsidRPr="00E73C98">
              <w:rPr>
                <w:rStyle w:val="Underline"/>
              </w:rPr>
              <w:t>prior</w:t>
            </w:r>
            <w:r w:rsidRPr="00E73C98">
              <w:t xml:space="preserve"> to this unit:</w:t>
            </w:r>
            <w:r w:rsidRPr="00E73C98">
              <w:rPr>
                <w:rStyle w:val="Emphasis"/>
              </w:rPr>
              <w:t>Nil</w:t>
            </w:r>
          </w:p>
          <w:p w:rsidR="00000000" w:rsidRPr="00E73C98" w:rsidP="00E73C98">
            <w:pPr>
              <w:pStyle w:val="ListBullet"/>
            </w:pPr>
            <w:r w:rsidRPr="00E73C98">
              <w:rPr>
                <w:rStyle w:val="Emphasis"/>
              </w:rPr>
              <w:t>Co</w:t>
            </w:r>
            <w:r w:rsidRPr="00E73C98">
              <w:t>-</w:t>
            </w:r>
            <w:r w:rsidRPr="00E73C98">
              <w:rPr>
                <w:rStyle w:val="Emphasis"/>
              </w:rPr>
              <w:t>requisite</w:t>
            </w:r>
            <w:r w:rsidRPr="00E73C98">
              <w:t xml:space="preserve"> units that </w:t>
            </w:r>
            <w:r w:rsidRPr="00E73C98">
              <w:rPr>
                <w:rStyle w:val="Underline"/>
              </w:rPr>
              <w:t>must</w:t>
            </w:r>
            <w:r w:rsidRPr="00E73C98">
              <w:t xml:space="preserve"> be assessed </w:t>
            </w:r>
            <w:r w:rsidRPr="00E73C98">
              <w:rPr>
                <w:rStyle w:val="Underline"/>
              </w:rPr>
              <w:t>with</w:t>
            </w:r>
            <w:r w:rsidRPr="00E73C98">
              <w:t xml:space="preserve"> this unit:</w:t>
            </w:r>
            <w:r w:rsidRPr="00E73C98">
              <w:rPr>
                <w:rStyle w:val="Emphasis"/>
              </w:rPr>
              <w:t>Nil</w:t>
            </w:r>
          </w:p>
          <w:p w:rsidR="00000000" w:rsidRPr="00E73C98" w:rsidP="00E73C98">
            <w:pPr>
              <w:pStyle w:val="ListBullet"/>
            </w:pPr>
            <w:r w:rsidRPr="00E73C98">
              <w:rPr>
                <w:rStyle w:val="Emphasis"/>
              </w:rPr>
              <w:t>Co</w:t>
            </w:r>
            <w:r w:rsidRPr="00E73C98">
              <w:t>-</w:t>
            </w:r>
            <w:r w:rsidRPr="00E73C98">
              <w:rPr>
                <w:rStyle w:val="Emphasis"/>
              </w:rPr>
              <w:t>assessed units</w:t>
            </w:r>
            <w:r w:rsidRPr="00E73C98">
              <w:t xml:space="preserve"> that </w:t>
            </w:r>
            <w:r w:rsidRPr="00E73C98">
              <w:rPr>
                <w:rStyle w:val="Underline"/>
              </w:rPr>
              <w:t>may</w:t>
            </w:r>
            <w:r w:rsidRPr="00E73C98">
              <w:t xml:space="preserve"> be assessed with this unit to increase the efficiency and realism of the assessment process include, but are not limi</w:t>
            </w:r>
            <w:r w:rsidRPr="00E73C98">
              <w:t xml:space="preserve">ted to: </w:t>
            </w:r>
          </w:p>
          <w:p w:rsidR="00000000" w:rsidRPr="00E73C98" w:rsidP="00E73C98">
            <w:pPr>
              <w:pStyle w:val="ListBullet2"/>
            </w:pPr>
            <w:r w:rsidRPr="00E73C98">
              <w:t>PSPGOV402B Deliver and monitor service to clients</w:t>
            </w:r>
          </w:p>
          <w:p w:rsidR="00000000" w:rsidRPr="00E73C98" w:rsidP="00E73C98">
            <w:pPr>
              <w:pStyle w:val="ListBullet2"/>
            </w:pPr>
            <w:r w:rsidRPr="00E73C98">
              <w:t>PSPGOV403B Use resources to achieve work unit goals</w:t>
            </w:r>
          </w:p>
          <w:p w:rsidR="00000000" w:rsidRPr="00E73C98" w:rsidP="00E73C98">
            <w:pPr>
              <w:pStyle w:val="ListBullet2"/>
            </w:pPr>
            <w:r w:rsidRPr="00E73C98">
              <w:t>PSPGOV404B Develop and implement work unit plans</w:t>
            </w:r>
          </w:p>
          <w:p w:rsidR="00000000" w:rsidRPr="00E73C98" w:rsidP="00E73C98">
            <w:pPr>
              <w:pStyle w:val="ListBullet2"/>
            </w:pPr>
            <w:r w:rsidRPr="00E73C98">
              <w:t xml:space="preserve">PSPGOV405B Provide input to change processes </w:t>
            </w:r>
          </w:p>
          <w:p w:rsidR="00000000" w:rsidRPr="00E73C98" w:rsidP="00E73C98">
            <w:pPr>
              <w:pStyle w:val="ListBullet2"/>
            </w:pPr>
            <w:r w:rsidRPr="00E73C98">
              <w:t xml:space="preserve">PSPGOV406B Gather and analyse information </w:t>
            </w:r>
          </w:p>
          <w:p w:rsidR="00000000" w:rsidRPr="00E73C98" w:rsidP="00E73C98">
            <w:pPr>
              <w:pStyle w:val="ListBullet2"/>
            </w:pPr>
            <w:r w:rsidRPr="00E73C98">
              <w:t>PSPGOV407B Provide a quotation</w:t>
            </w:r>
          </w:p>
          <w:p w:rsidR="00000000" w:rsidRPr="00E73C98" w:rsidP="00E73C98">
            <w:pPr>
              <w:pStyle w:val="ListBullet2"/>
            </w:pPr>
            <w:r w:rsidRPr="00E73C98">
              <w:t>PSPGOV409A Provide support to Parliament</w:t>
            </w:r>
          </w:p>
          <w:p w:rsidR="00000000" w:rsidRPr="00E73C98" w:rsidP="00E73C98">
            <w:pPr>
              <w:pStyle w:val="ListBullet2"/>
            </w:pPr>
            <w:r w:rsidRPr="00E73C98">
              <w:t>PSPPROC410A Administer contracts</w:t>
            </w:r>
          </w:p>
          <w:p w:rsidR="00000000" w:rsidRPr="00E73C98" w:rsidP="00E73C98">
            <w:pPr>
              <w:pStyle w:val="ListBullet2"/>
            </w:pPr>
            <w:r w:rsidRPr="00E73C98">
              <w:t>PSPREG410B Give evidence</w:t>
            </w:r>
          </w:p>
          <w:p w:rsidR="00000000" w:rsidP="00E73C98">
            <w:pPr>
              <w:pStyle w:val="ListBullet2"/>
              <w:rPr>
                <w:lang w:val="en-NZ"/>
              </w:rPr>
            </w:pPr>
            <w:r w:rsidRPr="00E73C98">
              <w:t>PSPREG411A Gather information through interviews</w:t>
            </w:r>
          </w:p>
        </w:tc>
      </w:tr>
      <w:tr w:rsidTr="00574F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73C98">
            <w:pPr>
              <w:pStyle w:val="BodyText"/>
              <w:rPr>
                <w:lang w:val="en-NZ"/>
              </w:rPr>
            </w:pPr>
            <w:r w:rsidRPr="00E73C98">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E73C98" w:rsidP="00E73C98">
            <w:pPr>
              <w:pStyle w:val="BodyText"/>
            </w:pPr>
            <w:r w:rsidRPr="00E73C98">
              <w:t>In addition to integrated demonstration of</w:t>
            </w:r>
            <w:r w:rsidRPr="00E73C98">
              <w:t xml:space="preserve"> the elements and their related performance criteria, look for evidence that confirms:</w:t>
            </w:r>
          </w:p>
          <w:p w:rsidR="00000000" w:rsidRPr="00E73C98" w:rsidP="00E73C98">
            <w:pPr>
              <w:pStyle w:val="ListBullet"/>
            </w:pPr>
            <w:r w:rsidRPr="00E73C98">
              <w:t xml:space="preserve">the knowledge requirements of this unit </w:t>
            </w:r>
          </w:p>
          <w:p w:rsidR="00000000" w:rsidRPr="00E73C98" w:rsidP="00E73C98">
            <w:pPr>
              <w:pStyle w:val="ListBullet"/>
            </w:pPr>
            <w:r w:rsidRPr="00E73C98">
              <w:t>the skill requirements of this unit</w:t>
            </w:r>
          </w:p>
          <w:p w:rsidR="00000000" w:rsidP="00E73C98">
            <w:pPr>
              <w:pStyle w:val="ListBullet"/>
              <w:rPr>
                <w:lang w:val="en-NZ"/>
              </w:rPr>
            </w:pPr>
            <w:r w:rsidRPr="00E73C98">
              <w:t>application of government processes in a range of (3 or more) contexts (or occasions, over time) in generalist or specialist work activities such as delivering and monitoring services to clients, using resources, conducting interviews, giving evidence, adm</w:t>
            </w:r>
            <w:r w:rsidRPr="00E73C98">
              <w:t>inistering contracts, etc</w:t>
            </w:r>
          </w:p>
        </w:tc>
      </w:tr>
      <w:tr w:rsidTr="00574F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73C98">
            <w:pPr>
              <w:pStyle w:val="BodyText"/>
              <w:rPr>
                <w:lang w:val="en-NZ"/>
              </w:rPr>
            </w:pPr>
            <w:r w:rsidRPr="00E73C98">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E73C98" w:rsidP="00E73C98">
            <w:pPr>
              <w:pStyle w:val="BodyText"/>
            </w:pPr>
            <w:r w:rsidRPr="00E73C98">
              <w:t xml:space="preserve">These resources include: </w:t>
            </w:r>
          </w:p>
          <w:p w:rsidR="00000000" w:rsidRPr="00E73C98" w:rsidP="00E73C98">
            <w:pPr>
              <w:pStyle w:val="ListBullet"/>
            </w:pPr>
            <w:r w:rsidRPr="00E73C98">
              <w:t xml:space="preserve">legislation, policy, procedures and protocols relating to the public sector </w:t>
            </w:r>
          </w:p>
          <w:p w:rsidR="00000000" w:rsidRPr="00E73C98" w:rsidP="00E73C98">
            <w:pPr>
              <w:pStyle w:val="ListBullet"/>
            </w:pPr>
            <w:r w:rsidRPr="00E73C98">
              <w:t>organisational structures</w:t>
            </w:r>
          </w:p>
          <w:p w:rsidR="00000000" w:rsidRPr="00E73C98" w:rsidP="00E73C98">
            <w:pPr>
              <w:pStyle w:val="ListBullet"/>
            </w:pPr>
            <w:r w:rsidRPr="00E73C98">
              <w:t>Machinery of Government information</w:t>
            </w:r>
          </w:p>
          <w:p w:rsidR="00000000" w:rsidP="00E73C98">
            <w:pPr>
              <w:pStyle w:val="ListBullet"/>
              <w:rPr>
                <w:lang w:val="en-NZ"/>
              </w:rPr>
            </w:pPr>
            <w:r w:rsidRPr="00E73C98">
              <w:t>case studies and wor</w:t>
            </w:r>
            <w:r w:rsidRPr="00E73C98">
              <w:t>kplace scenarios to capture the range of situations likely to be encountered when applying government processes</w:t>
            </w:r>
          </w:p>
        </w:tc>
      </w:tr>
      <w:tr w:rsidTr="00574F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73C98">
            <w:pPr>
              <w:pStyle w:val="BodyText"/>
              <w:rPr>
                <w:lang w:val="en-NZ"/>
              </w:rPr>
            </w:pPr>
            <w:r w:rsidRPr="00E73C9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E73C98" w:rsidP="00E73C98">
            <w:pPr>
              <w:pStyle w:val="BodyText"/>
            </w:pPr>
            <w:r w:rsidRPr="00E73C98">
              <w:t xml:space="preserve">Valid assessment of this unit requires: </w:t>
            </w:r>
          </w:p>
          <w:p w:rsidR="00000000" w:rsidRPr="00E73C98" w:rsidP="00E73C98">
            <w:pPr>
              <w:pStyle w:val="ListBullet"/>
            </w:pPr>
            <w:r w:rsidRPr="00E73C98">
              <w:t>a workplace environment or one that closely resembles normal work pr</w:t>
            </w:r>
            <w:r w:rsidRPr="00E73C98">
              <w:t>actice and replicates the range of conditions likely to be encountered when applying government processes, including coping with difficulties, irregularities and breakdowns in routine</w:t>
            </w:r>
          </w:p>
          <w:p w:rsidR="00000000" w:rsidRPr="00E73C98" w:rsidP="00E73C98">
            <w:pPr>
              <w:pStyle w:val="ListBullet"/>
            </w:pPr>
            <w:r w:rsidRPr="00E73C98">
              <w:t>applying government processes in a range of (3 or more) contexts (or occ</w:t>
            </w:r>
            <w:r w:rsidRPr="00E73C98">
              <w:t>asions, over time) in contexts relating to generalist or specialist work activities such delivering and monitoring services to clients, using resources, conducting interviews, giving evidence, administering contracts, etc.</w:t>
            </w:r>
          </w:p>
          <w:p w:rsidR="00000000" w:rsidRPr="00E73C98" w:rsidP="00E73C98">
            <w:pPr>
              <w:pStyle w:val="BodyText"/>
            </w:pPr>
            <w:r w:rsidRPr="00E73C98">
              <w:t>Assessment methods should reflect</w:t>
            </w:r>
            <w:r w:rsidRPr="00E73C98">
              <w:t xml:space="preserve"> workplace demands, such as literacy, and the needs of particular groups, such as:</w:t>
            </w:r>
          </w:p>
          <w:p w:rsidR="00000000" w:rsidRPr="00E73C98" w:rsidP="00E73C98">
            <w:pPr>
              <w:pStyle w:val="ListBullet"/>
            </w:pPr>
            <w:r w:rsidRPr="00E73C98">
              <w:t>people with disabilities</w:t>
            </w:r>
          </w:p>
          <w:p w:rsidR="00000000" w:rsidRPr="00E73C98" w:rsidP="00E73C98">
            <w:pPr>
              <w:pStyle w:val="ListBullet"/>
            </w:pPr>
            <w:r w:rsidRPr="00E73C98">
              <w:t>people from culturally and linguistically diverse backgrounds</w:t>
            </w:r>
          </w:p>
          <w:p w:rsidR="00000000" w:rsidRPr="00E73C98" w:rsidP="00E73C98">
            <w:pPr>
              <w:pStyle w:val="ListBullet"/>
            </w:pPr>
            <w:r w:rsidRPr="00E73C98">
              <w:t>Aboriginal and Torres Strait Islander people</w:t>
            </w:r>
          </w:p>
          <w:p w:rsidR="00000000" w:rsidRPr="00E73C98" w:rsidP="00E73C98">
            <w:pPr>
              <w:pStyle w:val="ListBullet"/>
            </w:pPr>
            <w:r w:rsidRPr="00E73C98">
              <w:t>women</w:t>
            </w:r>
          </w:p>
          <w:p w:rsidR="00000000" w:rsidRPr="00E73C98" w:rsidP="00E73C98">
            <w:pPr>
              <w:pStyle w:val="ListBullet"/>
            </w:pPr>
            <w:r w:rsidRPr="00E73C98">
              <w:t>young people</w:t>
            </w:r>
          </w:p>
          <w:p w:rsidR="00000000" w:rsidRPr="00E73C98" w:rsidP="00E73C98">
            <w:pPr>
              <w:pStyle w:val="ListBullet"/>
            </w:pPr>
            <w:r w:rsidRPr="00E73C98">
              <w:t>older people</w:t>
            </w:r>
          </w:p>
          <w:p w:rsidR="00000000" w:rsidRPr="00E73C98" w:rsidP="00E73C98">
            <w:pPr>
              <w:pStyle w:val="ListBullet"/>
            </w:pPr>
            <w:r w:rsidRPr="00E73C98">
              <w:t>people in rural and remote locations.</w:t>
            </w:r>
          </w:p>
          <w:p w:rsidR="00000000" w:rsidRPr="00E73C98" w:rsidP="00E73C98">
            <w:pPr>
              <w:pStyle w:val="BodyText"/>
            </w:pPr>
            <w:r w:rsidRPr="00E73C98">
              <w:t xml:space="preserve">Assessment methods suitable for valid and reliable assessment of this competency may include, but are not limited to, a combination of 2 or more of: </w:t>
            </w:r>
          </w:p>
          <w:p w:rsidR="00000000" w:rsidRPr="00E73C98" w:rsidP="00E73C98">
            <w:pPr>
              <w:pStyle w:val="ListBullet"/>
            </w:pPr>
            <w:r w:rsidRPr="00E73C98">
              <w:t>case studies</w:t>
            </w:r>
          </w:p>
          <w:p w:rsidR="00000000" w:rsidRPr="00E73C98" w:rsidP="00E73C98">
            <w:pPr>
              <w:pStyle w:val="ListBullet"/>
            </w:pPr>
            <w:r w:rsidRPr="00E73C98">
              <w:t xml:space="preserve">portfolios </w:t>
            </w:r>
          </w:p>
          <w:p w:rsidR="00000000" w:rsidRPr="00E73C98" w:rsidP="00E73C98">
            <w:pPr>
              <w:pStyle w:val="ListBullet"/>
            </w:pPr>
            <w:r w:rsidRPr="00E73C98">
              <w:t>projects</w:t>
            </w:r>
          </w:p>
          <w:p w:rsidR="00000000" w:rsidRPr="00E73C98" w:rsidP="00E73C98">
            <w:pPr>
              <w:pStyle w:val="ListBullet"/>
            </w:pPr>
            <w:r w:rsidRPr="00E73C98">
              <w:t>questioning</w:t>
            </w:r>
          </w:p>
          <w:p w:rsidR="00000000" w:rsidRPr="00E73C98" w:rsidP="00E73C98">
            <w:pPr>
              <w:pStyle w:val="ListBullet"/>
            </w:pPr>
            <w:r w:rsidRPr="00E73C98">
              <w:t>scenarios</w:t>
            </w:r>
          </w:p>
          <w:p w:rsidR="00000000" w:rsidRPr="00E73C98" w:rsidP="00E73C98">
            <w:pPr>
              <w:pStyle w:val="ListBullet"/>
            </w:pPr>
            <w:r w:rsidRPr="00E73C98">
              <w:t xml:space="preserve">simulation </w:t>
            </w:r>
            <w:r w:rsidRPr="00E73C98">
              <w:t>or role plays</w:t>
            </w:r>
          </w:p>
          <w:p w:rsidR="00000000" w:rsidP="00E73C98">
            <w:pPr>
              <w:pStyle w:val="ListBullet"/>
              <w:rPr>
                <w:lang w:val="en-NZ"/>
              </w:rPr>
            </w:pPr>
            <w:r w:rsidRPr="00E73C98">
              <w:t>authenticated evidence from the workplace and/or training courses</w:t>
            </w:r>
          </w:p>
        </w:tc>
      </w:tr>
      <w:tr w:rsidTr="00574F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73C98">
            <w:pPr>
              <w:pStyle w:val="BodyText"/>
              <w:rPr>
                <w:lang w:val="en-NZ"/>
              </w:rPr>
            </w:pPr>
            <w:r w:rsidRPr="00E73C9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E73C98" w:rsidP="00E73C98">
            <w:pPr>
              <w:pStyle w:val="BodyText"/>
            </w:pPr>
            <w:r w:rsidRPr="00E73C98">
              <w:t xml:space="preserve">Evidence must be gathered over time in a range of contexts to ensure the person can achieve the unit outcome and apply the competency in </w:t>
            </w:r>
            <w:r w:rsidRPr="00E73C98">
              <w:t>different situations or environments</w:t>
            </w:r>
          </w:p>
        </w:tc>
      </w:tr>
    </w:tbl>
    <w:p w:rsidR="00000000" w:rsidRPr="00E73C98" w:rsidP="00E73C98">
      <w:pPr>
        <w:pStyle w:val="BodyText"/>
      </w:pPr>
    </w:p>
    <w:p w:rsidR="00000000" w:rsidRPr="00E73C98" w:rsidP="00E73C98">
      <w:pPr>
        <w:pStyle w:val="AllowPageBreak"/>
      </w:pPr>
    </w:p>
    <w:p w:rsidR="00000000" w:rsidRPr="00E73C98" w:rsidP="00E73C98">
      <w:pPr>
        <w:pStyle w:val="Heading1"/>
      </w:pPr>
      <w:bookmarkStart w:id="11" w:name="O_493279"/>
      <w:bookmarkEnd w:id="11"/>
      <w:r w:rsidRPr="00E73C98">
        <w:t>Range Statement</w:t>
      </w:r>
    </w:p>
    <w:tbl>
      <w:tblPr>
        <w:tblW w:w="9322" w:type="dxa"/>
        <w:tblLayout w:type="fixed"/>
        <w:tblCellMar>
          <w:left w:w="62" w:type="dxa"/>
          <w:right w:w="62" w:type="dxa"/>
        </w:tblCellMar>
        <w:tblLook w:val="0000"/>
      </w:tblPr>
      <w:tblGrid>
        <w:gridCol w:w="2660"/>
        <w:gridCol w:w="6662"/>
      </w:tblGrid>
      <w:tr w:rsidTr="00574F3F">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C98">
            <w:pPr>
              <w:pStyle w:val="BodyText"/>
              <w:rPr>
                <w:lang w:val="en-NZ"/>
              </w:rPr>
            </w:pPr>
            <w:r w:rsidRPr="00E73C98">
              <w:t>The Range Statement provides information about the context in which the unit of competency is carried out. The variables cater for differences between States and Territories and the Co</w:t>
            </w:r>
            <w:r w:rsidRPr="00E73C98">
              <w:t>mmonwealth, and between organisations and workplaces. They allow for different work requirements, work practices and knowledge. The Range Statement also provides a focus for assessment. It relates to the unit as a whole. Text in</w:t>
            </w:r>
            <w:r w:rsidRPr="00E73C98">
              <w:rPr>
                <w:rStyle w:val="BoldandItalics"/>
              </w:rPr>
              <w:t xml:space="preserve"> bold italics</w:t>
            </w:r>
            <w:r w:rsidRPr="00E73C98">
              <w:t xml:space="preserve"> in the Perform</w:t>
            </w:r>
            <w:r w:rsidRPr="00E73C98">
              <w:t>ance Criteria is explained here.</w:t>
            </w:r>
          </w:p>
        </w:tc>
      </w:tr>
      <w:tr w:rsidTr="00574F3F">
        <w:tblPrEx>
          <w:tblW w:w="9322" w:type="dxa"/>
          <w:tblLayout w:type="fixed"/>
          <w:tblCellMar>
            <w:left w:w="62" w:type="dxa"/>
            <w:right w:w="62" w:type="dxa"/>
          </w:tblCellMar>
          <w:tblLook w:val="0000"/>
        </w:tblPrEx>
        <w:trPr>
          <w:trHeight w:val="3215"/>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C98">
            <w:pPr>
              <w:pStyle w:val="BodyText"/>
              <w:rPr>
                <w:lang w:val="en-NZ"/>
              </w:rPr>
            </w:pPr>
            <w:r w:rsidRPr="00E73C98">
              <w:rPr>
                <w:rStyle w:val="BoldandItalics"/>
              </w:rPr>
              <w:t>Machinery of Government</w:t>
            </w:r>
            <w:r w:rsidRPr="00E73C9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C98" w:rsidP="00E73C98">
            <w:pPr>
              <w:pStyle w:val="ListBullet2"/>
            </w:pPr>
            <w:r w:rsidRPr="00E73C98">
              <w:t>cycles of government, such as budget cycle</w:t>
            </w:r>
          </w:p>
          <w:p w:rsidR="00000000" w:rsidRPr="00E73C98" w:rsidP="00E73C98">
            <w:pPr>
              <w:pStyle w:val="ListBullet"/>
            </w:pPr>
            <w:r w:rsidRPr="00E73C98">
              <w:t>separation of powers (Executive, Judiciary, Legislative)</w:t>
            </w:r>
          </w:p>
          <w:p w:rsidR="00000000" w:rsidRPr="00E73C98" w:rsidP="00E73C98">
            <w:pPr>
              <w:pStyle w:val="ListBullet"/>
            </w:pPr>
            <w:r w:rsidRPr="00E73C98">
              <w:t>levels of government (Federal, State/Territory, Local)</w:t>
            </w:r>
          </w:p>
          <w:p w:rsidR="00000000" w:rsidRPr="00E73C98" w:rsidP="00E73C98">
            <w:pPr>
              <w:pStyle w:val="ListBullet"/>
            </w:pPr>
            <w:r w:rsidRPr="00E73C98">
              <w:t>legislative process</w:t>
            </w:r>
          </w:p>
          <w:p w:rsidR="00000000" w:rsidRPr="00E73C98" w:rsidP="00E73C98">
            <w:pPr>
              <w:pStyle w:val="ListBullet"/>
            </w:pPr>
            <w:r w:rsidRPr="00E73C98">
              <w:t>role a</w:t>
            </w:r>
            <w:r w:rsidRPr="00E73C98">
              <w:t>nd functions of parliamentary structures (unicameral, bicameral)</w:t>
            </w:r>
          </w:p>
          <w:p w:rsidR="00000000" w:rsidRPr="00E73C98" w:rsidP="00E73C98">
            <w:pPr>
              <w:pStyle w:val="ListBullet"/>
            </w:pPr>
            <w:r w:rsidRPr="00E73C98">
              <w:t>Cabinet</w:t>
            </w:r>
          </w:p>
          <w:p w:rsidR="00000000" w:rsidRPr="00E73C98" w:rsidP="00E73C98">
            <w:pPr>
              <w:pStyle w:val="ListBullet"/>
            </w:pPr>
            <w:r w:rsidRPr="00E73C98">
              <w:t>Ministers</w:t>
            </w:r>
          </w:p>
          <w:p w:rsidR="00000000" w:rsidRPr="00E73C98" w:rsidP="00E73C98">
            <w:pPr>
              <w:pStyle w:val="ListBullet"/>
            </w:pPr>
            <w:r w:rsidRPr="00E73C98">
              <w:t>Ministerial portfolios</w:t>
            </w:r>
          </w:p>
          <w:p w:rsidR="00000000" w:rsidRPr="00E73C98" w:rsidP="00E73C98">
            <w:pPr>
              <w:pStyle w:val="ListBullet"/>
            </w:pPr>
            <w:r w:rsidRPr="00E73C98">
              <w:t>structure and functions of government departments</w:t>
            </w:r>
          </w:p>
          <w:p w:rsidR="00000000" w:rsidP="00E73C98">
            <w:pPr>
              <w:pStyle w:val="ListBullet"/>
              <w:rPr>
                <w:lang w:val="en-NZ"/>
              </w:rPr>
            </w:pPr>
            <w:r w:rsidRPr="00E73C98">
              <w:t>quasi-government organisations</w:t>
            </w:r>
          </w:p>
        </w:tc>
      </w:tr>
      <w:tr w:rsidTr="00574F3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C98">
            <w:pPr>
              <w:pStyle w:val="BodyText"/>
              <w:rPr>
                <w:lang w:val="en-NZ"/>
              </w:rPr>
            </w:pPr>
            <w:r w:rsidRPr="00E73C98">
              <w:rPr>
                <w:rStyle w:val="BoldandItalics"/>
              </w:rPr>
              <w:t xml:space="preserve">Information </w:t>
            </w:r>
            <w:r w:rsidRPr="00E73C9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C98" w:rsidP="00E73C98">
            <w:pPr>
              <w:pStyle w:val="ListBullet"/>
            </w:pPr>
            <w:r w:rsidRPr="00E73C98">
              <w:t>documents</w:t>
            </w:r>
          </w:p>
          <w:p w:rsidR="00000000" w:rsidRPr="00E73C98" w:rsidP="00E73C98">
            <w:pPr>
              <w:pStyle w:val="ListBullet"/>
            </w:pPr>
            <w:r w:rsidRPr="00E73C98">
              <w:t>databases</w:t>
            </w:r>
          </w:p>
          <w:p w:rsidR="00000000" w:rsidRPr="00E73C98" w:rsidP="00E73C98">
            <w:pPr>
              <w:pStyle w:val="ListBullet"/>
            </w:pPr>
            <w:r w:rsidRPr="00E73C98">
              <w:t>web sites</w:t>
            </w:r>
          </w:p>
          <w:p w:rsidR="00000000" w:rsidRPr="00E73C98" w:rsidP="00E73C98">
            <w:pPr>
              <w:pStyle w:val="ListBullet"/>
            </w:pPr>
            <w:r w:rsidRPr="00E73C98">
              <w:t>oral information from:</w:t>
            </w:r>
          </w:p>
          <w:p w:rsidR="00000000" w:rsidRPr="00E73C98" w:rsidP="00E73C98">
            <w:pPr>
              <w:pStyle w:val="ListBullet2"/>
            </w:pPr>
            <w:r w:rsidRPr="00E73C98">
              <w:t>managers</w:t>
            </w:r>
          </w:p>
          <w:p w:rsidR="00000000" w:rsidRPr="00E73C98" w:rsidP="00E73C98">
            <w:pPr>
              <w:pStyle w:val="ListBullet2"/>
            </w:pPr>
            <w:r w:rsidRPr="00E73C98">
              <w:t>supervisors</w:t>
            </w:r>
          </w:p>
          <w:p w:rsidR="00000000" w:rsidP="00E73C98">
            <w:pPr>
              <w:pStyle w:val="ListBullet2"/>
              <w:rPr>
                <w:lang w:val="en-NZ"/>
              </w:rPr>
            </w:pPr>
            <w:r w:rsidRPr="00E73C98">
              <w:t>colleagues</w:t>
            </w:r>
          </w:p>
        </w:tc>
      </w:tr>
      <w:tr w:rsidTr="00574F3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C98">
            <w:pPr>
              <w:pStyle w:val="BodyText"/>
              <w:rPr>
                <w:lang w:val="en-NZ"/>
              </w:rPr>
            </w:pPr>
            <w:r w:rsidRPr="00E73C98">
              <w:rPr>
                <w:rStyle w:val="BoldandItalics"/>
              </w:rPr>
              <w:t xml:space="preserve">Organisational structures </w:t>
            </w:r>
            <w:r w:rsidRPr="00E73C9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C98" w:rsidP="00E73C98">
            <w:pPr>
              <w:pStyle w:val="ListBullet"/>
            </w:pPr>
            <w:r w:rsidRPr="00E73C98">
              <w:t>bureaucratic structure and hierarchy</w:t>
            </w:r>
          </w:p>
          <w:p w:rsidR="00000000" w:rsidRPr="00E73C98" w:rsidP="00E73C98">
            <w:pPr>
              <w:pStyle w:val="ListBullet"/>
            </w:pPr>
            <w:r w:rsidRPr="00E73C98">
              <w:t>key personnel and their roles</w:t>
            </w:r>
          </w:p>
          <w:p w:rsidR="00000000" w:rsidP="00E73C98">
            <w:pPr>
              <w:pStyle w:val="ListBullet"/>
              <w:rPr>
                <w:lang w:val="en-NZ"/>
              </w:rPr>
            </w:pPr>
            <w:r w:rsidRPr="00E73C98">
              <w:t>key organisational functions and accountabilities</w:t>
            </w:r>
          </w:p>
        </w:tc>
      </w:tr>
      <w:tr w:rsidTr="00574F3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C98">
            <w:pPr>
              <w:pStyle w:val="BodyText"/>
              <w:rPr>
                <w:lang w:val="en-NZ"/>
              </w:rPr>
            </w:pPr>
            <w:r w:rsidRPr="00E73C98">
              <w:rPr>
                <w:rStyle w:val="BoldandItalics"/>
              </w:rPr>
              <w:t xml:space="preserve">Protocols </w:t>
            </w:r>
            <w:r w:rsidRPr="00E73C9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C98" w:rsidP="00E73C98">
            <w:pPr>
              <w:pStyle w:val="ListBullet"/>
            </w:pPr>
            <w:r w:rsidRPr="00E73C98">
              <w:t>forms of address</w:t>
            </w:r>
          </w:p>
          <w:p w:rsidR="00000000" w:rsidRPr="00E73C98" w:rsidP="00E73C98">
            <w:pPr>
              <w:pStyle w:val="ListBullet"/>
            </w:pPr>
            <w:r w:rsidRPr="00E73C98">
              <w:t>who may be addressed directly</w:t>
            </w:r>
          </w:p>
          <w:p w:rsidR="00000000" w:rsidRPr="00E73C98" w:rsidP="00E73C98">
            <w:pPr>
              <w:pStyle w:val="ListBullet"/>
            </w:pPr>
            <w:r w:rsidRPr="00E73C98">
              <w:t>written protocols/formats for written materials</w:t>
            </w:r>
          </w:p>
          <w:p w:rsidR="00000000" w:rsidRPr="00E73C98" w:rsidP="00E73C98">
            <w:pPr>
              <w:pStyle w:val="ListBullet"/>
            </w:pPr>
            <w:r w:rsidRPr="00E73C98">
              <w:t>restrictions relating to contact with:</w:t>
            </w:r>
          </w:p>
          <w:p w:rsidR="00000000" w:rsidRPr="00E73C98" w:rsidP="00E73C98">
            <w:pPr>
              <w:pStyle w:val="ListBullet2"/>
            </w:pPr>
            <w:r w:rsidRPr="00E73C98">
              <w:t>Minister's office</w:t>
            </w:r>
          </w:p>
          <w:p w:rsidR="00000000" w:rsidRPr="00E73C98" w:rsidP="00E73C98">
            <w:pPr>
              <w:pStyle w:val="ListBullet2"/>
            </w:pPr>
            <w:r w:rsidRPr="00E73C98">
              <w:t>media</w:t>
            </w:r>
          </w:p>
          <w:p w:rsidR="00000000" w:rsidRPr="00E73C98" w:rsidP="00E73C98">
            <w:pPr>
              <w:pStyle w:val="ListBullet2"/>
            </w:pPr>
            <w:r w:rsidRPr="00E73C98">
              <w:t>members of the public/specific interest groups</w:t>
            </w:r>
          </w:p>
          <w:p w:rsidR="00000000" w:rsidRPr="00E73C98" w:rsidP="00E73C98">
            <w:pPr>
              <w:pStyle w:val="ListBullet2"/>
            </w:pPr>
            <w:r w:rsidRPr="00E73C98">
              <w:t>Members of Parliament</w:t>
            </w:r>
          </w:p>
          <w:p w:rsidR="00000000" w:rsidRPr="00E73C98" w:rsidP="00E73C98">
            <w:pPr>
              <w:pStyle w:val="ListBullet2"/>
            </w:pPr>
            <w:r w:rsidRPr="00E73C98">
              <w:t>other government departments</w:t>
            </w:r>
          </w:p>
          <w:p w:rsidR="00000000" w:rsidRPr="00E73C98" w:rsidP="00E73C98">
            <w:pPr>
              <w:pStyle w:val="ListBullet2"/>
            </w:pPr>
            <w:r w:rsidRPr="00E73C98">
              <w:t>senior management/Board members</w:t>
            </w:r>
          </w:p>
          <w:p w:rsidR="00000000" w:rsidRPr="00E73C98" w:rsidP="00E73C98">
            <w:pPr>
              <w:pStyle w:val="ListBullet2"/>
            </w:pPr>
            <w:r w:rsidRPr="00E73C98">
              <w:t>government and opposition parties</w:t>
            </w:r>
          </w:p>
        </w:tc>
      </w:tr>
    </w:tbl>
    <w:p w:rsidR="00574F3F" w:rsidP="00E73C98">
      <w:pPr>
        <w:pStyle w:val="BodyText"/>
      </w:pPr>
    </w:p>
    <w:p w:rsidR="00574F3F" w:rsidP="00E73C98">
      <w:pPr>
        <w:pStyle w:val="BodyText"/>
      </w:pPr>
    </w:p>
    <w:p w:rsidR="00000000" w:rsidRPr="00E73C98" w:rsidP="00E73C98">
      <w:pPr>
        <w:pStyle w:val="Heading1"/>
      </w:pPr>
      <w:bookmarkStart w:id="12" w:name="O_493280"/>
      <w:bookmarkEnd w:id="12"/>
      <w:r w:rsidRPr="00E73C98">
        <w:t>Unit Sector(s)</w:t>
      </w:r>
    </w:p>
    <w:p w:rsidR="00000000" w:rsidRPr="00E73C98" w:rsidP="00E73C98">
      <w:pPr>
        <w:pStyle w:val="BodyText"/>
      </w:pPr>
      <w:r w:rsidRPr="00E73C98">
        <w:t>Not applicable.</w:t>
      </w:r>
    </w:p>
    <w:p w:rsidR="00000000" w:rsidRPr="00E73C98" w:rsidP="00E73C98">
      <w:pPr>
        <w:pStyle w:val="AllowPageBreak"/>
      </w:pPr>
    </w:p>
    <w:p w:rsidR="00000000" w:rsidRPr="00E73C98" w:rsidP="00E73C98">
      <w:pPr>
        <w:pStyle w:val="Heading1"/>
      </w:pPr>
      <w:bookmarkStart w:id="13" w:name="O_493291"/>
      <w:bookmarkEnd w:id="13"/>
      <w:r w:rsidRPr="00E73C98">
        <w:t>Competency field</w:t>
      </w:r>
    </w:p>
    <w:p w:rsidR="00000000" w:rsidRPr="00E73C98" w:rsidP="00E73C98">
      <w:pPr>
        <w:pStyle w:val="BodyText"/>
      </w:pPr>
      <w:r w:rsidRPr="00E73C98">
        <w:t>Working in Government.</w:t>
      </w:r>
    </w:p>
    <w:p w:rsidR="00000000" w:rsidRPr="00E73C98" w:rsidP="00E73C98"/>
    <w:sectPr w:rsidSect="00E73C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4F3F" w:rsidP="00574F3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F3F" w:rsidP="00E73C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4F3F" w:rsidP="00E73C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74F3F" w:rsidP="00E73C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98" w:rsidRPr="00574F3F" w:rsidP="00574F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F3F" w:rsidRPr="002D2AF8" w:rsidP="00E73C98">
    <w:pPr>
      <w:pStyle w:val="Header"/>
      <w:framePr w:wrap="around"/>
    </w:pPr>
    <w:r>
      <w:fldChar w:fldCharType="begin"/>
    </w:r>
    <w:r>
      <w:instrText xml:space="preserve"> TITLE   \* MERGEFORMAT </w:instrText>
    </w:r>
    <w:r>
      <w:fldChar w:fldCharType="separate"/>
    </w:r>
    <w:r>
      <w:t>PSPGOV422A Apply government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74F3F" w:rsidP="00E73C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049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8B1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305B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C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C98"/>
    <w:pPr>
      <w:spacing w:before="360" w:after="60"/>
      <w:outlineLvl w:val="0"/>
    </w:pPr>
    <w:rPr>
      <w:sz w:val="32"/>
    </w:rPr>
  </w:style>
  <w:style w:type="paragraph" w:styleId="Heading2">
    <w:name w:val="heading 2"/>
    <w:basedOn w:val="HeadingBase"/>
    <w:next w:val="BodyText"/>
    <w:link w:val="Heading2Char"/>
    <w:qFormat/>
    <w:rsid w:val="00E73C98"/>
    <w:pPr>
      <w:keepLines/>
      <w:spacing w:before="240" w:after="120"/>
      <w:outlineLvl w:val="1"/>
    </w:pPr>
    <w:rPr>
      <w:sz w:val="28"/>
      <w:szCs w:val="40"/>
    </w:rPr>
  </w:style>
  <w:style w:type="paragraph" w:styleId="Heading3">
    <w:name w:val="heading 3"/>
    <w:basedOn w:val="HeadingBase"/>
    <w:next w:val="BodyText"/>
    <w:link w:val="Heading3Char"/>
    <w:qFormat/>
    <w:rsid w:val="00E73C98"/>
    <w:pPr>
      <w:spacing w:before="180" w:after="120"/>
      <w:outlineLvl w:val="2"/>
    </w:pPr>
    <w:rPr>
      <w:spacing w:val="-10"/>
      <w:kern w:val="32"/>
    </w:rPr>
  </w:style>
  <w:style w:type="paragraph" w:styleId="Heading4">
    <w:name w:val="heading 4"/>
    <w:basedOn w:val="HeadingBase"/>
    <w:next w:val="BodyText"/>
    <w:link w:val="Heading4Char"/>
    <w:qFormat/>
    <w:rsid w:val="00E73C98"/>
    <w:pPr>
      <w:spacing w:before="160" w:after="120"/>
      <w:outlineLvl w:val="3"/>
    </w:pPr>
    <w:rPr>
      <w:sz w:val="22"/>
    </w:rPr>
  </w:style>
  <w:style w:type="paragraph" w:styleId="Heading5">
    <w:name w:val="heading 5"/>
    <w:basedOn w:val="HeadingBase"/>
    <w:next w:val="Normal"/>
    <w:link w:val="Heading5Char"/>
    <w:qFormat/>
    <w:rsid w:val="00E73C98"/>
    <w:pPr>
      <w:spacing w:before="80"/>
      <w:outlineLvl w:val="4"/>
    </w:pPr>
    <w:rPr>
      <w:color w:val="918585"/>
      <w:sz w:val="20"/>
    </w:rPr>
  </w:style>
  <w:style w:type="paragraph" w:styleId="Heading6">
    <w:name w:val="heading 6"/>
    <w:basedOn w:val="HeadingBase"/>
    <w:next w:val="Normal"/>
    <w:link w:val="Heading6Char"/>
    <w:qFormat/>
    <w:rsid w:val="00E73C98"/>
    <w:pPr>
      <w:spacing w:before="60"/>
      <w:outlineLvl w:val="5"/>
    </w:pPr>
    <w:rPr>
      <w:color w:val="918585"/>
      <w:sz w:val="20"/>
    </w:rPr>
  </w:style>
  <w:style w:type="paragraph" w:styleId="Heading7">
    <w:name w:val="heading 7"/>
    <w:basedOn w:val="Normal"/>
    <w:next w:val="Normal"/>
    <w:link w:val="Heading7Char"/>
    <w:qFormat/>
    <w:rsid w:val="00E73C98"/>
    <w:pPr>
      <w:ind w:left="720"/>
      <w:outlineLvl w:val="6"/>
    </w:pPr>
    <w:rPr>
      <w:i/>
    </w:rPr>
  </w:style>
  <w:style w:type="paragraph" w:styleId="Heading8">
    <w:name w:val="heading 8"/>
    <w:basedOn w:val="Normal"/>
    <w:next w:val="Normal"/>
    <w:link w:val="Heading8Char"/>
    <w:qFormat/>
    <w:rsid w:val="00E73C98"/>
    <w:pPr>
      <w:ind w:left="720"/>
      <w:outlineLvl w:val="7"/>
    </w:pPr>
    <w:rPr>
      <w:i/>
    </w:rPr>
  </w:style>
  <w:style w:type="paragraph" w:styleId="Heading9">
    <w:name w:val="heading 9"/>
    <w:basedOn w:val="Normal"/>
    <w:next w:val="Normal"/>
    <w:link w:val="Heading9Char"/>
    <w:qFormat/>
    <w:rsid w:val="00E73C98"/>
    <w:pPr>
      <w:ind w:left="720"/>
      <w:outlineLvl w:val="8"/>
    </w:pPr>
    <w:rPr>
      <w:i/>
    </w:rPr>
  </w:style>
  <w:style w:type="character" w:default="1" w:styleId="DefaultParagraphFont">
    <w:name w:val="Default Paragraph Font"/>
    <w:uiPriority w:val="1"/>
    <w:unhideWhenUsed/>
    <w:rsid w:val="00E73C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C98"/>
  </w:style>
  <w:style w:type="character" w:customStyle="1" w:styleId="Heading1Char">
    <w:name w:val="Heading 1 Char"/>
    <w:basedOn w:val="DefaultParagraphFont"/>
    <w:link w:val="Heading1"/>
    <w:rsid w:val="00E73C98"/>
    <w:rPr>
      <w:rFonts w:ascii="Times New Roman" w:eastAsia="Times New Roman" w:hAnsi="Times New Roman" w:cs="Times New Roman"/>
      <w:b/>
      <w:sz w:val="32"/>
      <w:szCs w:val="20"/>
      <w:lang w:eastAsia="en-US"/>
    </w:rPr>
  </w:style>
  <w:style w:type="paragraph" w:styleId="BodyText">
    <w:name w:val="Body Text"/>
    <w:basedOn w:val="Normal"/>
    <w:link w:val="BodyTextChar"/>
    <w:rsid w:val="00E73C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3C98"/>
    <w:rPr>
      <w:rFonts w:ascii="Times New Roman" w:eastAsia="Times New Roman" w:hAnsi="Times New Roman" w:cs="Times New Roman"/>
      <w:sz w:val="24"/>
      <w:lang w:eastAsia="en-US"/>
    </w:rPr>
  </w:style>
  <w:style w:type="paragraph" w:styleId="Footer">
    <w:name w:val="footer"/>
    <w:basedOn w:val="Normal"/>
    <w:link w:val="FooterChar"/>
    <w:rsid w:val="00E73C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C98"/>
    <w:rPr>
      <w:rFonts w:ascii="Times New Roman" w:eastAsia="Times New Roman" w:hAnsi="Times New Roman" w:cs="Times New Roman"/>
      <w:sz w:val="16"/>
      <w:lang w:eastAsia="en-US"/>
    </w:rPr>
  </w:style>
  <w:style w:type="paragraph" w:styleId="List">
    <w:name w:val="List"/>
    <w:basedOn w:val="BodyText"/>
    <w:next w:val="BodyText"/>
    <w:rsid w:val="00E73C98"/>
    <w:pPr>
      <w:tabs>
        <w:tab w:val="left" w:pos="340"/>
      </w:tabs>
      <w:spacing w:before="60" w:after="60"/>
      <w:ind w:left="340" w:hanging="340"/>
    </w:pPr>
  </w:style>
  <w:style w:type="paragraph" w:styleId="ListBullet">
    <w:name w:val="List Bullet"/>
    <w:basedOn w:val="List"/>
    <w:rsid w:val="00E73C98"/>
    <w:pPr>
      <w:numPr>
        <w:numId w:val="13"/>
      </w:numPr>
      <w:tabs>
        <w:tab w:val="clear" w:pos="340"/>
      </w:tabs>
      <w:spacing w:before="40" w:after="40"/>
    </w:pPr>
  </w:style>
  <w:style w:type="character" w:customStyle="1" w:styleId="SpecialBold">
    <w:name w:val="Special Bold"/>
    <w:basedOn w:val="DefaultParagraphFont"/>
    <w:rsid w:val="00E73C98"/>
    <w:rPr>
      <w:b/>
      <w:spacing w:val="0"/>
    </w:rPr>
  </w:style>
  <w:style w:type="paragraph" w:styleId="ListBullet2">
    <w:name w:val="List Bullet 2"/>
    <w:basedOn w:val="List2"/>
    <w:rsid w:val="00E73C98"/>
    <w:pPr>
      <w:numPr>
        <w:numId w:val="14"/>
      </w:numPr>
      <w:tabs>
        <w:tab w:val="clear" w:pos="680"/>
      </w:tabs>
    </w:pPr>
  </w:style>
  <w:style w:type="character" w:styleId="Emphasis">
    <w:name w:val="Emphasis"/>
    <w:basedOn w:val="DefaultParagraphFont"/>
    <w:qFormat/>
    <w:rsid w:val="00E73C98"/>
    <w:rPr>
      <w:i/>
    </w:rPr>
  </w:style>
  <w:style w:type="paragraph" w:customStyle="1" w:styleId="SuperHeading">
    <w:name w:val="SuperHeading"/>
    <w:basedOn w:val="Normal"/>
    <w:rsid w:val="00E73C98"/>
    <w:pPr>
      <w:spacing w:before="240" w:after="120"/>
      <w:outlineLvl w:val="0"/>
    </w:pPr>
    <w:rPr>
      <w:rFonts w:ascii="Times New Roman" w:hAnsi="Times New Roman"/>
      <w:b/>
      <w:sz w:val="28"/>
    </w:rPr>
  </w:style>
  <w:style w:type="paragraph" w:customStyle="1" w:styleId="AllowPageBreak">
    <w:name w:val="AllowPageBreak"/>
    <w:rsid w:val="00E73C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E73C98"/>
    <w:rPr>
      <w:u w:val="single"/>
    </w:rPr>
  </w:style>
  <w:style w:type="character" w:customStyle="1" w:styleId="BoldandItalics">
    <w:name w:val="Bold and Italics"/>
    <w:qFormat/>
    <w:rsid w:val="00E73C98"/>
    <w:rPr>
      <w:b/>
      <w:i/>
      <w:u w:val="none"/>
    </w:rPr>
  </w:style>
  <w:style w:type="character" w:customStyle="1" w:styleId="Heading2Char">
    <w:name w:val="Heading 2 Char"/>
    <w:basedOn w:val="DefaultParagraphFont"/>
    <w:link w:val="Heading2"/>
    <w:rsid w:val="00E73C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C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C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C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C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C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C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C98"/>
    <w:rPr>
      <w:rFonts w:ascii="Courier New" w:eastAsia="Times New Roman" w:hAnsi="Courier New" w:cs="Times New Roman"/>
      <w:i/>
      <w:szCs w:val="20"/>
      <w:lang w:eastAsia="en-US"/>
    </w:rPr>
  </w:style>
  <w:style w:type="paragraph" w:customStyle="1" w:styleId="HeadingBase">
    <w:name w:val="Heading Base"/>
    <w:rsid w:val="00E73C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C98"/>
    <w:pPr>
      <w:tabs>
        <w:tab w:val="right" w:leader="dot" w:pos="9072"/>
      </w:tabs>
      <w:ind w:left="567"/>
    </w:pPr>
    <w:rPr>
      <w:szCs w:val="22"/>
    </w:rPr>
  </w:style>
  <w:style w:type="paragraph" w:customStyle="1" w:styleId="TOCBase">
    <w:name w:val="TOC Base"/>
    <w:rsid w:val="00E73C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C98"/>
    <w:pPr>
      <w:tabs>
        <w:tab w:val="right" w:leader="dot" w:pos="9072"/>
      </w:tabs>
      <w:spacing w:before="40" w:after="40"/>
      <w:ind w:left="284"/>
    </w:pPr>
    <w:rPr>
      <w:rFonts w:ascii="Times New Roman" w:hAnsi="Times New Roman"/>
    </w:rPr>
  </w:style>
  <w:style w:type="paragraph" w:styleId="TOC1">
    <w:name w:val="toc 1"/>
    <w:basedOn w:val="TOCBase"/>
    <w:next w:val="Normal"/>
    <w:rsid w:val="00E73C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3C98"/>
    <w:pPr>
      <w:spacing w:before="5040"/>
      <w:jc w:val="center"/>
    </w:pPr>
    <w:rPr>
      <w:sz w:val="48"/>
      <w:szCs w:val="72"/>
      <w:lang w:val="en-US"/>
    </w:rPr>
  </w:style>
  <w:style w:type="character" w:customStyle="1" w:styleId="TitleChar">
    <w:name w:val="Title Char"/>
    <w:basedOn w:val="DefaultParagraphFont"/>
    <w:link w:val="Title"/>
    <w:rsid w:val="00E73C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C98"/>
    <w:pPr>
      <w:tabs>
        <w:tab w:val="left" w:pos="3600"/>
        <w:tab w:val="left" w:pos="3958"/>
      </w:tabs>
    </w:pPr>
  </w:style>
  <w:style w:type="paragraph" w:customStyle="1" w:styleId="Note">
    <w:name w:val="Note"/>
    <w:basedOn w:val="BodyText"/>
    <w:rsid w:val="00E73C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C98"/>
    <w:pPr>
      <w:framePr w:wrap="auto" w:hAnchor="text" w:y="6049"/>
    </w:pPr>
    <w:rPr>
      <w:color w:val="000000"/>
      <w:sz w:val="40"/>
    </w:rPr>
  </w:style>
  <w:style w:type="paragraph" w:customStyle="1" w:styleId="TOCTitle">
    <w:name w:val="TOCTitle"/>
    <w:basedOn w:val="Heading1"/>
    <w:rsid w:val="00E73C98"/>
    <w:pPr>
      <w:spacing w:after="240"/>
      <w:jc w:val="center"/>
      <w:outlineLvl w:val="9"/>
    </w:pPr>
    <w:rPr>
      <w:caps/>
    </w:rPr>
  </w:style>
  <w:style w:type="paragraph" w:customStyle="1" w:styleId="Version">
    <w:name w:val="Version"/>
    <w:rsid w:val="00E73C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C98"/>
    <w:pPr>
      <w:keepNext w:val="0"/>
      <w:tabs>
        <w:tab w:val="right" w:pos="4176"/>
      </w:tabs>
      <w:ind w:left="198" w:hanging="198"/>
    </w:pPr>
    <w:rPr>
      <w:rFonts w:ascii="Garamond" w:hAnsi="Garamond"/>
    </w:rPr>
  </w:style>
  <w:style w:type="paragraph" w:styleId="IndexHeading">
    <w:name w:val="index heading"/>
    <w:basedOn w:val="Normal"/>
    <w:next w:val="Index1"/>
    <w:semiHidden/>
    <w:rsid w:val="00E73C98"/>
    <w:pPr>
      <w:spacing w:before="120" w:after="120"/>
    </w:pPr>
    <w:rPr>
      <w:rFonts w:ascii="Arial" w:hAnsi="Arial"/>
      <w:b/>
      <w:color w:val="918585"/>
      <w:sz w:val="24"/>
    </w:rPr>
  </w:style>
  <w:style w:type="paragraph" w:styleId="Header">
    <w:name w:val="header"/>
    <w:basedOn w:val="Normal"/>
    <w:link w:val="HeaderChar"/>
    <w:rsid w:val="00E73C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C98"/>
    <w:rPr>
      <w:rFonts w:ascii="Times New Roman" w:eastAsia="Times New Roman" w:hAnsi="Times New Roman" w:cs="Times New Roman"/>
      <w:sz w:val="16"/>
      <w:szCs w:val="20"/>
      <w:lang w:val="en-GB" w:eastAsia="en-US"/>
    </w:rPr>
  </w:style>
  <w:style w:type="paragraph" w:customStyle="1" w:styleId="Chapter">
    <w:name w:val="Chapter"/>
    <w:basedOn w:val="Normal"/>
    <w:rsid w:val="00E73C98"/>
    <w:pPr>
      <w:spacing w:before="240"/>
    </w:pPr>
    <w:rPr>
      <w:rFonts w:ascii="Times New Roman" w:hAnsi="Times New Roman"/>
      <w:smallCaps/>
      <w:spacing w:val="80"/>
      <w:sz w:val="28"/>
    </w:rPr>
  </w:style>
  <w:style w:type="paragraph" w:customStyle="1" w:styleId="InChapter">
    <w:name w:val="InChapter"/>
    <w:basedOn w:val="Heading3"/>
    <w:rsid w:val="00E73C98"/>
    <w:pPr>
      <w:spacing w:after="240"/>
      <w:outlineLvl w:val="9"/>
    </w:pPr>
    <w:rPr>
      <w:noProof/>
    </w:rPr>
  </w:style>
  <w:style w:type="paragraph" w:styleId="Index2">
    <w:name w:val="index 2"/>
    <w:basedOn w:val="Normal"/>
    <w:next w:val="Normal"/>
    <w:semiHidden/>
    <w:rsid w:val="00E73C98"/>
    <w:pPr>
      <w:tabs>
        <w:tab w:val="right" w:pos="4176"/>
      </w:tabs>
      <w:ind w:left="568" w:hanging="284"/>
    </w:pPr>
    <w:rPr>
      <w:rFonts w:ascii="Garamond" w:hAnsi="Garamond"/>
    </w:rPr>
  </w:style>
  <w:style w:type="paragraph" w:customStyle="1" w:styleId="Byline">
    <w:name w:val="Byline"/>
    <w:rsid w:val="00E73C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C98"/>
    <w:pPr>
      <w:tabs>
        <w:tab w:val="clear" w:pos="3600"/>
        <w:tab w:val="clear" w:pos="3958"/>
      </w:tabs>
      <w:jc w:val="right"/>
    </w:pPr>
  </w:style>
  <w:style w:type="paragraph" w:styleId="Caption">
    <w:name w:val="caption"/>
    <w:basedOn w:val="BodyText"/>
    <w:next w:val="Normal"/>
    <w:qFormat/>
    <w:rsid w:val="00E73C98"/>
    <w:pPr>
      <w:framePr w:w="2268" w:hSpace="181" w:vSpace="181" w:wrap="around" w:vAnchor="text" w:hAnchor="page" w:x="1135" w:y="285" w:anchorLock="1"/>
    </w:pPr>
    <w:rPr>
      <w:i/>
    </w:rPr>
  </w:style>
  <w:style w:type="paragraph" w:customStyle="1" w:styleId="MiniTOCTitle">
    <w:name w:val="MiniTOCTitle"/>
    <w:basedOn w:val="Heading4"/>
    <w:rsid w:val="00E73C98"/>
    <w:pPr>
      <w:spacing w:before="240"/>
      <w:outlineLvl w:val="9"/>
    </w:pPr>
    <w:rPr>
      <w:noProof/>
      <w:sz w:val="24"/>
    </w:rPr>
  </w:style>
  <w:style w:type="paragraph" w:customStyle="1" w:styleId="MiniTOCItem">
    <w:name w:val="MiniTOCItem"/>
    <w:basedOn w:val="ListBullet"/>
    <w:rsid w:val="00E73C98"/>
    <w:pPr>
      <w:numPr>
        <w:numId w:val="0"/>
      </w:numPr>
      <w:tabs>
        <w:tab w:val="right" w:leader="dot" w:pos="6521"/>
      </w:tabs>
      <w:spacing w:before="0" w:after="0"/>
    </w:pPr>
  </w:style>
  <w:style w:type="paragraph" w:customStyle="1" w:styleId="TOFTitle">
    <w:name w:val="TOFTitle"/>
    <w:basedOn w:val="TOCTitle"/>
    <w:rsid w:val="00E73C98"/>
  </w:style>
  <w:style w:type="paragraph" w:styleId="TableofFigures">
    <w:name w:val="table of figures"/>
    <w:basedOn w:val="Normal"/>
    <w:next w:val="Normal"/>
    <w:semiHidden/>
    <w:rsid w:val="00E73C98"/>
    <w:pPr>
      <w:tabs>
        <w:tab w:val="right" w:leader="dot" w:pos="9072"/>
      </w:tabs>
      <w:ind w:left="970" w:hanging="403"/>
    </w:pPr>
    <w:rPr>
      <w:rFonts w:ascii="Times New Roman" w:hAnsi="Times New Roman"/>
      <w:b/>
    </w:rPr>
  </w:style>
  <w:style w:type="paragraph" w:styleId="ListNumber">
    <w:name w:val="List Number"/>
    <w:basedOn w:val="List"/>
    <w:rsid w:val="00E73C98"/>
    <w:pPr>
      <w:numPr>
        <w:numId w:val="11"/>
      </w:numPr>
    </w:pPr>
  </w:style>
  <w:style w:type="character" w:customStyle="1" w:styleId="WingdingSymbols">
    <w:name w:val="Wingding Symbols"/>
    <w:rsid w:val="00E73C98"/>
    <w:rPr>
      <w:rFonts w:ascii="Wingdings" w:hAnsi="Wingdings"/>
    </w:rPr>
  </w:style>
  <w:style w:type="paragraph" w:customStyle="1" w:styleId="TableHeading">
    <w:name w:val="Table Heading"/>
    <w:basedOn w:val="HeadingBase"/>
    <w:rsid w:val="00E73C98"/>
    <w:pPr>
      <w:keepLines/>
      <w:pBdr>
        <w:bottom w:val="single" w:sz="6" w:space="1" w:color="918585"/>
      </w:pBdr>
      <w:spacing w:before="240"/>
    </w:pPr>
  </w:style>
  <w:style w:type="character" w:customStyle="1" w:styleId="HotSpot">
    <w:name w:val="HotSpot"/>
    <w:rsid w:val="00E73C98"/>
    <w:rPr>
      <w:color w:val="0033CC"/>
      <w:u w:val="none"/>
    </w:rPr>
  </w:style>
  <w:style w:type="paragraph" w:customStyle="1" w:styleId="BodyTextRight">
    <w:name w:val="Body Text Right"/>
    <w:basedOn w:val="BodyText"/>
    <w:rsid w:val="00E73C98"/>
    <w:pPr>
      <w:spacing w:before="0" w:after="0"/>
      <w:jc w:val="right"/>
    </w:pPr>
  </w:style>
  <w:style w:type="paragraph" w:styleId="Index3">
    <w:name w:val="index 3"/>
    <w:basedOn w:val="ListNumber2"/>
    <w:next w:val="Normal"/>
    <w:semiHidden/>
    <w:rsid w:val="00E73C98"/>
    <w:pPr>
      <w:numPr>
        <w:numId w:val="0"/>
      </w:numPr>
      <w:tabs>
        <w:tab w:val="right" w:leader="dot" w:pos="4176"/>
      </w:tabs>
    </w:pPr>
  </w:style>
  <w:style w:type="paragraph" w:styleId="ListNumber2">
    <w:name w:val="List Number 2"/>
    <w:basedOn w:val="List2"/>
    <w:rsid w:val="00E73C98"/>
    <w:pPr>
      <w:numPr>
        <w:numId w:val="10"/>
      </w:numPr>
      <w:tabs>
        <w:tab w:val="clear" w:pos="1060"/>
      </w:tabs>
    </w:pPr>
  </w:style>
  <w:style w:type="paragraph" w:customStyle="1" w:styleId="MarginNote">
    <w:name w:val="Margin Note"/>
    <w:basedOn w:val="BodyText"/>
    <w:rsid w:val="00E73C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C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C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C98"/>
    <w:rPr>
      <w:sz w:val="32"/>
    </w:rPr>
  </w:style>
  <w:style w:type="paragraph" w:customStyle="1" w:styleId="HeadingProcedure">
    <w:name w:val="Heading Procedure"/>
    <w:basedOn w:val="HeadingBase"/>
    <w:next w:val="Normal"/>
    <w:rsid w:val="00E73C98"/>
    <w:pPr>
      <w:tabs>
        <w:tab w:val="left" w:pos="0"/>
      </w:tabs>
      <w:spacing w:before="120" w:after="60"/>
    </w:pPr>
    <w:rPr>
      <w:i/>
      <w:color w:val="918585"/>
      <w:sz w:val="22"/>
    </w:rPr>
  </w:style>
  <w:style w:type="paragraph" w:customStyle="1" w:styleId="TableBodyText">
    <w:name w:val="Table Body Text"/>
    <w:basedOn w:val="BodyText"/>
    <w:rsid w:val="00E73C98"/>
    <w:pPr>
      <w:spacing w:before="60" w:after="60"/>
    </w:pPr>
  </w:style>
  <w:style w:type="paragraph" w:styleId="ListContinue">
    <w:name w:val="List Continue"/>
    <w:basedOn w:val="List"/>
    <w:rsid w:val="00E73C98"/>
    <w:pPr>
      <w:ind w:firstLine="0"/>
    </w:pPr>
  </w:style>
  <w:style w:type="paragraph" w:customStyle="1" w:styleId="ListNote">
    <w:name w:val="List Note"/>
    <w:basedOn w:val="List"/>
    <w:rsid w:val="00E73C98"/>
    <w:pPr>
      <w:pBdr>
        <w:top w:val="single" w:sz="6" w:space="2" w:color="918585"/>
        <w:bottom w:val="single" w:sz="6" w:space="2" w:color="918585"/>
      </w:pBdr>
      <w:tabs>
        <w:tab w:val="left" w:pos="1021"/>
      </w:tabs>
      <w:ind w:firstLine="0"/>
    </w:pPr>
  </w:style>
  <w:style w:type="paragraph" w:customStyle="1" w:styleId="Warning">
    <w:name w:val="Warning"/>
    <w:basedOn w:val="BodyText"/>
    <w:rsid w:val="00E73C98"/>
    <w:pPr>
      <w:shd w:val="clear" w:color="auto" w:fill="D9D9D9"/>
      <w:tabs>
        <w:tab w:val="left" w:pos="992"/>
      </w:tabs>
      <w:ind w:left="119" w:right="119"/>
    </w:pPr>
    <w:rPr>
      <w:sz w:val="20"/>
    </w:rPr>
  </w:style>
  <w:style w:type="paragraph" w:customStyle="1" w:styleId="MarginIcons">
    <w:name w:val="Margin Icons"/>
    <w:basedOn w:val="BodyText"/>
    <w:rsid w:val="00E73C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C98"/>
    <w:rPr>
      <w:rFonts w:ascii="Courier New" w:hAnsi="Courier New"/>
    </w:rPr>
  </w:style>
  <w:style w:type="paragraph" w:customStyle="1" w:styleId="NoteBullet">
    <w:name w:val="Note Bullet"/>
    <w:basedOn w:val="Note"/>
    <w:rsid w:val="00E73C98"/>
    <w:pPr>
      <w:tabs>
        <w:tab w:val="clear" w:pos="680"/>
      </w:tabs>
      <w:spacing w:before="60" w:after="60"/>
    </w:pPr>
  </w:style>
  <w:style w:type="paragraph" w:customStyle="1" w:styleId="SubHeading2">
    <w:name w:val="SubHeading2"/>
    <w:basedOn w:val="HeadingBase"/>
    <w:rsid w:val="00E73C98"/>
    <w:pPr>
      <w:spacing w:before="240" w:after="60"/>
    </w:pPr>
    <w:rPr>
      <w:sz w:val="20"/>
    </w:rPr>
  </w:style>
  <w:style w:type="paragraph" w:customStyle="1" w:styleId="SubHeading1">
    <w:name w:val="SubHeading1"/>
    <w:basedOn w:val="HeadingBase"/>
    <w:rsid w:val="00E73C98"/>
    <w:pPr>
      <w:spacing w:before="240" w:after="60"/>
    </w:pPr>
    <w:rPr>
      <w:color w:val="918585"/>
      <w:sz w:val="22"/>
    </w:rPr>
  </w:style>
  <w:style w:type="paragraph" w:customStyle="1" w:styleId="SideHeading">
    <w:name w:val="Side Heading"/>
    <w:basedOn w:val="HeadingBase"/>
    <w:rsid w:val="00E73C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C98"/>
    <w:pPr>
      <w:numPr>
        <w:numId w:val="12"/>
      </w:numPr>
    </w:pPr>
  </w:style>
  <w:style w:type="paragraph" w:styleId="PlainText">
    <w:name w:val="Plain Text"/>
    <w:basedOn w:val="Normal"/>
    <w:link w:val="PlainTextChar"/>
    <w:rsid w:val="00E73C98"/>
    <w:rPr>
      <w:sz w:val="20"/>
    </w:rPr>
  </w:style>
  <w:style w:type="character" w:customStyle="1" w:styleId="PlainTextChar">
    <w:name w:val="Plain Text Char"/>
    <w:basedOn w:val="DefaultParagraphFont"/>
    <w:link w:val="PlainText"/>
    <w:rsid w:val="00E73C98"/>
    <w:rPr>
      <w:rFonts w:ascii="Courier New" w:eastAsia="Times New Roman" w:hAnsi="Courier New" w:cs="Times New Roman"/>
      <w:sz w:val="20"/>
      <w:szCs w:val="20"/>
      <w:lang w:eastAsia="en-US"/>
    </w:rPr>
  </w:style>
  <w:style w:type="character" w:customStyle="1" w:styleId="MenuOption">
    <w:name w:val="Menu Option"/>
    <w:basedOn w:val="DefaultParagraphFont"/>
    <w:rsid w:val="00E73C98"/>
    <w:rPr>
      <w:b/>
      <w:smallCaps/>
    </w:rPr>
  </w:style>
  <w:style w:type="paragraph" w:customStyle="1" w:styleId="TableListNumber">
    <w:name w:val="Table List Number"/>
    <w:basedOn w:val="ListNumber"/>
    <w:rsid w:val="00E73C98"/>
    <w:pPr>
      <w:numPr>
        <w:numId w:val="0"/>
      </w:numPr>
    </w:pPr>
  </w:style>
  <w:style w:type="paragraph" w:styleId="TOC4">
    <w:name w:val="toc 4"/>
    <w:basedOn w:val="TOCBase"/>
    <w:next w:val="Normal"/>
    <w:semiHidden/>
    <w:rsid w:val="00E73C98"/>
    <w:pPr>
      <w:tabs>
        <w:tab w:val="right" w:leader="dot" w:pos="9071"/>
      </w:tabs>
      <w:ind w:left="1701"/>
    </w:pPr>
  </w:style>
  <w:style w:type="paragraph" w:customStyle="1" w:styleId="ListAlpha">
    <w:name w:val="List Alpha"/>
    <w:basedOn w:val="List"/>
    <w:rsid w:val="00E73C98"/>
    <w:pPr>
      <w:numPr>
        <w:numId w:val="9"/>
      </w:numPr>
    </w:pPr>
  </w:style>
  <w:style w:type="paragraph" w:customStyle="1" w:styleId="ListAlpha2">
    <w:name w:val="List Alpha 2"/>
    <w:basedOn w:val="List2"/>
    <w:rsid w:val="00E73C98"/>
    <w:pPr>
      <w:numPr>
        <w:numId w:val="8"/>
      </w:numPr>
    </w:pPr>
  </w:style>
  <w:style w:type="paragraph" w:styleId="List2">
    <w:name w:val="List 2"/>
    <w:basedOn w:val="BodyText"/>
    <w:rsid w:val="00E73C98"/>
    <w:pPr>
      <w:tabs>
        <w:tab w:val="left" w:pos="680"/>
      </w:tabs>
      <w:spacing w:before="60" w:after="60"/>
      <w:ind w:left="680" w:hanging="340"/>
    </w:pPr>
  </w:style>
  <w:style w:type="paragraph" w:styleId="List3">
    <w:name w:val="List 3"/>
    <w:basedOn w:val="BodyText"/>
    <w:rsid w:val="00E73C98"/>
    <w:pPr>
      <w:tabs>
        <w:tab w:val="left" w:pos="1021"/>
      </w:tabs>
      <w:spacing w:before="60" w:after="60"/>
      <w:ind w:left="1020" w:hanging="340"/>
    </w:pPr>
  </w:style>
  <w:style w:type="paragraph" w:styleId="List4">
    <w:name w:val="List 4"/>
    <w:basedOn w:val="BodyText"/>
    <w:rsid w:val="00E73C98"/>
    <w:pPr>
      <w:tabs>
        <w:tab w:val="left" w:pos="1361"/>
      </w:tabs>
      <w:spacing w:before="60" w:after="60"/>
      <w:ind w:left="1361" w:hanging="340"/>
    </w:pPr>
  </w:style>
  <w:style w:type="paragraph" w:styleId="List5">
    <w:name w:val="List 5"/>
    <w:basedOn w:val="BodyText"/>
    <w:rsid w:val="00E73C98"/>
    <w:pPr>
      <w:tabs>
        <w:tab w:val="left" w:pos="1701"/>
      </w:tabs>
      <w:spacing w:before="60" w:after="60"/>
      <w:ind w:left="1701" w:hanging="340"/>
    </w:pPr>
  </w:style>
  <w:style w:type="paragraph" w:styleId="ListBullet3">
    <w:name w:val="List Bullet 3"/>
    <w:basedOn w:val="List3"/>
    <w:rsid w:val="00E73C98"/>
    <w:pPr>
      <w:numPr>
        <w:numId w:val="15"/>
      </w:numPr>
      <w:tabs>
        <w:tab w:val="clear" w:pos="1021"/>
      </w:tabs>
      <w:ind w:left="1037" w:hanging="357"/>
    </w:pPr>
  </w:style>
  <w:style w:type="paragraph" w:styleId="ListBullet4">
    <w:name w:val="List Bullet 4"/>
    <w:basedOn w:val="List4"/>
    <w:rsid w:val="00E73C98"/>
    <w:pPr>
      <w:numPr>
        <w:numId w:val="3"/>
      </w:numPr>
    </w:pPr>
  </w:style>
  <w:style w:type="paragraph" w:styleId="ListBullet5">
    <w:name w:val="List Bullet 5"/>
    <w:basedOn w:val="List5"/>
    <w:rsid w:val="00E73C98"/>
    <w:pPr>
      <w:numPr>
        <w:numId w:val="4"/>
      </w:numPr>
    </w:pPr>
  </w:style>
  <w:style w:type="paragraph" w:styleId="ListContinue2">
    <w:name w:val="List Continue 2"/>
    <w:basedOn w:val="List2"/>
    <w:rsid w:val="00E73C98"/>
    <w:pPr>
      <w:ind w:firstLine="0"/>
    </w:pPr>
  </w:style>
  <w:style w:type="paragraph" w:styleId="ListContinue3">
    <w:name w:val="List Continue 3"/>
    <w:basedOn w:val="List3"/>
    <w:rsid w:val="00E73C98"/>
    <w:pPr>
      <w:ind w:left="1021" w:firstLine="0"/>
    </w:pPr>
  </w:style>
  <w:style w:type="paragraph" w:styleId="ListContinue4">
    <w:name w:val="List Continue 4"/>
    <w:basedOn w:val="List4"/>
    <w:rsid w:val="00E73C98"/>
    <w:pPr>
      <w:ind w:firstLine="0"/>
    </w:pPr>
  </w:style>
  <w:style w:type="paragraph" w:styleId="ListContinue5">
    <w:name w:val="List Continue 5"/>
    <w:basedOn w:val="List5"/>
    <w:rsid w:val="00E73C98"/>
    <w:pPr>
      <w:ind w:firstLine="0"/>
    </w:pPr>
  </w:style>
  <w:style w:type="paragraph" w:styleId="ListNumber3">
    <w:name w:val="List Number 3"/>
    <w:basedOn w:val="List3"/>
    <w:rsid w:val="00E73C98"/>
    <w:pPr>
      <w:numPr>
        <w:numId w:val="5"/>
      </w:numPr>
    </w:pPr>
  </w:style>
  <w:style w:type="paragraph" w:styleId="ListNumber4">
    <w:name w:val="List Number 4"/>
    <w:basedOn w:val="List4"/>
    <w:rsid w:val="00E73C98"/>
    <w:pPr>
      <w:numPr>
        <w:numId w:val="6"/>
      </w:numPr>
    </w:pPr>
  </w:style>
  <w:style w:type="paragraph" w:styleId="ListNumber5">
    <w:name w:val="List Number 5"/>
    <w:basedOn w:val="List5"/>
    <w:rsid w:val="00E73C98"/>
    <w:pPr>
      <w:numPr>
        <w:numId w:val="7"/>
      </w:numPr>
    </w:pPr>
  </w:style>
  <w:style w:type="paragraph" w:styleId="BlockText">
    <w:name w:val="Block Text"/>
    <w:basedOn w:val="Normal"/>
    <w:rsid w:val="00E73C98"/>
    <w:pPr>
      <w:spacing w:after="120"/>
      <w:ind w:left="1440" w:right="1440"/>
    </w:pPr>
  </w:style>
  <w:style w:type="character" w:customStyle="1" w:styleId="Subscript">
    <w:name w:val="Subscript"/>
    <w:basedOn w:val="DefaultParagraphFont"/>
    <w:rsid w:val="00E73C98"/>
    <w:rPr>
      <w:sz w:val="16"/>
      <w:vertAlign w:val="subscript"/>
    </w:rPr>
  </w:style>
  <w:style w:type="character" w:customStyle="1" w:styleId="Superscript">
    <w:name w:val="Superscript"/>
    <w:basedOn w:val="DefaultParagraphFont"/>
    <w:rsid w:val="00E73C98"/>
    <w:rPr>
      <w:sz w:val="16"/>
      <w:vertAlign w:val="superscript"/>
    </w:rPr>
  </w:style>
  <w:style w:type="character" w:customStyle="1" w:styleId="Symbols">
    <w:name w:val="Symbols"/>
    <w:basedOn w:val="DefaultParagraphFont"/>
    <w:rsid w:val="00E73C98"/>
    <w:rPr>
      <w:rFonts w:ascii="Symbol" w:hAnsi="Symbol"/>
    </w:rPr>
  </w:style>
  <w:style w:type="character" w:customStyle="1" w:styleId="MenuOptions">
    <w:name w:val="Menu Options"/>
    <w:basedOn w:val="DefaultParagraphFont"/>
    <w:rsid w:val="00E73C98"/>
    <w:rPr>
      <w:rFonts w:ascii="Arial Narrow" w:hAnsi="Arial Narrow"/>
      <w:smallCaps/>
    </w:rPr>
  </w:style>
  <w:style w:type="character" w:customStyle="1" w:styleId="Buttons">
    <w:name w:val="Buttons"/>
    <w:basedOn w:val="DefaultParagraphFont"/>
    <w:rsid w:val="00E73C98"/>
    <w:rPr>
      <w:b/>
    </w:rPr>
  </w:style>
  <w:style w:type="character" w:customStyle="1" w:styleId="Underlined">
    <w:name w:val="Underlined"/>
    <w:basedOn w:val="DefaultParagraphFont"/>
    <w:rsid w:val="00E73C98"/>
    <w:rPr>
      <w:u w:val="single"/>
    </w:rPr>
  </w:style>
  <w:style w:type="paragraph" w:customStyle="1" w:styleId="TableBodyTextRight">
    <w:name w:val="Table Body Text Right"/>
    <w:basedOn w:val="TableBodyText"/>
    <w:rsid w:val="00E73C98"/>
    <w:pPr>
      <w:widowControl w:val="0"/>
      <w:autoSpaceDE w:val="0"/>
      <w:autoSpaceDN w:val="0"/>
      <w:adjustRightInd w:val="0"/>
      <w:jc w:val="right"/>
    </w:pPr>
    <w:rPr>
      <w:rFonts w:cs="Arial"/>
      <w:szCs w:val="18"/>
    </w:rPr>
  </w:style>
  <w:style w:type="paragraph" w:customStyle="1" w:styleId="CopyrightText">
    <w:name w:val="Copyright Text"/>
    <w:basedOn w:val="BodyText"/>
    <w:rsid w:val="00E73C98"/>
    <w:rPr>
      <w:sz w:val="18"/>
    </w:rPr>
  </w:style>
  <w:style w:type="paragraph" w:customStyle="1" w:styleId="BodySmallRight">
    <w:name w:val="Body Small Right"/>
    <w:basedOn w:val="BodyTextRight"/>
    <w:rsid w:val="00E73C98"/>
    <w:rPr>
      <w:sz w:val="18"/>
      <w:szCs w:val="18"/>
    </w:rPr>
  </w:style>
  <w:style w:type="paragraph" w:customStyle="1" w:styleId="MarginEdition">
    <w:name w:val="Margin Edition"/>
    <w:basedOn w:val="MarginNote"/>
    <w:rsid w:val="00E73C98"/>
    <w:pPr>
      <w:spacing w:before="0" w:after="0"/>
    </w:pPr>
    <w:rPr>
      <w:rFonts w:ascii="Times New Roman" w:hAnsi="Times New Roman"/>
      <w:color w:val="999999"/>
    </w:rPr>
  </w:style>
  <w:style w:type="paragraph" w:customStyle="1" w:styleId="Spacer">
    <w:name w:val="Spacer"/>
    <w:basedOn w:val="Normal"/>
    <w:rsid w:val="00E73C98"/>
    <w:rPr>
      <w:sz w:val="2"/>
      <w:szCs w:val="2"/>
    </w:rPr>
  </w:style>
  <w:style w:type="character" w:customStyle="1" w:styleId="Small">
    <w:name w:val="Small"/>
    <w:basedOn w:val="DefaultParagraphFont"/>
    <w:rsid w:val="00E73C98"/>
    <w:rPr>
      <w:sz w:val="16"/>
    </w:rPr>
  </w:style>
  <w:style w:type="paragraph" w:customStyle="1" w:styleId="WideTable">
    <w:name w:val="Wide Table"/>
    <w:basedOn w:val="Normal"/>
    <w:rsid w:val="00E73C98"/>
    <w:pPr>
      <w:ind w:left="-1418"/>
    </w:pPr>
    <w:rPr>
      <w:sz w:val="2"/>
      <w:szCs w:val="2"/>
    </w:rPr>
  </w:style>
  <w:style w:type="character" w:styleId="PageNumber">
    <w:name w:val="page number"/>
    <w:basedOn w:val="DefaultParagraphFont"/>
    <w:rsid w:val="00E73C98"/>
  </w:style>
  <w:style w:type="paragraph" w:styleId="Quote">
    <w:name w:val="Quote"/>
    <w:basedOn w:val="Heading1"/>
    <w:link w:val="QuoteChar"/>
    <w:qFormat/>
    <w:rsid w:val="00E73C98"/>
    <w:rPr>
      <w:b w:val="0"/>
      <w:sz w:val="72"/>
      <w:szCs w:val="72"/>
      <w:lang w:val="en-NZ"/>
    </w:rPr>
  </w:style>
  <w:style w:type="character" w:customStyle="1" w:styleId="QuoteChar">
    <w:name w:val="Quote Char"/>
    <w:basedOn w:val="DefaultParagraphFont"/>
    <w:link w:val="Quote"/>
    <w:rsid w:val="00E73C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C98"/>
    <w:pPr>
      <w:pageBreakBefore/>
    </w:pPr>
  </w:style>
  <w:style w:type="paragraph" w:customStyle="1" w:styleId="Border">
    <w:name w:val="Border"/>
    <w:basedOn w:val="Normal"/>
    <w:qFormat/>
    <w:rsid w:val="00E73C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C98"/>
    <w:rPr>
      <w:b/>
      <w:bCs/>
      <w:i/>
      <w:iCs/>
      <w:color w:val="auto"/>
    </w:rPr>
  </w:style>
  <w:style w:type="paragraph" w:styleId="IntenseQuote">
    <w:name w:val="Intense Quote"/>
    <w:basedOn w:val="Normal"/>
    <w:next w:val="Normal"/>
    <w:link w:val="IntenseQuoteChar"/>
    <w:uiPriority w:val="30"/>
    <w:qFormat/>
    <w:rsid w:val="00E73C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C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C98"/>
    <w:rPr>
      <w:smallCaps/>
      <w:color w:val="auto"/>
      <w:u w:val="single"/>
    </w:rPr>
  </w:style>
  <w:style w:type="character" w:styleId="IntenseReference">
    <w:name w:val="Intense Reference"/>
    <w:basedOn w:val="DefaultParagraphFont"/>
    <w:uiPriority w:val="32"/>
    <w:qFormat/>
    <w:rsid w:val="00E73C98"/>
    <w:rPr>
      <w:b/>
      <w:bCs/>
      <w:smallCaps/>
      <w:color w:val="auto"/>
      <w:spacing w:val="5"/>
      <w:u w:val="single"/>
    </w:rPr>
  </w:style>
  <w:style w:type="paragraph" w:customStyle="1" w:styleId="2ColumnHeading">
    <w:name w:val="2Column Heading"/>
    <w:basedOn w:val="BodyText"/>
    <w:qFormat/>
    <w:rsid w:val="00E73C98"/>
    <w:pPr>
      <w:spacing w:after="60"/>
      <w:ind w:left="-2268"/>
    </w:pPr>
    <w:rPr>
      <w:b/>
    </w:rPr>
  </w:style>
  <w:style w:type="paragraph" w:customStyle="1" w:styleId="Heading1TOC">
    <w:name w:val="Heading1 TOC"/>
    <w:basedOn w:val="Normal"/>
    <w:qFormat/>
    <w:rsid w:val="00E73C98"/>
    <w:pPr>
      <w:spacing w:before="240" w:after="120"/>
    </w:pPr>
    <w:rPr>
      <w:rFonts w:ascii="Times New Roman" w:hAnsi="Times New Roman"/>
      <w:b/>
      <w:sz w:val="32"/>
    </w:rPr>
  </w:style>
  <w:style w:type="paragraph" w:customStyle="1" w:styleId="Heading2TOC">
    <w:name w:val="Heading2 TOC"/>
    <w:basedOn w:val="Normal"/>
    <w:qFormat/>
    <w:rsid w:val="00E73C98"/>
    <w:pPr>
      <w:spacing w:before="240" w:after="60"/>
    </w:pPr>
    <w:rPr>
      <w:rFonts w:ascii="Times New Roman" w:hAnsi="Times New Roman"/>
      <w:b/>
      <w:sz w:val="28"/>
    </w:rPr>
  </w:style>
  <w:style w:type="paragraph" w:styleId="BalloonText">
    <w:name w:val="Balloon Text"/>
    <w:basedOn w:val="Normal"/>
    <w:link w:val="BalloonTextChar"/>
    <w:rsid w:val="00E73C98"/>
    <w:rPr>
      <w:rFonts w:ascii="Tahoma" w:hAnsi="Tahoma" w:cs="Tahoma"/>
      <w:sz w:val="16"/>
      <w:szCs w:val="16"/>
    </w:rPr>
  </w:style>
  <w:style w:type="character" w:customStyle="1" w:styleId="BalloonTextChar">
    <w:name w:val="Balloon Text Char"/>
    <w:basedOn w:val="DefaultParagraphFont"/>
    <w:link w:val="BalloonText"/>
    <w:rsid w:val="00E73C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C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3C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C98"/>
    <w:rPr>
      <w:b/>
      <w:color w:val="660033"/>
      <w:spacing w:val="0"/>
    </w:rPr>
  </w:style>
  <w:style w:type="paragraph" w:customStyle="1" w:styleId="Nameditemlist">
    <w:name w:val="Named item list"/>
    <w:basedOn w:val="BodyText"/>
    <w:qFormat/>
    <w:rsid w:val="00E73C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1389</Words>
  <Characters>8910</Characters>
  <Application>Microsoft Office Word</Application>
  <DocSecurity>0</DocSecurity>
  <Lines>276</Lines>
  <Paragraphs>171</Paragraphs>
  <ScaleCrop>false</ScaleCrop>
  <Company>Author-it Software Corporation Ltd.</Company>
  <LinksUpToDate>false</LinksUpToDate>
  <CharactersWithSpaces>10238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PSPGOV422A Apply government processes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2012-11-01T18:27:00Z</dcterms:created>
  <dcterms:modified xsi:type="dcterms:W3CDTF">2012-11-01T18:27:00Z</dcterms:modified>
</cp:coreProperties>
</file>