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2745" w:rsidP="00FC2745">
      <w:pPr>
        <w:pStyle w:val="Title"/>
      </w:pPr>
      <w:r>
        <w:fldChar w:fldCharType="begin"/>
      </w:r>
      <w:r>
        <w:instrText xml:space="preserve"> TITLE   \* MERGEFORMAT </w:instrText>
      </w:r>
      <w:r>
        <w:fldChar w:fldCharType="separate"/>
      </w:r>
      <w:r>
        <w:t>PSPGOV203B Deliver a service to clients</w:t>
      </w:r>
      <w:r>
        <w:fldChar w:fldCharType="end"/>
      </w:r>
    </w:p>
    <w:p w:rsidR="00FC2745" w:rsidP="00FC2745">
      <w:pPr>
        <w:pStyle w:val="Version"/>
        <w:sectPr w:rsidSect="00601D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01DD9" w:rsidP="00601DD9">
      <w:pPr>
        <w:pStyle w:val="SuperHeading"/>
      </w:pPr>
      <w:r w:rsidRPr="00601DD9">
        <w:t>PSPGOV203B Deliver a service to clients</w:t>
      </w:r>
    </w:p>
    <w:p w:rsidR="00000000" w:rsidRPr="00601DD9" w:rsidP="00601DD9">
      <w:pPr>
        <w:pStyle w:val="SuperHeading"/>
      </w:pPr>
    </w:p>
    <w:p w:rsidR="00000000" w:rsidRPr="00601DD9" w:rsidP="00601DD9">
      <w:pPr>
        <w:pStyle w:val="Heading1"/>
      </w:pPr>
      <w:bookmarkStart w:id="1" w:name="O_492681"/>
      <w:bookmarkEnd w:id="1"/>
      <w:r w:rsidRPr="00601DD9">
        <w:t>Modification History</w:t>
      </w:r>
    </w:p>
    <w:tbl>
      <w:tblPr>
        <w:tblW w:w="0" w:type="auto"/>
        <w:tblLayout w:type="fixed"/>
        <w:tblCellMar>
          <w:left w:w="62" w:type="dxa"/>
          <w:right w:w="62" w:type="dxa"/>
        </w:tblCellMar>
        <w:tblLook w:val="0000"/>
      </w:tblPr>
      <w:tblGrid>
        <w:gridCol w:w="3052"/>
        <w:gridCol w:w="3052"/>
        <w:gridCol w:w="3052"/>
      </w:tblGrid>
      <w:tr w:rsidTr="00FC274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DD9">
            <w:pPr>
              <w:pStyle w:val="BodyText"/>
              <w:rPr>
                <w:lang w:val="en-NZ"/>
              </w:rPr>
            </w:pPr>
            <w:r w:rsidRPr="00601DD9">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DD9">
            <w:pPr>
              <w:pStyle w:val="BodyText"/>
              <w:rPr>
                <w:lang w:val="en-NZ"/>
              </w:rPr>
            </w:pPr>
            <w:r w:rsidRPr="00601DD9">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DD9">
            <w:pPr>
              <w:pStyle w:val="BodyText"/>
              <w:rPr>
                <w:lang w:val="en-NZ"/>
              </w:rPr>
            </w:pPr>
            <w:r w:rsidRPr="00601DD9">
              <w:t>Comments</w:t>
            </w:r>
          </w:p>
        </w:tc>
      </w:tr>
      <w:tr w:rsidTr="00FC274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DD9">
            <w:pPr>
              <w:pStyle w:val="BodyText"/>
              <w:rPr>
                <w:lang w:val="en-NZ"/>
              </w:rPr>
            </w:pPr>
            <w:r w:rsidRPr="00601DD9">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DD9">
            <w:pPr>
              <w:pStyle w:val="BodyText"/>
              <w:rPr>
                <w:lang w:val="en-NZ"/>
              </w:rPr>
            </w:pPr>
            <w:r w:rsidRPr="00601DD9">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DD9">
            <w:pPr>
              <w:pStyle w:val="BodyText"/>
              <w:rPr>
                <w:lang w:val="en-NZ"/>
              </w:rPr>
            </w:pPr>
            <w:r w:rsidRPr="00601DD9">
              <w:t xml:space="preserve">Unit descriptor edited. </w:t>
            </w:r>
          </w:p>
        </w:tc>
      </w:tr>
      <w:tr w:rsidTr="00FC274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DD9">
            <w:pPr>
              <w:pStyle w:val="BodyText"/>
              <w:rPr>
                <w:lang w:val="en-NZ"/>
              </w:rPr>
            </w:pPr>
            <w:r w:rsidRPr="00601DD9">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DD9">
            <w:pPr>
              <w:pStyle w:val="BodyText"/>
              <w:rPr>
                <w:lang w:val="en-NZ"/>
              </w:rPr>
            </w:pPr>
            <w:r w:rsidRPr="00601DD9">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DD9">
            <w:pPr>
              <w:pStyle w:val="BodyText"/>
              <w:rPr>
                <w:lang w:val="en-NZ"/>
              </w:rPr>
            </w:pPr>
            <w:r w:rsidRPr="00601DD9">
              <w:t>Layout adjusted. No changes to content.</w:t>
            </w:r>
          </w:p>
        </w:tc>
      </w:tr>
      <w:tr w:rsidTr="00FC274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DD9">
            <w:pPr>
              <w:pStyle w:val="BodyText"/>
              <w:rPr>
                <w:lang w:val="en-NZ"/>
              </w:rPr>
            </w:pPr>
            <w:r w:rsidRPr="00601DD9">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DD9">
            <w:pPr>
              <w:pStyle w:val="BodyText"/>
              <w:rPr>
                <w:lang w:val="en-NZ"/>
              </w:rPr>
            </w:pPr>
            <w:r w:rsidRPr="00601DD9">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DD9" w:rsidP="00601DD9">
            <w:pPr>
              <w:pStyle w:val="BodyText"/>
            </w:pPr>
            <w:r w:rsidRPr="00601DD9">
              <w:t>Primary release.</w:t>
            </w:r>
          </w:p>
        </w:tc>
      </w:tr>
    </w:tbl>
    <w:p w:rsidR="00FC2745" w:rsidP="00601DD9">
      <w:pPr>
        <w:pStyle w:val="BodyText"/>
      </w:pPr>
    </w:p>
    <w:p w:rsidR="00FC2745" w:rsidP="00601DD9">
      <w:pPr>
        <w:pStyle w:val="BodyText"/>
      </w:pPr>
    </w:p>
    <w:p w:rsidR="00000000" w:rsidRPr="00601DD9" w:rsidP="00601DD9">
      <w:pPr>
        <w:pStyle w:val="Heading1"/>
      </w:pPr>
      <w:bookmarkStart w:id="2" w:name="O_492684"/>
      <w:bookmarkEnd w:id="2"/>
      <w:r w:rsidRPr="00601DD9">
        <w:t>Unit Descriptor</w:t>
      </w:r>
    </w:p>
    <w:p w:rsidR="00000000" w:rsidRPr="00601DD9" w:rsidP="00601DD9">
      <w:pPr>
        <w:pStyle w:val="BodyText"/>
      </w:pPr>
      <w:r w:rsidRPr="00601DD9">
        <w:t>This unit covers provision of service to clients within a prescribed framework. It includes matching client service to needs and delivering client service.</w:t>
      </w:r>
    </w:p>
    <w:p w:rsidR="00000000" w:rsidRPr="00601DD9" w:rsidP="00601DD9">
      <w:pPr>
        <w:pStyle w:val="BodyText"/>
      </w:pPr>
      <w:r w:rsidRPr="00601DD9">
        <w:t>In practice, delivering service to clients may overlap with other generalist or specialist public se</w:t>
      </w:r>
      <w:r w:rsidRPr="00601DD9">
        <w:t>ctor work activities such as working in a public sector environment, communicating in the workplace, using resources, working safely, handling information, using technology, etc.</w:t>
      </w:r>
    </w:p>
    <w:p w:rsidR="00000000" w:rsidRPr="00601DD9" w:rsidP="00601DD9">
      <w:pPr>
        <w:pStyle w:val="BodyText"/>
      </w:pPr>
      <w:r w:rsidRPr="00601DD9">
        <w:t xml:space="preserve">This is one of 5 units of competency in the </w:t>
      </w:r>
      <w:r w:rsidRPr="00601DD9">
        <w:rPr>
          <w:rStyle w:val="Emphasis"/>
        </w:rPr>
        <w:t>Working in Government</w:t>
      </w:r>
      <w:r w:rsidRPr="00601DD9">
        <w:t xml:space="preserve"> and </w:t>
      </w:r>
      <w:r w:rsidRPr="00601DD9">
        <w:rPr>
          <w:rStyle w:val="Emphasis"/>
        </w:rPr>
        <w:t>Managem</w:t>
      </w:r>
      <w:r w:rsidRPr="00601DD9">
        <w:rPr>
          <w:rStyle w:val="Emphasis"/>
        </w:rPr>
        <w:t>ent</w:t>
      </w:r>
      <w:r w:rsidRPr="00601DD9">
        <w:t xml:space="preserve"> Competency Fields that deal with client services. Related units are:</w:t>
      </w:r>
    </w:p>
    <w:p w:rsidR="00000000" w:rsidRPr="00601DD9" w:rsidP="00601DD9">
      <w:pPr>
        <w:pStyle w:val="ListBullet"/>
      </w:pPr>
      <w:r w:rsidRPr="00601DD9">
        <w:t>PSPGOV309A Address client needs</w:t>
      </w:r>
    </w:p>
    <w:p w:rsidR="00000000" w:rsidRPr="00601DD9" w:rsidP="00601DD9">
      <w:pPr>
        <w:pStyle w:val="ListBullet"/>
      </w:pPr>
      <w:r w:rsidRPr="00601DD9">
        <w:t>PSPGOV402B Deliver and monitor service to clients</w:t>
      </w:r>
    </w:p>
    <w:p w:rsidR="00000000" w:rsidRPr="00601DD9" w:rsidP="00601DD9">
      <w:pPr>
        <w:pStyle w:val="ListBullet"/>
      </w:pPr>
      <w:r w:rsidRPr="00601DD9">
        <w:t>PSPGOV502B Develop client services</w:t>
      </w:r>
    </w:p>
    <w:p w:rsidR="00000000" w:rsidRPr="00601DD9" w:rsidP="00601DD9">
      <w:pPr>
        <w:pStyle w:val="ListBullet"/>
      </w:pPr>
      <w:r w:rsidRPr="00601DD9">
        <w:t>PSPMNGT606B Manage quality client service</w:t>
      </w:r>
    </w:p>
    <w:p w:rsidR="00000000" w:rsidRPr="00601DD9" w:rsidP="00601DD9">
      <w:pPr>
        <w:pStyle w:val="ListBullet"/>
      </w:pPr>
    </w:p>
    <w:p w:rsidR="00FC2745" w:rsidP="00601DD9">
      <w:pPr>
        <w:pStyle w:val="BodyText"/>
      </w:pPr>
      <w:r w:rsidRPr="00601DD9">
        <w:t>No licensing, legislat</w:t>
      </w:r>
      <w:r w:rsidRPr="00601DD9">
        <w:t>ive, regulatory or certification requirements apply to this unit at the time of publication</w:t>
      </w:r>
    </w:p>
    <w:p w:rsidR="00FC2745" w:rsidP="00601DD9">
      <w:pPr>
        <w:pStyle w:val="BodyText"/>
      </w:pPr>
    </w:p>
    <w:p w:rsidR="00000000" w:rsidRPr="00601DD9" w:rsidP="00601DD9">
      <w:pPr>
        <w:pStyle w:val="Heading1"/>
      </w:pPr>
      <w:bookmarkStart w:id="3" w:name="O_492688"/>
      <w:bookmarkEnd w:id="3"/>
      <w:r w:rsidRPr="00601DD9">
        <w:t>Application of the Unit</w:t>
      </w:r>
    </w:p>
    <w:p w:rsidR="00000000" w:rsidRPr="00601DD9" w:rsidP="00601DD9">
      <w:pPr>
        <w:pStyle w:val="BodyText"/>
      </w:pPr>
      <w:r w:rsidRPr="00601DD9">
        <w:t>Not applicable.</w:t>
      </w:r>
    </w:p>
    <w:p w:rsidR="00000000" w:rsidRPr="00601DD9" w:rsidP="00601DD9">
      <w:pPr>
        <w:pStyle w:val="AllowPageBreak"/>
      </w:pPr>
    </w:p>
    <w:p w:rsidR="00000000" w:rsidRPr="00601DD9" w:rsidP="00601DD9">
      <w:pPr>
        <w:pStyle w:val="Heading1"/>
      </w:pPr>
      <w:bookmarkStart w:id="4" w:name="O_492678"/>
      <w:bookmarkEnd w:id="4"/>
      <w:r w:rsidRPr="00601DD9">
        <w:t>Licensing/Regulatory Information</w:t>
      </w:r>
    </w:p>
    <w:p w:rsidR="00000000" w:rsidRPr="00601DD9" w:rsidP="00601DD9">
      <w:pPr>
        <w:pStyle w:val="BodyText"/>
      </w:pPr>
      <w:r w:rsidRPr="00601DD9">
        <w:t>Not applicable.</w:t>
      </w:r>
    </w:p>
    <w:p w:rsidR="00000000" w:rsidRPr="00601DD9" w:rsidP="00601DD9">
      <w:pPr>
        <w:pStyle w:val="AllowPageBreak"/>
      </w:pPr>
    </w:p>
    <w:p w:rsidR="00000000" w:rsidRPr="00601DD9" w:rsidP="00601DD9">
      <w:pPr>
        <w:pStyle w:val="Heading1"/>
      </w:pPr>
      <w:bookmarkStart w:id="5" w:name="O_492679"/>
      <w:bookmarkEnd w:id="5"/>
      <w:r w:rsidRPr="00601DD9">
        <w:t>Pre-Requisites</w:t>
      </w:r>
    </w:p>
    <w:p w:rsidR="00000000" w:rsidRPr="00601DD9" w:rsidP="00601DD9">
      <w:pPr>
        <w:pStyle w:val="BodyText"/>
      </w:pPr>
      <w:r w:rsidRPr="00601DD9">
        <w:t>Not appl</w:t>
      </w:r>
      <w:r w:rsidRPr="00601DD9">
        <w:t>icable.</w:t>
      </w:r>
    </w:p>
    <w:p w:rsidR="00000000" w:rsidRPr="00601DD9" w:rsidP="00601DD9">
      <w:pPr>
        <w:pStyle w:val="AllowPageBreak"/>
      </w:pPr>
    </w:p>
    <w:p w:rsidR="00000000" w:rsidRPr="00601DD9" w:rsidP="00601DD9">
      <w:pPr>
        <w:pStyle w:val="Heading1"/>
      </w:pPr>
      <w:bookmarkStart w:id="6" w:name="O_492685"/>
      <w:bookmarkEnd w:id="6"/>
      <w:r w:rsidRPr="00601DD9">
        <w:t>Employability Skills Information</w:t>
      </w:r>
    </w:p>
    <w:p w:rsidR="00000000" w:rsidRPr="00601DD9" w:rsidP="00601DD9">
      <w:pPr>
        <w:pStyle w:val="BodyText"/>
      </w:pPr>
      <w:r w:rsidRPr="00601DD9">
        <w:t>This unit contains employability skills.</w:t>
      </w:r>
    </w:p>
    <w:p w:rsidR="00000000" w:rsidRPr="00601DD9" w:rsidP="00601DD9">
      <w:pPr>
        <w:pStyle w:val="AllowPageBreak"/>
      </w:pPr>
    </w:p>
    <w:p w:rsidR="00000000" w:rsidRPr="00601DD9" w:rsidP="00601DD9">
      <w:pPr>
        <w:pStyle w:val="Heading1"/>
      </w:pPr>
      <w:bookmarkStart w:id="7" w:name="O_492686"/>
      <w:bookmarkEnd w:id="7"/>
      <w:r w:rsidRPr="00601DD9">
        <w:t>Elements and Performance Criteria Pre-Content</w:t>
      </w:r>
    </w:p>
    <w:tbl>
      <w:tblPr>
        <w:tblW w:w="9322" w:type="dxa"/>
        <w:tblLayout w:type="fixed"/>
        <w:tblCellMar>
          <w:left w:w="62" w:type="dxa"/>
          <w:right w:w="62" w:type="dxa"/>
        </w:tblCellMar>
        <w:tblLook w:val="0000"/>
      </w:tblPr>
      <w:tblGrid>
        <w:gridCol w:w="2660"/>
        <w:gridCol w:w="6662"/>
      </w:tblGrid>
      <w:tr w:rsidTr="00FC274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01DD9">
            <w:pPr>
              <w:pStyle w:val="BodyText"/>
              <w:rPr>
                <w:lang w:val="en-NZ"/>
              </w:rPr>
            </w:pPr>
            <w:r w:rsidRPr="00601DD9">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601DD9" w:rsidP="00601DD9">
            <w:pPr>
              <w:pStyle w:val="BodyText"/>
            </w:pPr>
            <w:r w:rsidRPr="00601DD9">
              <w:t xml:space="preserve">Together, performance criteria specify the requirements for competent performance. Text in </w:t>
            </w:r>
            <w:r w:rsidRPr="00601DD9">
              <w:rPr>
                <w:rStyle w:val="BoldandItalics"/>
              </w:rPr>
              <w:t>bold italics</w:t>
            </w:r>
            <w:r w:rsidRPr="00601DD9">
              <w:t xml:space="preserve"> is explained in the Range Statement following.</w:t>
            </w:r>
          </w:p>
        </w:tc>
      </w:tr>
    </w:tbl>
    <w:p w:rsidR="00000000" w:rsidRPr="00601DD9" w:rsidP="00601DD9">
      <w:pPr>
        <w:pStyle w:val="BodyText"/>
      </w:pPr>
    </w:p>
    <w:p w:rsidR="00000000" w:rsidRPr="00601DD9" w:rsidP="00601DD9">
      <w:pPr>
        <w:pStyle w:val="AllowPageBreak"/>
      </w:pPr>
    </w:p>
    <w:p w:rsidR="00000000" w:rsidRPr="00601DD9" w:rsidP="00601DD9">
      <w:pPr>
        <w:pStyle w:val="Heading1"/>
      </w:pPr>
      <w:bookmarkStart w:id="8" w:name="O_492689"/>
      <w:bookmarkEnd w:id="8"/>
      <w:r w:rsidRPr="00601DD9">
        <w:t>Elements and Performance Criteria</w:t>
      </w:r>
    </w:p>
    <w:tbl>
      <w:tblPr>
        <w:tblW w:w="9322" w:type="dxa"/>
        <w:tblLayout w:type="fixed"/>
        <w:tblCellMar>
          <w:left w:w="62" w:type="dxa"/>
          <w:right w:w="62" w:type="dxa"/>
        </w:tblCellMar>
        <w:tblLook w:val="0000"/>
      </w:tblPr>
      <w:tblGrid>
        <w:gridCol w:w="2660"/>
        <w:gridCol w:w="6662"/>
      </w:tblGrid>
      <w:tr w:rsidTr="00FC2745">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601DD9" w:rsidP="00601DD9">
            <w:pPr>
              <w:pStyle w:val="BodyText"/>
            </w:pPr>
            <w:r w:rsidRPr="00601DD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01DD9">
            <w:pPr>
              <w:pStyle w:val="BodyText"/>
              <w:rPr>
                <w:lang w:val="en-NZ"/>
              </w:rPr>
            </w:pPr>
            <w:r w:rsidRPr="00601DD9">
              <w:rPr>
                <w:rStyle w:val="SpecialBold"/>
              </w:rPr>
              <w:t>PERFORMANCE CRITERIA</w:t>
            </w:r>
          </w:p>
        </w:tc>
      </w:tr>
      <w:tr w:rsidTr="00FC274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01DD9">
            <w:pPr>
              <w:pStyle w:val="BodyText"/>
              <w:rPr>
                <w:lang w:val="en-NZ"/>
              </w:rPr>
            </w:pPr>
            <w:r w:rsidRPr="00601DD9">
              <w:rPr>
                <w:rStyle w:val="SpecialBold"/>
              </w:rPr>
              <w:t>1</w:t>
            </w:r>
            <w:r w:rsidRPr="00601DD9">
              <w:t xml:space="preserve">. </w:t>
            </w:r>
            <w:r w:rsidRPr="00601DD9">
              <w:rPr>
                <w:rStyle w:val="SpecialBold"/>
              </w:rPr>
              <w:t>Match service to client needs</w:t>
            </w:r>
          </w:p>
        </w:tc>
        <w:tc>
          <w:tcPr>
            <w:tcW w:w="6662" w:type="dxa"/>
            <w:tcBorders>
              <w:top w:val="nil"/>
              <w:left w:val="nil"/>
              <w:bottom w:val="nil"/>
              <w:right w:val="nil"/>
            </w:tcBorders>
            <w:tcMar>
              <w:top w:w="0" w:type="dxa"/>
              <w:left w:w="62" w:type="dxa"/>
              <w:bottom w:w="0" w:type="dxa"/>
              <w:right w:w="62" w:type="dxa"/>
            </w:tcMar>
          </w:tcPr>
          <w:p w:rsidR="00000000" w:rsidRPr="00601DD9" w:rsidP="00601DD9">
            <w:pPr>
              <w:pStyle w:val="List"/>
            </w:pPr>
            <w:r w:rsidRPr="00601DD9">
              <w:t>1.1</w:t>
            </w:r>
            <w:r w:rsidRPr="00601DD9">
              <w:tab/>
              <w:t xml:space="preserve">Information on the client base is accessed and obtained in accordance with </w:t>
            </w:r>
            <w:r w:rsidRPr="00601DD9">
              <w:rPr>
                <w:rStyle w:val="BoldandItalics"/>
              </w:rPr>
              <w:t>legislation, policy and procedures</w:t>
            </w:r>
            <w:r w:rsidRPr="00601DD9">
              <w:rPr>
                <w:rStyle w:val="Emphasis"/>
              </w:rPr>
              <w:t>.</w:t>
            </w:r>
          </w:p>
          <w:p w:rsidR="00000000" w:rsidRPr="00601DD9" w:rsidP="00601DD9">
            <w:pPr>
              <w:pStyle w:val="List"/>
            </w:pPr>
            <w:r w:rsidRPr="00601DD9">
              <w:t>1.2</w:t>
            </w:r>
            <w:r w:rsidRPr="00601DD9">
              <w:tab/>
              <w:t xml:space="preserve">Information on the client base and its needs is used to match services to </w:t>
            </w:r>
            <w:r w:rsidRPr="00601DD9">
              <w:rPr>
                <w:rStyle w:val="BoldandItalics"/>
              </w:rPr>
              <w:t>clients</w:t>
            </w:r>
            <w:r w:rsidRPr="00601DD9">
              <w:rPr>
                <w:rStyle w:val="Emphasis"/>
              </w:rPr>
              <w:t>.</w:t>
            </w:r>
          </w:p>
          <w:p w:rsidR="00000000" w:rsidRPr="00601DD9" w:rsidP="00601DD9">
            <w:pPr>
              <w:pStyle w:val="List"/>
            </w:pPr>
            <w:r w:rsidRPr="00601DD9">
              <w:t>1.3</w:t>
            </w:r>
            <w:r w:rsidRPr="00601DD9">
              <w:tab/>
            </w:r>
            <w:r w:rsidRPr="00601DD9">
              <w:t>Particular needs of clients are identified to enable targeted service delivery.</w:t>
            </w:r>
          </w:p>
          <w:p w:rsidR="00000000" w:rsidRPr="00601DD9" w:rsidP="00601DD9">
            <w:pPr>
              <w:pStyle w:val="List"/>
            </w:pPr>
            <w:r w:rsidRPr="00601DD9">
              <w:t>1.4</w:t>
            </w:r>
            <w:r w:rsidRPr="00601DD9">
              <w:tab/>
              <w:t>Requests from clients are matched to the appropriate service from a defined range of options.</w:t>
            </w:r>
          </w:p>
          <w:p w:rsidR="00000000" w:rsidP="00601DD9">
            <w:pPr>
              <w:pStyle w:val="List"/>
              <w:rPr>
                <w:lang w:val="en-NZ"/>
              </w:rPr>
            </w:pPr>
            <w:r w:rsidRPr="00601DD9">
              <w:t>1.5</w:t>
            </w:r>
            <w:r w:rsidRPr="00601DD9">
              <w:tab/>
              <w:t>Problems in matching service delivery to clients are reported to superviso</w:t>
            </w:r>
            <w:r w:rsidRPr="00601DD9">
              <w:t>r.</w:t>
            </w:r>
          </w:p>
        </w:tc>
      </w:tr>
      <w:tr w:rsidTr="00FC274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01DD9">
            <w:pPr>
              <w:pStyle w:val="BodyText"/>
              <w:rPr>
                <w:lang w:val="en-NZ"/>
              </w:rPr>
            </w:pPr>
            <w:r w:rsidRPr="00601DD9">
              <w:rPr>
                <w:rStyle w:val="SpecialBold"/>
              </w:rPr>
              <w:t>2</w:t>
            </w:r>
            <w:r w:rsidRPr="00601DD9">
              <w:t xml:space="preserve">. </w:t>
            </w:r>
            <w:r w:rsidRPr="00601DD9">
              <w:rPr>
                <w:rStyle w:val="SpecialBold"/>
              </w:rPr>
              <w:t>Deliver client service</w:t>
            </w:r>
          </w:p>
        </w:tc>
        <w:tc>
          <w:tcPr>
            <w:tcW w:w="6662" w:type="dxa"/>
            <w:tcBorders>
              <w:top w:val="nil"/>
              <w:left w:val="nil"/>
              <w:bottom w:val="nil"/>
              <w:right w:val="nil"/>
            </w:tcBorders>
            <w:tcMar>
              <w:top w:w="0" w:type="dxa"/>
              <w:left w:w="62" w:type="dxa"/>
              <w:bottom w:w="0" w:type="dxa"/>
              <w:right w:w="62" w:type="dxa"/>
            </w:tcMar>
          </w:tcPr>
          <w:p w:rsidR="00000000" w:rsidRPr="00601DD9" w:rsidP="00601DD9">
            <w:pPr>
              <w:pStyle w:val="List"/>
            </w:pPr>
            <w:r w:rsidRPr="00601DD9">
              <w:t>2.1</w:t>
            </w:r>
            <w:r w:rsidRPr="00601DD9">
              <w:tab/>
            </w:r>
            <w:r w:rsidRPr="00601DD9">
              <w:rPr>
                <w:rStyle w:val="BoldandItalics"/>
              </w:rPr>
              <w:t>Client service</w:t>
            </w:r>
            <w:r w:rsidRPr="00601DD9">
              <w:t xml:space="preserve"> is provided which is timely and meets client needs within the limitations of resources.</w:t>
            </w:r>
          </w:p>
          <w:p w:rsidR="00000000" w:rsidRPr="00601DD9" w:rsidP="00601DD9">
            <w:pPr>
              <w:pStyle w:val="List"/>
            </w:pPr>
            <w:r w:rsidRPr="00601DD9">
              <w:t>2.2</w:t>
            </w:r>
            <w:r w:rsidRPr="00601DD9">
              <w:tab/>
              <w:t>Client enquiries are responded to promptly and in accordance with accepted practice and standards of the organisati</w:t>
            </w:r>
            <w:r w:rsidRPr="00601DD9">
              <w:t>on.</w:t>
            </w:r>
          </w:p>
          <w:p w:rsidR="00000000" w:rsidRPr="00601DD9" w:rsidP="00601DD9">
            <w:pPr>
              <w:pStyle w:val="List"/>
            </w:pPr>
            <w:r w:rsidRPr="00601DD9">
              <w:t>2.3</w:t>
            </w:r>
            <w:r w:rsidRPr="00601DD9">
              <w:tab/>
              <w:t xml:space="preserve">Service and </w:t>
            </w:r>
            <w:r w:rsidRPr="00601DD9">
              <w:rPr>
                <w:rStyle w:val="BoldandItalics"/>
              </w:rPr>
              <w:t>communication techniques</w:t>
            </w:r>
            <w:r w:rsidRPr="00601DD9">
              <w:t xml:space="preserve"> are tailored to the</w:t>
            </w:r>
            <w:r w:rsidRPr="00601DD9">
              <w:rPr>
                <w:rStyle w:val="BoldandItalics"/>
              </w:rPr>
              <w:t xml:space="preserve"> specific needs</w:t>
            </w:r>
            <w:r w:rsidRPr="00601DD9">
              <w:t xml:space="preserve"> of clients.</w:t>
            </w:r>
          </w:p>
          <w:p w:rsidR="00000000" w:rsidRPr="00601DD9" w:rsidP="00601DD9">
            <w:pPr>
              <w:pStyle w:val="List"/>
            </w:pPr>
            <w:r w:rsidRPr="00601DD9">
              <w:t>2.4</w:t>
            </w:r>
            <w:r w:rsidRPr="00601DD9">
              <w:tab/>
              <w:t>Complaints from clients and</w:t>
            </w:r>
            <w:r w:rsidRPr="00601DD9">
              <w:rPr>
                <w:rStyle w:val="BoldandItalics"/>
              </w:rPr>
              <w:t xml:space="preserve"> difficult situations </w:t>
            </w:r>
            <w:r w:rsidRPr="00601DD9">
              <w:t>are dealt with in accordance with organisational procedures.</w:t>
            </w:r>
          </w:p>
          <w:p w:rsidR="00000000" w:rsidRPr="00601DD9" w:rsidP="00601DD9">
            <w:pPr>
              <w:pStyle w:val="List"/>
            </w:pPr>
            <w:r w:rsidRPr="00601DD9">
              <w:t>2.5</w:t>
            </w:r>
            <w:r w:rsidRPr="00601DD9">
              <w:tab/>
              <w:t>Client confidentiality is maintained as part o</w:t>
            </w:r>
            <w:r w:rsidRPr="00601DD9">
              <w:t>f service delivery where required.</w:t>
            </w:r>
          </w:p>
          <w:p w:rsidR="00000000" w:rsidRPr="00601DD9" w:rsidP="00601DD9">
            <w:pPr>
              <w:pStyle w:val="List"/>
            </w:pPr>
            <w:r w:rsidRPr="00601DD9">
              <w:t>2.6</w:t>
            </w:r>
            <w:r w:rsidRPr="00601DD9">
              <w:tab/>
              <w:t>Data is collected to assist in evaluating whether client needs have been met.</w:t>
            </w:r>
          </w:p>
        </w:tc>
      </w:tr>
    </w:tbl>
    <w:p w:rsidR="00000000" w:rsidRPr="00601DD9" w:rsidP="00601DD9">
      <w:pPr>
        <w:pStyle w:val="BodyText"/>
      </w:pPr>
    </w:p>
    <w:p w:rsidR="00000000" w:rsidRPr="00601DD9" w:rsidP="00601DD9">
      <w:pPr>
        <w:pStyle w:val="AllowPageBreak"/>
      </w:pPr>
    </w:p>
    <w:p w:rsidR="00000000" w:rsidRPr="00601DD9" w:rsidP="00601DD9">
      <w:pPr>
        <w:pStyle w:val="Heading1"/>
      </w:pPr>
      <w:bookmarkStart w:id="9" w:name="O_492677"/>
      <w:bookmarkEnd w:id="9"/>
      <w:r w:rsidRPr="00601DD9">
        <w:t>Required Skills and Knowledge</w:t>
      </w:r>
    </w:p>
    <w:tbl>
      <w:tblPr>
        <w:tblW w:w="0" w:type="auto"/>
        <w:tblLayout w:type="fixed"/>
        <w:tblCellMar>
          <w:left w:w="62" w:type="dxa"/>
          <w:right w:w="62" w:type="dxa"/>
        </w:tblCellMar>
        <w:tblLook w:val="0000"/>
      </w:tblPr>
      <w:tblGrid>
        <w:gridCol w:w="8513"/>
      </w:tblGrid>
      <w:tr w:rsidTr="00FC2745">
        <w:tblPrEx>
          <w:tblW w:w="0" w:type="auto"/>
          <w:tblLayout w:type="fixed"/>
          <w:tblCellMar>
            <w:left w:w="62" w:type="dxa"/>
            <w:right w:w="62" w:type="dxa"/>
          </w:tblCellMar>
          <w:tblLook w:val="0000"/>
        </w:tblPrEx>
        <w:tc>
          <w:tcPr>
            <w:tcW w:w="8513" w:type="dxa"/>
            <w:tcBorders>
              <w:top w:val="nil"/>
              <w:left w:val="nil"/>
              <w:bottom w:val="nil"/>
              <w:right w:val="nil"/>
            </w:tcBorders>
            <w:tcMar>
              <w:top w:w="0" w:type="dxa"/>
              <w:left w:w="62" w:type="dxa"/>
              <w:bottom w:w="0" w:type="dxa"/>
              <w:right w:w="62" w:type="dxa"/>
            </w:tcMar>
          </w:tcPr>
          <w:p w:rsidR="00000000" w:rsidP="00601DD9">
            <w:pPr>
              <w:pStyle w:val="BodyText"/>
              <w:rPr>
                <w:lang w:val="en-NZ"/>
              </w:rPr>
            </w:pPr>
            <w:r w:rsidRPr="00601DD9">
              <w:t>This section describes the essential skills and knowledge and their level, required for th</w:t>
            </w:r>
            <w:r w:rsidRPr="00601DD9">
              <w:t>is unit.</w:t>
            </w:r>
          </w:p>
        </w:tc>
      </w:tr>
      <w:tr w:rsidTr="00FC2745">
        <w:tblPrEx>
          <w:tblW w:w="0" w:type="auto"/>
          <w:tblLayout w:type="fixed"/>
          <w:tblCellMar>
            <w:left w:w="62" w:type="dxa"/>
            <w:right w:w="62" w:type="dxa"/>
          </w:tblCellMar>
          <w:tblLook w:val="0000"/>
        </w:tblPrEx>
        <w:tc>
          <w:tcPr>
            <w:tcW w:w="8513" w:type="dxa"/>
            <w:tcBorders>
              <w:top w:val="nil"/>
              <w:left w:val="nil"/>
              <w:bottom w:val="nil"/>
              <w:right w:val="nil"/>
            </w:tcBorders>
            <w:tcMar>
              <w:top w:w="0" w:type="dxa"/>
              <w:left w:w="62" w:type="dxa"/>
              <w:bottom w:w="0" w:type="dxa"/>
              <w:right w:w="62" w:type="dxa"/>
            </w:tcMar>
          </w:tcPr>
          <w:p w:rsidR="00000000" w:rsidRPr="00601DD9" w:rsidP="00601DD9">
            <w:pPr>
              <w:pStyle w:val="BodyText"/>
            </w:pPr>
            <w:r w:rsidRPr="00601DD9">
              <w:rPr>
                <w:rStyle w:val="SpecialBold"/>
              </w:rPr>
              <w:t>Skill requirements</w:t>
            </w:r>
          </w:p>
          <w:p w:rsidR="00000000" w:rsidRPr="00601DD9" w:rsidP="00601DD9">
            <w:pPr>
              <w:pStyle w:val="BodyText"/>
            </w:pPr>
            <w:r w:rsidRPr="00601DD9">
              <w:t>Look for evidence that confirms skills in:</w:t>
            </w:r>
          </w:p>
          <w:p w:rsidR="00000000" w:rsidRPr="00601DD9" w:rsidP="00601DD9">
            <w:pPr>
              <w:pStyle w:val="ListBullet"/>
            </w:pPr>
            <w:r w:rsidRPr="00601DD9">
              <w:t xml:space="preserve">communicating with a diverse range of internal and external clients including negotiating, explaining and clarifying </w:t>
            </w:r>
          </w:p>
          <w:p w:rsidR="00000000" w:rsidRPr="00601DD9" w:rsidP="00601DD9">
            <w:pPr>
              <w:pStyle w:val="ListBullet"/>
            </w:pPr>
            <w:r w:rsidRPr="00601DD9">
              <w:t>solving problems</w:t>
            </w:r>
          </w:p>
          <w:p w:rsidR="00000000" w:rsidRPr="00601DD9" w:rsidP="00601DD9">
            <w:pPr>
              <w:pStyle w:val="ListBullet"/>
            </w:pPr>
            <w:r w:rsidRPr="00601DD9">
              <w:t>tailoring delivery to meet specific client needs</w:t>
            </w:r>
          </w:p>
          <w:p w:rsidR="00000000" w:rsidP="00601DD9">
            <w:pPr>
              <w:pStyle w:val="ListBullet"/>
              <w:rPr>
                <w:lang w:val="en-NZ"/>
              </w:rPr>
            </w:pPr>
            <w:r w:rsidRPr="00601DD9">
              <w:t>responding to diversity, including gender and disability</w:t>
            </w:r>
          </w:p>
        </w:tc>
      </w:tr>
      <w:tr w:rsidTr="00FC2745">
        <w:tblPrEx>
          <w:tblW w:w="0" w:type="auto"/>
          <w:tblLayout w:type="fixed"/>
          <w:tblCellMar>
            <w:left w:w="62" w:type="dxa"/>
            <w:right w:w="62" w:type="dxa"/>
          </w:tblCellMar>
          <w:tblLook w:val="0000"/>
        </w:tblPrEx>
        <w:tc>
          <w:tcPr>
            <w:tcW w:w="8513" w:type="dxa"/>
            <w:tcBorders>
              <w:top w:val="nil"/>
              <w:left w:val="nil"/>
              <w:bottom w:val="nil"/>
              <w:right w:val="nil"/>
            </w:tcBorders>
            <w:tcMar>
              <w:top w:w="0" w:type="dxa"/>
              <w:left w:w="62" w:type="dxa"/>
              <w:bottom w:w="0" w:type="dxa"/>
              <w:right w:w="62" w:type="dxa"/>
            </w:tcMar>
          </w:tcPr>
          <w:p w:rsidR="00000000" w:rsidRPr="00601DD9" w:rsidP="00601DD9">
            <w:pPr>
              <w:pStyle w:val="BodyText"/>
            </w:pPr>
            <w:r w:rsidRPr="00601DD9">
              <w:rPr>
                <w:rStyle w:val="SpecialBold"/>
              </w:rPr>
              <w:t>Knowledge requirements</w:t>
            </w:r>
          </w:p>
          <w:p w:rsidR="00000000" w:rsidRPr="00601DD9" w:rsidP="00601DD9">
            <w:pPr>
              <w:pStyle w:val="BodyText"/>
            </w:pPr>
            <w:r w:rsidRPr="00601DD9">
              <w:t>Look for evidence that confirms knowledge and understanding of:</w:t>
            </w:r>
          </w:p>
          <w:p w:rsidR="00000000" w:rsidRPr="00601DD9" w:rsidP="00601DD9">
            <w:pPr>
              <w:pStyle w:val="ListBullet"/>
            </w:pPr>
            <w:r w:rsidRPr="00601DD9">
              <w:t>public sector policies, procedures and guidelines related to client service delivery</w:t>
            </w:r>
          </w:p>
          <w:p w:rsidR="00000000" w:rsidRPr="00601DD9" w:rsidP="00601DD9">
            <w:pPr>
              <w:pStyle w:val="ListBullet"/>
            </w:pPr>
            <w:r w:rsidRPr="00601DD9">
              <w:t>current practice in clie</w:t>
            </w:r>
            <w:r w:rsidRPr="00601DD9">
              <w:t>nt service delivery in the public sector</w:t>
            </w:r>
          </w:p>
          <w:p w:rsidR="00000000" w:rsidRPr="00601DD9" w:rsidP="00601DD9">
            <w:pPr>
              <w:pStyle w:val="ListBullet"/>
            </w:pPr>
            <w:r w:rsidRPr="00601DD9">
              <w:t>organisational client service charter, standards and procedures</w:t>
            </w:r>
          </w:p>
          <w:p w:rsidR="00000000" w:rsidRPr="00601DD9" w:rsidP="00601DD9">
            <w:pPr>
              <w:pStyle w:val="ListBullet"/>
            </w:pPr>
            <w:r w:rsidRPr="00601DD9">
              <w:t>equity and diversity issues impacting on client service delivery</w:t>
            </w:r>
          </w:p>
          <w:p w:rsidR="00000000" w:rsidRPr="00601DD9" w:rsidP="00601DD9">
            <w:pPr>
              <w:pStyle w:val="ListBullet"/>
            </w:pPr>
            <w:r w:rsidRPr="00601DD9">
              <w:t>limitations of resources for service delivery</w:t>
            </w:r>
          </w:p>
          <w:p w:rsidR="00000000" w:rsidRPr="00601DD9" w:rsidP="00601DD9">
            <w:pPr>
              <w:pStyle w:val="ListBullet"/>
            </w:pPr>
            <w:r w:rsidRPr="00601DD9">
              <w:t>public sector legislation such as occupa</w:t>
            </w:r>
            <w:r w:rsidRPr="00601DD9">
              <w:t>tional health and safety and environment in the context of client service delivery</w:t>
            </w:r>
          </w:p>
        </w:tc>
      </w:tr>
    </w:tbl>
    <w:p w:rsidR="00000000" w:rsidRPr="00601DD9" w:rsidP="00601DD9">
      <w:pPr>
        <w:pStyle w:val="BodyText"/>
      </w:pPr>
    </w:p>
    <w:p w:rsidR="00000000" w:rsidRPr="00601DD9" w:rsidP="00601DD9">
      <w:pPr>
        <w:pStyle w:val="AllowPageBreak"/>
      </w:pPr>
    </w:p>
    <w:p w:rsidR="00000000" w:rsidRPr="00601DD9" w:rsidP="00601DD9">
      <w:pPr>
        <w:pStyle w:val="Heading1"/>
      </w:pPr>
      <w:bookmarkStart w:id="10" w:name="O_492683"/>
      <w:bookmarkEnd w:id="10"/>
      <w:r w:rsidRPr="00601DD9">
        <w:t>Evidence Guide</w:t>
      </w:r>
    </w:p>
    <w:tbl>
      <w:tblPr>
        <w:tblW w:w="9322" w:type="dxa"/>
        <w:tblLayout w:type="fixed"/>
        <w:tblCellMar>
          <w:left w:w="62" w:type="dxa"/>
          <w:right w:w="62" w:type="dxa"/>
        </w:tblCellMar>
        <w:tblLook w:val="0000"/>
      </w:tblPr>
      <w:tblGrid>
        <w:gridCol w:w="2660"/>
        <w:gridCol w:w="6662"/>
      </w:tblGrid>
      <w:tr w:rsidTr="00FC2745">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601DD9">
            <w:pPr>
              <w:pStyle w:val="BodyText"/>
              <w:rPr>
                <w:lang w:val="en-NZ"/>
              </w:rPr>
            </w:pPr>
            <w:r w:rsidRPr="00601DD9">
              <w:t>The Evidence Guide specifies the evidence required to demonstrate achievement in the unit of competency as a whole. It must be read in conjunction with the Unit descriptor, Performance Criteria, the Range Statement and the Assessment Guidelines for the Pub</w:t>
            </w:r>
            <w:r w:rsidRPr="00601DD9">
              <w:t>lic Sector Training Package.</w:t>
            </w:r>
          </w:p>
        </w:tc>
      </w:tr>
      <w:tr w:rsidTr="00FC274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601DD9" w:rsidP="00601DD9">
            <w:pPr>
              <w:pStyle w:val="BodyText"/>
            </w:pPr>
            <w:r w:rsidRPr="00601DD9">
              <w:rPr>
                <w:rStyle w:val="SpecialBold"/>
              </w:rPr>
              <w:t>Units to be assessed together</w:t>
            </w:r>
            <w:r w:rsidRPr="00601DD9">
              <w:t xml:space="preserve"> </w:t>
            </w:r>
          </w:p>
        </w:tc>
        <w:tc>
          <w:tcPr>
            <w:tcW w:w="6662" w:type="dxa"/>
            <w:tcBorders>
              <w:top w:val="nil"/>
              <w:left w:val="nil"/>
              <w:bottom w:val="nil"/>
              <w:right w:val="nil"/>
            </w:tcBorders>
            <w:tcMar>
              <w:top w:w="0" w:type="dxa"/>
              <w:left w:w="62" w:type="dxa"/>
              <w:bottom w:w="0" w:type="dxa"/>
              <w:right w:w="62" w:type="dxa"/>
            </w:tcMar>
          </w:tcPr>
          <w:p w:rsidR="00000000" w:rsidRPr="00601DD9" w:rsidP="00601DD9">
            <w:pPr>
              <w:pStyle w:val="ListBullet"/>
            </w:pPr>
            <w:r w:rsidRPr="00601DD9">
              <w:rPr>
                <w:rStyle w:val="Emphasis"/>
              </w:rPr>
              <w:t>Pre</w:t>
            </w:r>
            <w:r w:rsidRPr="00601DD9">
              <w:t>-</w:t>
            </w:r>
            <w:r w:rsidRPr="00601DD9">
              <w:rPr>
                <w:rStyle w:val="Emphasis"/>
              </w:rPr>
              <w:t>requisite</w:t>
            </w:r>
            <w:r w:rsidRPr="00601DD9">
              <w:t xml:space="preserve"> units that </w:t>
            </w:r>
            <w:r w:rsidRPr="00601DD9">
              <w:rPr>
                <w:rStyle w:val="Underline"/>
              </w:rPr>
              <w:t>must</w:t>
            </w:r>
            <w:r w:rsidRPr="00601DD9">
              <w:t xml:space="preserve"> be achieved </w:t>
            </w:r>
            <w:r w:rsidRPr="00601DD9">
              <w:rPr>
                <w:rStyle w:val="Underline"/>
              </w:rPr>
              <w:t>prior</w:t>
            </w:r>
            <w:r w:rsidRPr="00601DD9">
              <w:t xml:space="preserve"> to this unit:</w:t>
            </w:r>
            <w:r w:rsidRPr="00601DD9">
              <w:rPr>
                <w:rStyle w:val="Emphasis"/>
              </w:rPr>
              <w:t>Nil</w:t>
            </w:r>
          </w:p>
          <w:p w:rsidR="00000000" w:rsidRPr="00601DD9" w:rsidP="00601DD9">
            <w:pPr>
              <w:pStyle w:val="ListBullet"/>
            </w:pPr>
            <w:r w:rsidRPr="00601DD9">
              <w:rPr>
                <w:rStyle w:val="Emphasis"/>
              </w:rPr>
              <w:t>Co</w:t>
            </w:r>
            <w:r w:rsidRPr="00601DD9">
              <w:t>-</w:t>
            </w:r>
            <w:r w:rsidRPr="00601DD9">
              <w:rPr>
                <w:rStyle w:val="Emphasis"/>
              </w:rPr>
              <w:t>requisite</w:t>
            </w:r>
            <w:r w:rsidRPr="00601DD9">
              <w:t xml:space="preserve"> units that </w:t>
            </w:r>
            <w:r w:rsidRPr="00601DD9">
              <w:rPr>
                <w:rStyle w:val="Underline"/>
              </w:rPr>
              <w:t>must</w:t>
            </w:r>
            <w:r w:rsidRPr="00601DD9">
              <w:t xml:space="preserve"> be assessed </w:t>
            </w:r>
            <w:r w:rsidRPr="00601DD9">
              <w:rPr>
                <w:rStyle w:val="Underline"/>
              </w:rPr>
              <w:t>with</w:t>
            </w:r>
            <w:r w:rsidRPr="00601DD9">
              <w:t xml:space="preserve"> this unit:</w:t>
            </w:r>
            <w:r w:rsidRPr="00601DD9">
              <w:rPr>
                <w:rStyle w:val="Emphasis"/>
              </w:rPr>
              <w:t>Nil</w:t>
            </w:r>
          </w:p>
          <w:p w:rsidR="00000000" w:rsidRPr="00601DD9" w:rsidP="00601DD9">
            <w:pPr>
              <w:pStyle w:val="ListBullet"/>
            </w:pPr>
            <w:r w:rsidRPr="00601DD9">
              <w:rPr>
                <w:rStyle w:val="Emphasis"/>
              </w:rPr>
              <w:t>Co</w:t>
            </w:r>
            <w:r w:rsidRPr="00601DD9">
              <w:t>-</w:t>
            </w:r>
            <w:r w:rsidRPr="00601DD9">
              <w:rPr>
                <w:rStyle w:val="Emphasis"/>
              </w:rPr>
              <w:t>assessed units</w:t>
            </w:r>
            <w:r w:rsidRPr="00601DD9">
              <w:t xml:space="preserve"> that </w:t>
            </w:r>
            <w:r w:rsidRPr="00601DD9">
              <w:rPr>
                <w:rStyle w:val="Underline"/>
              </w:rPr>
              <w:t>may</w:t>
            </w:r>
            <w:r w:rsidRPr="00601DD9">
              <w:t xml:space="preserve"> be assessed with this unit to increase the efficiency and realism of the assessment process include, but are not limited to:</w:t>
            </w:r>
          </w:p>
          <w:p w:rsidR="00000000" w:rsidRPr="00601DD9" w:rsidP="00601DD9">
            <w:pPr>
              <w:pStyle w:val="ListBullet2"/>
            </w:pPr>
            <w:r w:rsidRPr="00601DD9">
              <w:t xml:space="preserve">PSPGOV201B Work in a public sector environment </w:t>
            </w:r>
          </w:p>
          <w:p w:rsidR="00000000" w:rsidRPr="00601DD9" w:rsidP="00601DD9">
            <w:pPr>
              <w:pStyle w:val="ListBullet2"/>
            </w:pPr>
            <w:r w:rsidRPr="00601DD9">
              <w:t xml:space="preserve">PSPGOV202B Use routine workplace communication techniques </w:t>
            </w:r>
          </w:p>
          <w:p w:rsidR="00000000" w:rsidRPr="00601DD9" w:rsidP="00601DD9">
            <w:pPr>
              <w:pStyle w:val="ListBullet2"/>
            </w:pPr>
            <w:r w:rsidRPr="00601DD9">
              <w:t xml:space="preserve">PSPGOV204B Access and </w:t>
            </w:r>
            <w:r w:rsidRPr="00601DD9">
              <w:t>use resources</w:t>
            </w:r>
          </w:p>
          <w:p w:rsidR="00000000" w:rsidRPr="00601DD9" w:rsidP="00601DD9">
            <w:pPr>
              <w:pStyle w:val="ListBullet2"/>
            </w:pPr>
            <w:r w:rsidRPr="00601DD9">
              <w:t>PSPGOV206B Handle workplace information</w:t>
            </w:r>
          </w:p>
          <w:p w:rsidR="00000000" w:rsidRPr="00601DD9" w:rsidP="00601DD9">
            <w:pPr>
              <w:pStyle w:val="ListBullet2"/>
            </w:pPr>
            <w:r w:rsidRPr="00601DD9">
              <w:t>PSPGOV207B Use technology in the workplace</w:t>
            </w:r>
          </w:p>
          <w:p w:rsidR="00000000" w:rsidRPr="00601DD9" w:rsidP="00601DD9">
            <w:pPr>
              <w:pStyle w:val="ListBullet2"/>
            </w:pPr>
            <w:r w:rsidRPr="00601DD9">
              <w:t>PSPGOV208A Write routine workplace materials</w:t>
            </w:r>
          </w:p>
          <w:p w:rsidR="00000000" w:rsidP="00601DD9">
            <w:pPr>
              <w:pStyle w:val="ListBullet2"/>
              <w:rPr>
                <w:lang w:val="en-NZ"/>
              </w:rPr>
            </w:pPr>
            <w:r w:rsidRPr="00601DD9">
              <w:t>PSPOHS201B Follow workplace safety procedures</w:t>
            </w:r>
          </w:p>
        </w:tc>
      </w:tr>
      <w:tr w:rsidTr="00FC274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01DD9">
            <w:pPr>
              <w:pStyle w:val="BodyText"/>
              <w:rPr>
                <w:lang w:val="en-NZ"/>
              </w:rPr>
            </w:pPr>
            <w:r w:rsidRPr="00601DD9">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601DD9" w:rsidP="00601DD9">
            <w:pPr>
              <w:pStyle w:val="BodyText"/>
            </w:pPr>
            <w:r w:rsidRPr="00601DD9">
              <w:t>In addition to integrated demonstration of the elements and their related performance criteria, look for evidence that confirms:</w:t>
            </w:r>
          </w:p>
          <w:p w:rsidR="00000000" w:rsidRPr="00601DD9" w:rsidP="00601DD9">
            <w:pPr>
              <w:pStyle w:val="ListBullet"/>
            </w:pPr>
            <w:r w:rsidRPr="00601DD9">
              <w:t xml:space="preserve">the knowledge requirements of this unit </w:t>
            </w:r>
          </w:p>
          <w:p w:rsidR="00000000" w:rsidRPr="00601DD9" w:rsidP="00601DD9">
            <w:pPr>
              <w:pStyle w:val="ListBullet"/>
            </w:pPr>
            <w:r w:rsidRPr="00601DD9">
              <w:t>the skill requirements of this unit</w:t>
            </w:r>
          </w:p>
          <w:p w:rsidR="00000000" w:rsidRPr="00601DD9" w:rsidP="00601DD9">
            <w:pPr>
              <w:pStyle w:val="ListBullet"/>
            </w:pPr>
            <w:r w:rsidRPr="00601DD9">
              <w:t>application of Employability Skills as they relat</w:t>
            </w:r>
            <w:r w:rsidRPr="00601DD9">
              <w:t xml:space="preserve">e to this unit </w:t>
            </w:r>
          </w:p>
          <w:p w:rsidR="00000000" w:rsidP="00601DD9">
            <w:pPr>
              <w:pStyle w:val="ListBullet"/>
              <w:rPr>
                <w:lang w:val="en-NZ"/>
              </w:rPr>
            </w:pPr>
            <w:r w:rsidRPr="00601DD9">
              <w:t>client service delivery in a range of (3 or more) contexts (or occasions, over time)</w:t>
            </w:r>
          </w:p>
        </w:tc>
      </w:tr>
      <w:tr w:rsidTr="00FC274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01DD9">
            <w:pPr>
              <w:pStyle w:val="BodyText"/>
              <w:rPr>
                <w:lang w:val="en-NZ"/>
              </w:rPr>
            </w:pPr>
            <w:r w:rsidRPr="00601DD9">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601DD9" w:rsidP="00601DD9">
            <w:pPr>
              <w:pStyle w:val="BodyText"/>
            </w:pPr>
            <w:r w:rsidRPr="00601DD9">
              <w:t>These resources include:</w:t>
            </w:r>
          </w:p>
          <w:p w:rsidR="00000000" w:rsidRPr="00601DD9" w:rsidP="00601DD9">
            <w:pPr>
              <w:pStyle w:val="ListBullet"/>
            </w:pPr>
            <w:r w:rsidRPr="00601DD9">
              <w:t>legislation, policy, procedures and protocols relating to client service in the publi</w:t>
            </w:r>
            <w:r w:rsidRPr="00601DD9">
              <w:t>c sector</w:t>
            </w:r>
          </w:p>
          <w:p w:rsidR="00000000" w:rsidP="00601DD9">
            <w:pPr>
              <w:pStyle w:val="ListBullet"/>
              <w:rPr>
                <w:lang w:val="en-NZ"/>
              </w:rPr>
            </w:pPr>
            <w:r w:rsidRPr="00601DD9">
              <w:t xml:space="preserve">case studies and workplace scenarios to capture the range of client service situations likely to be encountered </w:t>
            </w:r>
          </w:p>
        </w:tc>
      </w:tr>
      <w:tr w:rsidTr="00FC274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01DD9">
            <w:pPr>
              <w:pStyle w:val="BodyText"/>
              <w:rPr>
                <w:lang w:val="en-NZ"/>
              </w:rPr>
            </w:pPr>
            <w:r w:rsidRPr="00601DD9">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601DD9" w:rsidP="00601DD9">
            <w:pPr>
              <w:pStyle w:val="BodyText"/>
            </w:pPr>
            <w:r w:rsidRPr="00601DD9">
              <w:t xml:space="preserve">Valid assessment of this unit requires: </w:t>
            </w:r>
          </w:p>
          <w:p w:rsidR="00000000" w:rsidRPr="00601DD9" w:rsidP="00601DD9">
            <w:pPr>
              <w:pStyle w:val="ListBullet"/>
            </w:pPr>
            <w:r w:rsidRPr="00601DD9">
              <w:t>a workplace environment, or one that closely resembles nor</w:t>
            </w:r>
            <w:r w:rsidRPr="00601DD9">
              <w:t>mal work practice and replicates the range of conditions likely to be encountered when delivering a service to clients, including coping with difficulties, irregularities and breakdowns in routine</w:t>
            </w:r>
          </w:p>
          <w:p w:rsidR="00000000" w:rsidRPr="00601DD9" w:rsidP="00601DD9">
            <w:pPr>
              <w:pStyle w:val="ListBullet"/>
            </w:pPr>
            <w:r w:rsidRPr="00601DD9">
              <w:t>client service delivery in a range of (3 or more) contexts (or occasions, over time)</w:t>
            </w:r>
          </w:p>
          <w:p w:rsidR="00000000" w:rsidRPr="00601DD9" w:rsidP="00601DD9">
            <w:pPr>
              <w:pStyle w:val="BodyText"/>
            </w:pPr>
            <w:r w:rsidRPr="00601DD9">
              <w:t>Assessment methods should reflect workplace demands, such as literacy, and the needs of particular groups, such as:</w:t>
            </w:r>
          </w:p>
          <w:p w:rsidR="00000000" w:rsidRPr="00601DD9" w:rsidP="00601DD9">
            <w:pPr>
              <w:pStyle w:val="ListBullet"/>
            </w:pPr>
            <w:r w:rsidRPr="00601DD9">
              <w:t>people with disabilities</w:t>
            </w:r>
          </w:p>
          <w:p w:rsidR="00000000" w:rsidRPr="00601DD9" w:rsidP="00601DD9">
            <w:pPr>
              <w:pStyle w:val="ListBullet"/>
            </w:pPr>
            <w:r w:rsidRPr="00601DD9">
              <w:t>people from culturally and li</w:t>
            </w:r>
            <w:r w:rsidRPr="00601DD9">
              <w:t>nguistically diverse backgrounds</w:t>
            </w:r>
          </w:p>
          <w:p w:rsidR="00000000" w:rsidRPr="00601DD9" w:rsidP="00601DD9">
            <w:pPr>
              <w:pStyle w:val="ListBullet"/>
            </w:pPr>
            <w:r w:rsidRPr="00601DD9">
              <w:t>Aboriginal and Torres Strait Islander people</w:t>
            </w:r>
          </w:p>
          <w:p w:rsidR="00000000" w:rsidRPr="00601DD9" w:rsidP="00601DD9">
            <w:pPr>
              <w:pStyle w:val="ListBullet"/>
            </w:pPr>
            <w:r w:rsidRPr="00601DD9">
              <w:t>women</w:t>
            </w:r>
          </w:p>
          <w:p w:rsidR="00000000" w:rsidRPr="00601DD9" w:rsidP="00601DD9">
            <w:pPr>
              <w:pStyle w:val="ListBullet"/>
            </w:pPr>
            <w:r w:rsidRPr="00601DD9">
              <w:t>young people</w:t>
            </w:r>
          </w:p>
          <w:p w:rsidR="00000000" w:rsidRPr="00601DD9" w:rsidP="00601DD9">
            <w:pPr>
              <w:pStyle w:val="ListBullet"/>
            </w:pPr>
            <w:r w:rsidRPr="00601DD9">
              <w:t>older people</w:t>
            </w:r>
          </w:p>
          <w:p w:rsidR="00000000" w:rsidRPr="00601DD9" w:rsidP="00601DD9">
            <w:pPr>
              <w:pStyle w:val="ListBullet"/>
            </w:pPr>
            <w:r w:rsidRPr="00601DD9">
              <w:t>people in rural and remote locations.</w:t>
            </w:r>
          </w:p>
          <w:p w:rsidR="00000000" w:rsidRPr="00601DD9" w:rsidP="00601DD9">
            <w:pPr>
              <w:pStyle w:val="BodyText"/>
            </w:pPr>
            <w:r w:rsidRPr="00601DD9">
              <w:t xml:space="preserve">Some assessment of this unit may be carried out in languages other than English where an officer is working </w:t>
            </w:r>
            <w:r w:rsidRPr="00601DD9">
              <w:t>with specific language groups.</w:t>
            </w:r>
          </w:p>
          <w:p w:rsidR="00000000" w:rsidRPr="00601DD9" w:rsidP="00601DD9">
            <w:pPr>
              <w:pStyle w:val="BodyText"/>
            </w:pPr>
            <w:r w:rsidRPr="00601DD9">
              <w:t xml:space="preserve">Assessment methods suitable for valid and reliable assessment of this competency may include, but are not limited to, a combination of 2 or more of: </w:t>
            </w:r>
          </w:p>
          <w:p w:rsidR="00000000" w:rsidRPr="00601DD9" w:rsidP="00601DD9">
            <w:pPr>
              <w:pStyle w:val="ListBullet"/>
            </w:pPr>
            <w:r w:rsidRPr="00601DD9">
              <w:t>case studies</w:t>
            </w:r>
          </w:p>
          <w:p w:rsidR="00000000" w:rsidRPr="00601DD9" w:rsidP="00601DD9">
            <w:pPr>
              <w:pStyle w:val="ListBullet"/>
            </w:pPr>
            <w:r w:rsidRPr="00601DD9">
              <w:t xml:space="preserve">demonstration </w:t>
            </w:r>
          </w:p>
          <w:p w:rsidR="00000000" w:rsidRPr="00601DD9" w:rsidP="00601DD9">
            <w:pPr>
              <w:pStyle w:val="ListBullet"/>
            </w:pPr>
            <w:r w:rsidRPr="00601DD9">
              <w:t>observation</w:t>
            </w:r>
          </w:p>
          <w:p w:rsidR="00000000" w:rsidRPr="00601DD9" w:rsidP="00601DD9">
            <w:pPr>
              <w:pStyle w:val="ListBullet"/>
            </w:pPr>
            <w:r w:rsidRPr="00601DD9">
              <w:t xml:space="preserve">portfolios </w:t>
            </w:r>
          </w:p>
          <w:p w:rsidR="00000000" w:rsidRPr="00601DD9" w:rsidP="00601DD9">
            <w:pPr>
              <w:pStyle w:val="ListBullet"/>
            </w:pPr>
            <w:r w:rsidRPr="00601DD9">
              <w:t>questioning</w:t>
            </w:r>
          </w:p>
          <w:p w:rsidR="00000000" w:rsidRPr="00601DD9" w:rsidP="00601DD9">
            <w:pPr>
              <w:pStyle w:val="ListBullet"/>
            </w:pPr>
            <w:r w:rsidRPr="00601DD9">
              <w:t>scenarios</w:t>
            </w:r>
          </w:p>
          <w:p w:rsidR="00000000" w:rsidRPr="00601DD9" w:rsidP="00601DD9">
            <w:pPr>
              <w:pStyle w:val="ListBullet"/>
            </w:pPr>
            <w:r w:rsidRPr="00601DD9">
              <w:t>simulation or role plays</w:t>
            </w:r>
          </w:p>
          <w:p w:rsidR="00000000" w:rsidP="00601DD9">
            <w:pPr>
              <w:pStyle w:val="ListBullet"/>
              <w:rPr>
                <w:lang w:val="en-NZ"/>
              </w:rPr>
            </w:pPr>
            <w:r w:rsidRPr="00601DD9">
              <w:t>authenticated evidence from the workplace and/or training courses</w:t>
            </w:r>
          </w:p>
        </w:tc>
      </w:tr>
      <w:tr w:rsidTr="00FC274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01DD9">
            <w:pPr>
              <w:pStyle w:val="BodyText"/>
              <w:rPr>
                <w:lang w:val="en-NZ"/>
              </w:rPr>
            </w:pPr>
            <w:r w:rsidRPr="00601DD9">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601DD9" w:rsidP="00601DD9">
            <w:pPr>
              <w:pStyle w:val="BodyText"/>
            </w:pPr>
            <w:r w:rsidRPr="00601DD9">
              <w:t>Evidence must be gathered over time in a range of contexts to ensure the person can achieve the unit outcome and apply the competency in different situations or environments</w:t>
            </w:r>
          </w:p>
        </w:tc>
      </w:tr>
    </w:tbl>
    <w:p w:rsidR="00000000" w:rsidRPr="00601DD9" w:rsidP="00601DD9">
      <w:pPr>
        <w:pStyle w:val="BodyText"/>
      </w:pPr>
    </w:p>
    <w:p w:rsidR="00000000" w:rsidRPr="00601DD9" w:rsidP="00601DD9">
      <w:pPr>
        <w:pStyle w:val="AllowPageBreak"/>
      </w:pPr>
    </w:p>
    <w:p w:rsidR="00000000" w:rsidRPr="00601DD9" w:rsidP="00601DD9">
      <w:pPr>
        <w:pStyle w:val="Heading1"/>
      </w:pPr>
      <w:bookmarkStart w:id="11" w:name="O_492680"/>
      <w:bookmarkEnd w:id="11"/>
      <w:r w:rsidRPr="00601DD9">
        <w:t>Range Statement</w:t>
      </w:r>
    </w:p>
    <w:tbl>
      <w:tblPr>
        <w:tblW w:w="9322" w:type="dxa"/>
        <w:tblLayout w:type="fixed"/>
        <w:tblCellMar>
          <w:left w:w="62" w:type="dxa"/>
          <w:right w:w="62" w:type="dxa"/>
        </w:tblCellMar>
        <w:tblLook w:val="0000"/>
      </w:tblPr>
      <w:tblGrid>
        <w:gridCol w:w="2660"/>
        <w:gridCol w:w="6662"/>
      </w:tblGrid>
      <w:tr w:rsidTr="00FC2745">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DD9">
            <w:pPr>
              <w:pStyle w:val="BodyText"/>
              <w:rPr>
                <w:lang w:val="en-NZ"/>
              </w:rPr>
            </w:pPr>
            <w:r w:rsidRPr="00601DD9">
              <w:t xml:space="preserve">The Range Statement provides information about </w:t>
            </w:r>
            <w:r w:rsidRPr="00601DD9">
              <w:t>the context in which the unit of competency is carried out. The variables cater for differences between States and Territories and the Commonwealth, and between organisations and workplaces. They allow for different work requirements, work practices and kn</w:t>
            </w:r>
            <w:r w:rsidRPr="00601DD9">
              <w:t xml:space="preserve">owledge. The Range Statement also provides a focus for assessment. It relates to the unit as a whole. Text in </w:t>
            </w:r>
            <w:r w:rsidRPr="00601DD9">
              <w:rPr>
                <w:rStyle w:val="BoldandItalics"/>
              </w:rPr>
              <w:t>bold italics</w:t>
            </w:r>
            <w:r w:rsidRPr="00601DD9">
              <w:t xml:space="preserve"> in the Performance Criteria is explained here.</w:t>
            </w:r>
          </w:p>
        </w:tc>
      </w:tr>
      <w:tr w:rsidTr="00FC274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DD9">
            <w:pPr>
              <w:pStyle w:val="BodyText"/>
              <w:rPr>
                <w:lang w:val="en-NZ"/>
              </w:rPr>
            </w:pPr>
            <w:r w:rsidRPr="00601DD9">
              <w:rPr>
                <w:rStyle w:val="BoldandItalics"/>
              </w:rPr>
              <w:t>Legislation</w:t>
            </w:r>
            <w:r w:rsidRPr="00601DD9">
              <w:t xml:space="preserve">, </w:t>
            </w:r>
            <w:r w:rsidRPr="00601DD9">
              <w:rPr>
                <w:rStyle w:val="BoldandItalics"/>
              </w:rPr>
              <w:t>policy and procedures</w:t>
            </w:r>
            <w:r w:rsidRPr="00601DD9">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DD9" w:rsidP="00601DD9">
            <w:pPr>
              <w:pStyle w:val="ListBullet"/>
            </w:pPr>
            <w:r w:rsidRPr="00601DD9">
              <w:t>State/Territory and Commonwealth le</w:t>
            </w:r>
            <w:r w:rsidRPr="00601DD9">
              <w:t>gislation and regulations such as:</w:t>
            </w:r>
          </w:p>
          <w:p w:rsidR="00000000" w:rsidRPr="00601DD9" w:rsidP="00601DD9">
            <w:pPr>
              <w:pStyle w:val="ListBullet2"/>
            </w:pPr>
            <w:r w:rsidRPr="00601DD9">
              <w:t>public sector management acts</w:t>
            </w:r>
          </w:p>
          <w:p w:rsidR="00000000" w:rsidRPr="00601DD9" w:rsidP="00601DD9">
            <w:pPr>
              <w:pStyle w:val="ListBullet2"/>
            </w:pPr>
            <w:r w:rsidRPr="00601DD9">
              <w:t xml:space="preserve">financial management acts </w:t>
            </w:r>
          </w:p>
          <w:p w:rsidR="00000000" w:rsidRPr="00601DD9" w:rsidP="00601DD9">
            <w:pPr>
              <w:pStyle w:val="ListBullet2"/>
            </w:pPr>
            <w:r w:rsidRPr="00601DD9">
              <w:t>privacy legislation</w:t>
            </w:r>
          </w:p>
          <w:p w:rsidR="00000000" w:rsidRPr="00601DD9" w:rsidP="00601DD9">
            <w:pPr>
              <w:pStyle w:val="ListBullet2"/>
            </w:pPr>
            <w:r w:rsidRPr="00601DD9">
              <w:t xml:space="preserve">equal employment opportunity, anti-discrimination and harassment legislation </w:t>
            </w:r>
          </w:p>
          <w:p w:rsidR="00000000" w:rsidRPr="00601DD9" w:rsidP="00601DD9">
            <w:pPr>
              <w:pStyle w:val="ListBullet2"/>
            </w:pPr>
            <w:r w:rsidRPr="00601DD9">
              <w:t>occupational health and safety legislation</w:t>
            </w:r>
          </w:p>
          <w:p w:rsidR="00000000" w:rsidRPr="00601DD9" w:rsidP="00601DD9">
            <w:pPr>
              <w:pStyle w:val="ListBullet2"/>
            </w:pPr>
            <w:r w:rsidRPr="00601DD9">
              <w:t>consumer legislation</w:t>
            </w:r>
          </w:p>
          <w:p w:rsidR="00000000" w:rsidRPr="00601DD9" w:rsidP="00601DD9">
            <w:pPr>
              <w:pStyle w:val="ListBullet2"/>
            </w:pPr>
            <w:r w:rsidRPr="00601DD9">
              <w:t>environment legislation.</w:t>
            </w:r>
          </w:p>
          <w:p w:rsidR="00000000" w:rsidRPr="00601DD9" w:rsidP="00601DD9">
            <w:pPr>
              <w:pStyle w:val="ListBullet"/>
            </w:pPr>
            <w:r w:rsidRPr="00601DD9">
              <w:t>risk management guidelines</w:t>
            </w:r>
          </w:p>
          <w:p w:rsidR="00000000" w:rsidRPr="00601DD9" w:rsidP="00601DD9">
            <w:pPr>
              <w:pStyle w:val="ListBullet"/>
            </w:pPr>
            <w:r w:rsidRPr="00601DD9">
              <w:t>ethics and accountability standards</w:t>
            </w:r>
          </w:p>
          <w:p w:rsidR="00000000" w:rsidRPr="00601DD9" w:rsidP="00601DD9">
            <w:pPr>
              <w:pStyle w:val="ListBullet"/>
            </w:pPr>
            <w:r w:rsidRPr="00601DD9">
              <w:t>public sector standards</w:t>
            </w:r>
          </w:p>
          <w:p w:rsidR="00000000" w:rsidRPr="00601DD9" w:rsidP="00601DD9">
            <w:pPr>
              <w:pStyle w:val="ListBullet"/>
            </w:pPr>
            <w:r w:rsidRPr="00601DD9">
              <w:t>fraud control standards</w:t>
            </w:r>
          </w:p>
          <w:p w:rsidR="00000000" w:rsidRPr="00601DD9" w:rsidP="00601DD9">
            <w:pPr>
              <w:pStyle w:val="ListBullet"/>
            </w:pPr>
            <w:r w:rsidRPr="00601DD9">
              <w:t>government security standards</w:t>
            </w:r>
          </w:p>
          <w:p w:rsidR="00000000" w:rsidP="00601DD9">
            <w:pPr>
              <w:pStyle w:val="ListBullet"/>
              <w:rPr>
                <w:lang w:val="en-NZ"/>
              </w:rPr>
            </w:pPr>
            <w:r w:rsidRPr="00601DD9">
              <w:t>organisational policy, procedures and protocols</w:t>
            </w:r>
          </w:p>
        </w:tc>
      </w:tr>
      <w:tr w:rsidTr="00FC274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DD9">
            <w:pPr>
              <w:pStyle w:val="BodyText"/>
              <w:rPr>
                <w:lang w:val="en-NZ"/>
              </w:rPr>
            </w:pPr>
            <w:r w:rsidRPr="00601DD9">
              <w:rPr>
                <w:rStyle w:val="BoldandItalics"/>
              </w:rPr>
              <w:t xml:space="preserve">Clients </w:t>
            </w:r>
            <w:r w:rsidRPr="00601DD9">
              <w:t>may be: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DD9" w:rsidP="00601DD9">
            <w:pPr>
              <w:pStyle w:val="ListBullet"/>
            </w:pPr>
            <w:r w:rsidRPr="00601DD9">
              <w:t>internal</w:t>
            </w:r>
          </w:p>
          <w:p w:rsidR="00000000" w:rsidRPr="00601DD9" w:rsidP="00601DD9">
            <w:pPr>
              <w:pStyle w:val="ListBullet"/>
            </w:pPr>
            <w:r w:rsidRPr="00601DD9">
              <w:t>external</w:t>
            </w:r>
          </w:p>
          <w:p w:rsidR="00000000" w:rsidRPr="00601DD9" w:rsidP="00601DD9">
            <w:pPr>
              <w:pStyle w:val="ListBullet"/>
            </w:pPr>
            <w:r w:rsidRPr="00601DD9">
              <w:t>individual members of the public</w:t>
            </w:r>
          </w:p>
          <w:p w:rsidR="00000000" w:rsidRPr="00601DD9" w:rsidP="00601DD9">
            <w:pPr>
              <w:pStyle w:val="ListBullet"/>
            </w:pPr>
            <w:r w:rsidRPr="00601DD9">
              <w:t>other agencies and community groups</w:t>
            </w:r>
          </w:p>
          <w:p w:rsidR="00000000" w:rsidRPr="00601DD9" w:rsidP="00601DD9">
            <w:pPr>
              <w:pStyle w:val="ListBullet"/>
            </w:pPr>
            <w:r w:rsidRPr="00601DD9">
              <w:t>other work areas of the organisation</w:t>
            </w:r>
          </w:p>
          <w:p w:rsidR="00000000" w:rsidRPr="00601DD9" w:rsidP="00601DD9">
            <w:pPr>
              <w:pStyle w:val="ListBullet"/>
            </w:pPr>
            <w:r w:rsidRPr="00601DD9">
              <w:t>individual members of the organisation</w:t>
            </w:r>
          </w:p>
          <w:p w:rsidR="00000000" w:rsidP="00601DD9">
            <w:pPr>
              <w:pStyle w:val="ListBullet"/>
              <w:rPr>
                <w:lang w:val="en-NZ"/>
              </w:rPr>
            </w:pPr>
            <w:r w:rsidRPr="00601DD9">
              <w:t>senior management</w:t>
            </w:r>
          </w:p>
        </w:tc>
      </w:tr>
      <w:tr w:rsidTr="00FC274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DD9">
            <w:pPr>
              <w:pStyle w:val="BodyText"/>
              <w:rPr>
                <w:lang w:val="en-NZ"/>
              </w:rPr>
            </w:pPr>
            <w:r w:rsidRPr="00601DD9">
              <w:rPr>
                <w:rStyle w:val="BoldandItalics"/>
              </w:rPr>
              <w:t>Client services</w:t>
            </w:r>
            <w:r w:rsidRPr="00601DD9">
              <w:t xml:space="preserve"> are: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DD9">
            <w:pPr>
              <w:pStyle w:val="ListBullet"/>
              <w:rPr>
                <w:lang w:val="en-NZ"/>
              </w:rPr>
            </w:pPr>
            <w:r w:rsidRPr="00601DD9">
              <w:t>specific to the organisation, within the capabilities and resources of</w:t>
            </w:r>
            <w:r w:rsidRPr="00601DD9">
              <w:t xml:space="preserve"> the organisation</w:t>
            </w:r>
          </w:p>
        </w:tc>
      </w:tr>
      <w:tr w:rsidTr="00FC274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DD9">
            <w:pPr>
              <w:pStyle w:val="BodyText"/>
              <w:rPr>
                <w:lang w:val="en-NZ"/>
              </w:rPr>
            </w:pPr>
            <w:r w:rsidRPr="00601DD9">
              <w:rPr>
                <w:rStyle w:val="BoldandItalics"/>
              </w:rPr>
              <w:t>Communication techniques</w:t>
            </w:r>
            <w:r w:rsidRPr="00601DD9">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DD9" w:rsidP="00601DD9">
            <w:pPr>
              <w:pStyle w:val="ListBullet"/>
            </w:pPr>
            <w:r w:rsidRPr="00601DD9">
              <w:t>active listening</w:t>
            </w:r>
          </w:p>
          <w:p w:rsidR="00000000" w:rsidRPr="00601DD9" w:rsidP="00601DD9">
            <w:pPr>
              <w:pStyle w:val="ListBullet"/>
            </w:pPr>
            <w:r w:rsidRPr="00601DD9">
              <w:t>using open and/or closed questions</w:t>
            </w:r>
          </w:p>
          <w:p w:rsidR="00000000" w:rsidRPr="00601DD9" w:rsidP="00601DD9">
            <w:pPr>
              <w:pStyle w:val="ListBullet"/>
            </w:pPr>
            <w:r w:rsidRPr="00601DD9">
              <w:t>speaking clearly and concisely</w:t>
            </w:r>
          </w:p>
          <w:p w:rsidR="00000000" w:rsidRPr="00601DD9" w:rsidP="00601DD9">
            <w:pPr>
              <w:pStyle w:val="ListBullet"/>
            </w:pPr>
            <w:r w:rsidRPr="00601DD9">
              <w:t>varying language and tone of voice to suit the audience and purpose</w:t>
            </w:r>
          </w:p>
          <w:p w:rsidR="00000000" w:rsidRPr="00601DD9" w:rsidP="00601DD9">
            <w:pPr>
              <w:pStyle w:val="ListBullet"/>
            </w:pPr>
            <w:r w:rsidRPr="00601DD9">
              <w:t>giving clients full attention</w:t>
            </w:r>
          </w:p>
          <w:p w:rsidR="00000000" w:rsidRPr="00601DD9" w:rsidP="00601DD9">
            <w:pPr>
              <w:pStyle w:val="ListBullet"/>
            </w:pPr>
            <w:r w:rsidRPr="00601DD9">
              <w:t>maintaining eye-contact (for face-to-face interactions) if culturally appropriate</w:t>
            </w:r>
          </w:p>
          <w:p w:rsidR="00000000" w:rsidRPr="00601DD9" w:rsidP="00601DD9">
            <w:pPr>
              <w:pStyle w:val="ListBullet"/>
            </w:pPr>
            <w:r w:rsidRPr="00601DD9">
              <w:t>non-verbal communication (for face-to-face interactions) such as:</w:t>
            </w:r>
          </w:p>
          <w:p w:rsidR="00000000" w:rsidRPr="00601DD9" w:rsidP="00601DD9">
            <w:pPr>
              <w:pStyle w:val="ListBullet2"/>
            </w:pPr>
            <w:r w:rsidRPr="00601DD9">
              <w:t>body language</w:t>
            </w:r>
          </w:p>
          <w:p w:rsidR="00000000" w:rsidRPr="00601DD9" w:rsidP="00601DD9">
            <w:pPr>
              <w:pStyle w:val="ListBullet2"/>
            </w:pPr>
            <w:r w:rsidRPr="00601DD9">
              <w:t xml:space="preserve">personal presentation </w:t>
            </w:r>
          </w:p>
          <w:p w:rsidR="00000000" w:rsidRPr="00601DD9" w:rsidP="00601DD9">
            <w:pPr>
              <w:pStyle w:val="ListBullet2"/>
            </w:pPr>
            <w:r w:rsidRPr="00601DD9">
              <w:t>clear, legible writing</w:t>
            </w:r>
          </w:p>
          <w:p w:rsidR="00000000" w:rsidP="00601DD9">
            <w:pPr>
              <w:pStyle w:val="ListBullet"/>
              <w:rPr>
                <w:lang w:val="en-NZ"/>
              </w:rPr>
            </w:pPr>
            <w:r w:rsidRPr="00601DD9">
              <w:t>handling of sensitive and confidential issues</w:t>
            </w:r>
          </w:p>
        </w:tc>
      </w:tr>
      <w:tr w:rsidTr="00FC274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DD9">
            <w:pPr>
              <w:pStyle w:val="BodyText"/>
              <w:rPr>
                <w:lang w:val="en-NZ"/>
              </w:rPr>
            </w:pPr>
            <w:r w:rsidRPr="00601DD9">
              <w:rPr>
                <w:rStyle w:val="BoldandItalics"/>
              </w:rPr>
              <w:t xml:space="preserve">Specific needs </w:t>
            </w:r>
            <w:r w:rsidRPr="00601DD9">
              <w:t>may relate to:</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DD9" w:rsidP="00601DD9">
            <w:pPr>
              <w:pStyle w:val="ListBullet"/>
            </w:pPr>
            <w:r w:rsidRPr="00601DD9">
              <w:t>disabilities</w:t>
            </w:r>
          </w:p>
          <w:p w:rsidR="00000000" w:rsidRPr="00601DD9" w:rsidP="00601DD9">
            <w:pPr>
              <w:pStyle w:val="ListBullet"/>
            </w:pPr>
            <w:r w:rsidRPr="00601DD9">
              <w:t>language</w:t>
            </w:r>
          </w:p>
          <w:p w:rsidR="00000000" w:rsidRPr="00601DD9" w:rsidP="00601DD9">
            <w:pPr>
              <w:pStyle w:val="ListBullet"/>
            </w:pPr>
            <w:r w:rsidRPr="00601DD9">
              <w:t>ethnicity</w:t>
            </w:r>
          </w:p>
          <w:p w:rsidR="00000000" w:rsidRPr="00601DD9" w:rsidP="00601DD9">
            <w:pPr>
              <w:pStyle w:val="ListBullet"/>
            </w:pPr>
            <w:r w:rsidRPr="00601DD9">
              <w:t>gender</w:t>
            </w:r>
          </w:p>
          <w:p w:rsidR="00000000" w:rsidRPr="00601DD9" w:rsidP="00601DD9">
            <w:pPr>
              <w:pStyle w:val="ListBullet"/>
            </w:pPr>
            <w:r w:rsidRPr="00601DD9">
              <w:t>culture</w:t>
            </w:r>
          </w:p>
          <w:p w:rsidR="00000000" w:rsidRPr="00601DD9" w:rsidP="00601DD9">
            <w:pPr>
              <w:pStyle w:val="ListBullet"/>
            </w:pPr>
            <w:r w:rsidRPr="00601DD9">
              <w:t>age</w:t>
            </w:r>
          </w:p>
          <w:p w:rsidR="00000000" w:rsidP="00601DD9">
            <w:pPr>
              <w:pStyle w:val="ListBullet"/>
              <w:rPr>
                <w:lang w:val="en-NZ"/>
              </w:rPr>
            </w:pPr>
            <w:r w:rsidRPr="00601DD9">
              <w:t>remote location</w:t>
            </w:r>
          </w:p>
        </w:tc>
      </w:tr>
      <w:tr w:rsidTr="00FC274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DD9">
            <w:pPr>
              <w:pStyle w:val="BodyText"/>
              <w:rPr>
                <w:lang w:val="en-NZ"/>
              </w:rPr>
            </w:pPr>
            <w:r w:rsidRPr="00601DD9">
              <w:rPr>
                <w:rStyle w:val="BoldandItalics"/>
              </w:rPr>
              <w:t>Difficult situations</w:t>
            </w:r>
            <w:r w:rsidRPr="00601DD9">
              <w:t xml:space="preserve"> may require: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DD9" w:rsidP="00601DD9">
            <w:pPr>
              <w:pStyle w:val="ListBullet"/>
            </w:pPr>
            <w:r w:rsidRPr="00601DD9">
              <w:t>negotiation techniques including:</w:t>
            </w:r>
          </w:p>
          <w:p w:rsidR="00000000" w:rsidRPr="00601DD9" w:rsidP="00601DD9">
            <w:pPr>
              <w:pStyle w:val="ListBullet2"/>
            </w:pPr>
            <w:r w:rsidRPr="00601DD9">
              <w:t>effective listening</w:t>
            </w:r>
          </w:p>
          <w:p w:rsidR="00000000" w:rsidRPr="00601DD9" w:rsidP="00601DD9">
            <w:pPr>
              <w:pStyle w:val="ListBullet2"/>
            </w:pPr>
            <w:r w:rsidRPr="00601DD9">
              <w:t>questioning</w:t>
            </w:r>
          </w:p>
          <w:p w:rsidR="00000000" w:rsidRPr="00601DD9" w:rsidP="00601DD9">
            <w:pPr>
              <w:pStyle w:val="ListBullet2"/>
            </w:pPr>
            <w:r w:rsidRPr="00601DD9">
              <w:t>constructive feedback</w:t>
            </w:r>
          </w:p>
          <w:p w:rsidR="00000000" w:rsidRPr="00601DD9" w:rsidP="00601DD9">
            <w:pPr>
              <w:pStyle w:val="ListBullet2"/>
            </w:pPr>
            <w:r w:rsidRPr="00601DD9">
              <w:t>issues identification</w:t>
            </w:r>
          </w:p>
          <w:p w:rsidR="00000000" w:rsidRPr="00601DD9" w:rsidP="00601DD9">
            <w:pPr>
              <w:pStyle w:val="ListBullet2"/>
            </w:pPr>
            <w:r w:rsidRPr="00601DD9">
              <w:t>explor</w:t>
            </w:r>
            <w:r w:rsidRPr="00601DD9">
              <w:t>ing options</w:t>
            </w:r>
          </w:p>
          <w:p w:rsidR="00000000" w:rsidRPr="00601DD9" w:rsidP="00601DD9">
            <w:pPr>
              <w:pStyle w:val="ListBullet2"/>
            </w:pPr>
            <w:r w:rsidRPr="00601DD9">
              <w:t>identifying areas of agreement</w:t>
            </w:r>
          </w:p>
          <w:p w:rsidR="00000000" w:rsidRPr="00601DD9" w:rsidP="00601DD9">
            <w:pPr>
              <w:pStyle w:val="ListBullet2"/>
            </w:pPr>
            <w:r w:rsidRPr="00601DD9">
              <w:t>recording agreements</w:t>
            </w:r>
          </w:p>
          <w:p w:rsidR="00000000" w:rsidRPr="00601DD9" w:rsidP="00601DD9">
            <w:pPr>
              <w:pStyle w:val="ListBullet2"/>
            </w:pPr>
            <w:r w:rsidRPr="00601DD9">
              <w:t>non-verbal as well as verbal communication</w:t>
            </w:r>
          </w:p>
          <w:p w:rsidR="00000000" w:rsidRPr="00601DD9" w:rsidP="00601DD9">
            <w:pPr>
              <w:pStyle w:val="ListBullet2"/>
            </w:pPr>
            <w:r w:rsidRPr="00601DD9">
              <w:t>culturally appropriate strategies, language and non-verbal cues.</w:t>
            </w:r>
          </w:p>
          <w:p w:rsidR="00000000" w:rsidRPr="00601DD9" w:rsidP="00601DD9">
            <w:pPr>
              <w:pStyle w:val="ListBullet"/>
            </w:pPr>
            <w:r w:rsidRPr="00601DD9">
              <w:t>conflict resolution</w:t>
            </w:r>
          </w:p>
          <w:p w:rsidR="00000000" w:rsidRPr="00601DD9" w:rsidP="00601DD9">
            <w:pPr>
              <w:pStyle w:val="ListBullet"/>
            </w:pPr>
            <w:r w:rsidRPr="00601DD9">
              <w:t>expert assistance, such as interpreting service, counselling se</w:t>
            </w:r>
            <w:r w:rsidRPr="00601DD9">
              <w:t>rvice, ethnic support worker, etc</w:t>
            </w:r>
          </w:p>
          <w:p w:rsidR="00000000" w:rsidRPr="00601DD9" w:rsidP="00601DD9">
            <w:pPr>
              <w:pStyle w:val="ListBullet"/>
            </w:pPr>
            <w:r w:rsidRPr="00601DD9">
              <w:t>referral to senior staff</w:t>
            </w:r>
          </w:p>
        </w:tc>
      </w:tr>
    </w:tbl>
    <w:p w:rsidR="00FC2745" w:rsidP="00601DD9">
      <w:pPr>
        <w:pStyle w:val="BodyText"/>
      </w:pPr>
    </w:p>
    <w:p w:rsidR="00FC2745" w:rsidP="00601DD9">
      <w:pPr>
        <w:pStyle w:val="BodyText"/>
      </w:pPr>
    </w:p>
    <w:p w:rsidR="00000000" w:rsidRPr="00601DD9" w:rsidP="00601DD9">
      <w:pPr>
        <w:pStyle w:val="Heading1"/>
      </w:pPr>
      <w:bookmarkStart w:id="12" w:name="O_492676"/>
      <w:bookmarkEnd w:id="12"/>
      <w:r w:rsidRPr="00601DD9">
        <w:t>Unit Sector(s)</w:t>
      </w:r>
    </w:p>
    <w:p w:rsidR="00000000" w:rsidRPr="00601DD9" w:rsidP="00601DD9">
      <w:pPr>
        <w:pStyle w:val="BodyText"/>
      </w:pPr>
      <w:r w:rsidRPr="00601DD9">
        <w:t>Not applicable.</w:t>
      </w:r>
    </w:p>
    <w:p w:rsidR="00000000" w:rsidRPr="00601DD9" w:rsidP="00601DD9">
      <w:pPr>
        <w:pStyle w:val="AllowPageBreak"/>
      </w:pPr>
    </w:p>
    <w:p w:rsidR="00000000" w:rsidRPr="00601DD9" w:rsidP="00601DD9">
      <w:pPr>
        <w:pStyle w:val="Heading1"/>
      </w:pPr>
      <w:bookmarkStart w:id="13" w:name="O_492687"/>
      <w:bookmarkEnd w:id="13"/>
      <w:r w:rsidRPr="00601DD9">
        <w:t>Competency field</w:t>
      </w:r>
    </w:p>
    <w:p w:rsidR="00000000" w:rsidRPr="00601DD9" w:rsidP="00601DD9">
      <w:pPr>
        <w:pStyle w:val="BodyText"/>
      </w:pPr>
      <w:r w:rsidRPr="00601DD9">
        <w:t>Working in Government.</w:t>
      </w:r>
    </w:p>
    <w:p w:rsidR="00000000" w:rsidRPr="00601DD9" w:rsidP="00601DD9"/>
    <w:sectPr w:rsidSect="00601D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D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2745" w:rsidP="00FC27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D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745" w:rsidP="00601D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C2745" w:rsidP="00601D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C2745" w:rsidP="00601D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D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DD9" w:rsidRPr="00FC2745" w:rsidP="00FC274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D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745" w:rsidRPr="002D2AF8" w:rsidP="00601DD9">
    <w:pPr>
      <w:pStyle w:val="Header"/>
      <w:framePr w:wrap="around"/>
    </w:pPr>
    <w:r>
      <w:fldChar w:fldCharType="begin"/>
    </w:r>
    <w:r>
      <w:instrText xml:space="preserve"> TITLE   \* MERGEFORMAT </w:instrText>
    </w:r>
    <w:r>
      <w:fldChar w:fldCharType="separate"/>
    </w:r>
    <w:r>
      <w:t>PSPGOV203B Deliver a service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FC2745" w:rsidP="00601D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5C41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4ADC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CEBB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D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1DD9"/>
    <w:pPr>
      <w:spacing w:before="360" w:after="60"/>
      <w:outlineLvl w:val="0"/>
    </w:pPr>
    <w:rPr>
      <w:sz w:val="32"/>
    </w:rPr>
  </w:style>
  <w:style w:type="paragraph" w:styleId="Heading2">
    <w:name w:val="heading 2"/>
    <w:basedOn w:val="HeadingBase"/>
    <w:next w:val="BodyText"/>
    <w:link w:val="Heading2Char"/>
    <w:qFormat/>
    <w:rsid w:val="00601DD9"/>
    <w:pPr>
      <w:keepLines/>
      <w:spacing w:before="240" w:after="120"/>
      <w:outlineLvl w:val="1"/>
    </w:pPr>
    <w:rPr>
      <w:sz w:val="28"/>
      <w:szCs w:val="40"/>
    </w:rPr>
  </w:style>
  <w:style w:type="paragraph" w:styleId="Heading3">
    <w:name w:val="heading 3"/>
    <w:basedOn w:val="HeadingBase"/>
    <w:next w:val="BodyText"/>
    <w:link w:val="Heading3Char"/>
    <w:qFormat/>
    <w:rsid w:val="00601DD9"/>
    <w:pPr>
      <w:spacing w:before="180" w:after="120"/>
      <w:outlineLvl w:val="2"/>
    </w:pPr>
    <w:rPr>
      <w:spacing w:val="-10"/>
      <w:kern w:val="32"/>
    </w:rPr>
  </w:style>
  <w:style w:type="paragraph" w:styleId="Heading4">
    <w:name w:val="heading 4"/>
    <w:basedOn w:val="HeadingBase"/>
    <w:next w:val="BodyText"/>
    <w:link w:val="Heading4Char"/>
    <w:qFormat/>
    <w:rsid w:val="00601DD9"/>
    <w:pPr>
      <w:spacing w:before="160" w:after="120"/>
      <w:outlineLvl w:val="3"/>
    </w:pPr>
    <w:rPr>
      <w:sz w:val="22"/>
    </w:rPr>
  </w:style>
  <w:style w:type="paragraph" w:styleId="Heading5">
    <w:name w:val="heading 5"/>
    <w:basedOn w:val="HeadingBase"/>
    <w:next w:val="Normal"/>
    <w:link w:val="Heading5Char"/>
    <w:qFormat/>
    <w:rsid w:val="00601DD9"/>
    <w:pPr>
      <w:spacing w:before="80"/>
      <w:outlineLvl w:val="4"/>
    </w:pPr>
    <w:rPr>
      <w:color w:val="918585"/>
      <w:sz w:val="20"/>
    </w:rPr>
  </w:style>
  <w:style w:type="paragraph" w:styleId="Heading6">
    <w:name w:val="heading 6"/>
    <w:basedOn w:val="HeadingBase"/>
    <w:next w:val="Normal"/>
    <w:link w:val="Heading6Char"/>
    <w:qFormat/>
    <w:rsid w:val="00601DD9"/>
    <w:pPr>
      <w:spacing w:before="60"/>
      <w:outlineLvl w:val="5"/>
    </w:pPr>
    <w:rPr>
      <w:color w:val="918585"/>
      <w:sz w:val="20"/>
    </w:rPr>
  </w:style>
  <w:style w:type="paragraph" w:styleId="Heading7">
    <w:name w:val="heading 7"/>
    <w:basedOn w:val="Normal"/>
    <w:next w:val="Normal"/>
    <w:link w:val="Heading7Char"/>
    <w:qFormat/>
    <w:rsid w:val="00601DD9"/>
    <w:pPr>
      <w:ind w:left="720"/>
      <w:outlineLvl w:val="6"/>
    </w:pPr>
    <w:rPr>
      <w:i/>
    </w:rPr>
  </w:style>
  <w:style w:type="paragraph" w:styleId="Heading8">
    <w:name w:val="heading 8"/>
    <w:basedOn w:val="Normal"/>
    <w:next w:val="Normal"/>
    <w:link w:val="Heading8Char"/>
    <w:qFormat/>
    <w:rsid w:val="00601DD9"/>
    <w:pPr>
      <w:ind w:left="720"/>
      <w:outlineLvl w:val="7"/>
    </w:pPr>
    <w:rPr>
      <w:i/>
    </w:rPr>
  </w:style>
  <w:style w:type="paragraph" w:styleId="Heading9">
    <w:name w:val="heading 9"/>
    <w:basedOn w:val="Normal"/>
    <w:next w:val="Normal"/>
    <w:link w:val="Heading9Char"/>
    <w:qFormat/>
    <w:rsid w:val="00601DD9"/>
    <w:pPr>
      <w:ind w:left="720"/>
      <w:outlineLvl w:val="8"/>
    </w:pPr>
    <w:rPr>
      <w:i/>
    </w:rPr>
  </w:style>
  <w:style w:type="character" w:default="1" w:styleId="DefaultParagraphFont">
    <w:name w:val="Default Paragraph Font"/>
    <w:uiPriority w:val="1"/>
    <w:unhideWhenUsed/>
    <w:rsid w:val="00601D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1DD9"/>
  </w:style>
  <w:style w:type="character" w:customStyle="1" w:styleId="Heading1Char">
    <w:name w:val="Heading 1 Char"/>
    <w:basedOn w:val="DefaultParagraphFont"/>
    <w:link w:val="Heading1"/>
    <w:rsid w:val="00601DD9"/>
    <w:rPr>
      <w:rFonts w:ascii="Times New Roman" w:eastAsia="Times New Roman" w:hAnsi="Times New Roman" w:cs="Times New Roman"/>
      <w:b/>
      <w:sz w:val="32"/>
      <w:szCs w:val="20"/>
      <w:lang w:eastAsia="en-US"/>
    </w:rPr>
  </w:style>
  <w:style w:type="paragraph" w:styleId="BodyText">
    <w:name w:val="Body Text"/>
    <w:basedOn w:val="Normal"/>
    <w:link w:val="BodyTextChar"/>
    <w:rsid w:val="00601D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1DD9"/>
    <w:rPr>
      <w:rFonts w:ascii="Times New Roman" w:eastAsia="Times New Roman" w:hAnsi="Times New Roman" w:cs="Times New Roman"/>
      <w:sz w:val="24"/>
      <w:lang w:eastAsia="en-US"/>
    </w:rPr>
  </w:style>
  <w:style w:type="paragraph" w:styleId="Footer">
    <w:name w:val="footer"/>
    <w:basedOn w:val="Normal"/>
    <w:link w:val="FooterChar"/>
    <w:rsid w:val="00601D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1DD9"/>
    <w:rPr>
      <w:rFonts w:ascii="Times New Roman" w:eastAsia="Times New Roman" w:hAnsi="Times New Roman" w:cs="Times New Roman"/>
      <w:sz w:val="16"/>
      <w:lang w:eastAsia="en-US"/>
    </w:rPr>
  </w:style>
  <w:style w:type="paragraph" w:styleId="List">
    <w:name w:val="List"/>
    <w:basedOn w:val="BodyText"/>
    <w:next w:val="BodyText"/>
    <w:rsid w:val="00601DD9"/>
    <w:pPr>
      <w:tabs>
        <w:tab w:val="left" w:pos="340"/>
      </w:tabs>
      <w:spacing w:before="60" w:after="60"/>
      <w:ind w:left="340" w:hanging="340"/>
    </w:pPr>
  </w:style>
  <w:style w:type="paragraph" w:styleId="ListBullet">
    <w:name w:val="List Bullet"/>
    <w:basedOn w:val="List"/>
    <w:rsid w:val="00601DD9"/>
    <w:pPr>
      <w:numPr>
        <w:numId w:val="13"/>
      </w:numPr>
      <w:tabs>
        <w:tab w:val="clear" w:pos="340"/>
      </w:tabs>
      <w:spacing w:before="40" w:after="40"/>
    </w:pPr>
  </w:style>
  <w:style w:type="character" w:customStyle="1" w:styleId="SpecialBold">
    <w:name w:val="Special Bold"/>
    <w:basedOn w:val="DefaultParagraphFont"/>
    <w:rsid w:val="00601DD9"/>
    <w:rPr>
      <w:b/>
      <w:spacing w:val="0"/>
    </w:rPr>
  </w:style>
  <w:style w:type="paragraph" w:styleId="ListBullet2">
    <w:name w:val="List Bullet 2"/>
    <w:basedOn w:val="List2"/>
    <w:rsid w:val="00601DD9"/>
    <w:pPr>
      <w:numPr>
        <w:numId w:val="14"/>
      </w:numPr>
      <w:tabs>
        <w:tab w:val="clear" w:pos="680"/>
      </w:tabs>
    </w:pPr>
  </w:style>
  <w:style w:type="character" w:styleId="Emphasis">
    <w:name w:val="Emphasis"/>
    <w:basedOn w:val="DefaultParagraphFont"/>
    <w:qFormat/>
    <w:rsid w:val="00601DD9"/>
    <w:rPr>
      <w:i/>
    </w:rPr>
  </w:style>
  <w:style w:type="paragraph" w:customStyle="1" w:styleId="SuperHeading">
    <w:name w:val="SuperHeading"/>
    <w:basedOn w:val="Normal"/>
    <w:rsid w:val="00601DD9"/>
    <w:pPr>
      <w:spacing w:before="240" w:after="120"/>
      <w:outlineLvl w:val="0"/>
    </w:pPr>
    <w:rPr>
      <w:rFonts w:ascii="Times New Roman" w:hAnsi="Times New Roman"/>
      <w:b/>
      <w:sz w:val="28"/>
    </w:rPr>
  </w:style>
  <w:style w:type="paragraph" w:customStyle="1" w:styleId="AllowPageBreak">
    <w:name w:val="AllowPageBreak"/>
    <w:rsid w:val="00601D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601DD9"/>
    <w:rPr>
      <w:u w:val="single"/>
    </w:rPr>
  </w:style>
  <w:style w:type="character" w:customStyle="1" w:styleId="BoldandItalics">
    <w:name w:val="Bold and Italics"/>
    <w:qFormat/>
    <w:rsid w:val="00601DD9"/>
    <w:rPr>
      <w:b/>
      <w:i/>
      <w:u w:val="none"/>
    </w:rPr>
  </w:style>
  <w:style w:type="character" w:customStyle="1" w:styleId="Heading2Char">
    <w:name w:val="Heading 2 Char"/>
    <w:basedOn w:val="DefaultParagraphFont"/>
    <w:link w:val="Heading2"/>
    <w:rsid w:val="00601D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1D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1D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1D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1D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1D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1D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1DD9"/>
    <w:rPr>
      <w:rFonts w:ascii="Courier New" w:eastAsia="Times New Roman" w:hAnsi="Courier New" w:cs="Times New Roman"/>
      <w:i/>
      <w:szCs w:val="20"/>
      <w:lang w:eastAsia="en-US"/>
    </w:rPr>
  </w:style>
  <w:style w:type="paragraph" w:customStyle="1" w:styleId="HeadingBase">
    <w:name w:val="Heading Base"/>
    <w:rsid w:val="00601D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1DD9"/>
    <w:pPr>
      <w:tabs>
        <w:tab w:val="right" w:leader="dot" w:pos="9072"/>
      </w:tabs>
      <w:ind w:left="567"/>
    </w:pPr>
    <w:rPr>
      <w:szCs w:val="22"/>
    </w:rPr>
  </w:style>
  <w:style w:type="paragraph" w:customStyle="1" w:styleId="TOCBase">
    <w:name w:val="TOC Base"/>
    <w:rsid w:val="00601D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1DD9"/>
    <w:pPr>
      <w:tabs>
        <w:tab w:val="right" w:leader="dot" w:pos="9072"/>
      </w:tabs>
      <w:spacing w:before="40" w:after="40"/>
      <w:ind w:left="284"/>
    </w:pPr>
    <w:rPr>
      <w:rFonts w:ascii="Times New Roman" w:hAnsi="Times New Roman"/>
    </w:rPr>
  </w:style>
  <w:style w:type="paragraph" w:styleId="TOC1">
    <w:name w:val="toc 1"/>
    <w:basedOn w:val="TOCBase"/>
    <w:next w:val="Normal"/>
    <w:rsid w:val="00601D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1DD9"/>
    <w:pPr>
      <w:spacing w:before="5040"/>
      <w:jc w:val="center"/>
    </w:pPr>
    <w:rPr>
      <w:sz w:val="48"/>
      <w:szCs w:val="72"/>
      <w:lang w:val="en-US"/>
    </w:rPr>
  </w:style>
  <w:style w:type="character" w:customStyle="1" w:styleId="TitleChar">
    <w:name w:val="Title Char"/>
    <w:basedOn w:val="DefaultParagraphFont"/>
    <w:link w:val="Title"/>
    <w:rsid w:val="00601D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1DD9"/>
    <w:pPr>
      <w:tabs>
        <w:tab w:val="left" w:pos="3600"/>
        <w:tab w:val="left" w:pos="3958"/>
      </w:tabs>
    </w:pPr>
  </w:style>
  <w:style w:type="paragraph" w:customStyle="1" w:styleId="Note">
    <w:name w:val="Note"/>
    <w:basedOn w:val="BodyText"/>
    <w:rsid w:val="00601D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1DD9"/>
    <w:pPr>
      <w:framePr w:wrap="auto" w:hAnchor="text" w:y="6049"/>
    </w:pPr>
    <w:rPr>
      <w:color w:val="000000"/>
      <w:sz w:val="40"/>
    </w:rPr>
  </w:style>
  <w:style w:type="paragraph" w:customStyle="1" w:styleId="TOCTitle">
    <w:name w:val="TOCTitle"/>
    <w:basedOn w:val="Heading1"/>
    <w:rsid w:val="00601DD9"/>
    <w:pPr>
      <w:spacing w:after="240"/>
      <w:jc w:val="center"/>
      <w:outlineLvl w:val="9"/>
    </w:pPr>
    <w:rPr>
      <w:caps/>
    </w:rPr>
  </w:style>
  <w:style w:type="paragraph" w:customStyle="1" w:styleId="Version">
    <w:name w:val="Version"/>
    <w:rsid w:val="00601D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1DD9"/>
    <w:pPr>
      <w:keepNext w:val="0"/>
      <w:tabs>
        <w:tab w:val="right" w:pos="4176"/>
      </w:tabs>
      <w:ind w:left="198" w:hanging="198"/>
    </w:pPr>
    <w:rPr>
      <w:rFonts w:ascii="Garamond" w:hAnsi="Garamond"/>
    </w:rPr>
  </w:style>
  <w:style w:type="paragraph" w:styleId="IndexHeading">
    <w:name w:val="index heading"/>
    <w:basedOn w:val="Normal"/>
    <w:next w:val="Index1"/>
    <w:semiHidden/>
    <w:rsid w:val="00601DD9"/>
    <w:pPr>
      <w:spacing w:before="120" w:after="120"/>
    </w:pPr>
    <w:rPr>
      <w:rFonts w:ascii="Arial" w:hAnsi="Arial"/>
      <w:b/>
      <w:color w:val="918585"/>
      <w:sz w:val="24"/>
    </w:rPr>
  </w:style>
  <w:style w:type="paragraph" w:styleId="Header">
    <w:name w:val="header"/>
    <w:basedOn w:val="Normal"/>
    <w:link w:val="HeaderChar"/>
    <w:rsid w:val="00601D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1DD9"/>
    <w:rPr>
      <w:rFonts w:ascii="Times New Roman" w:eastAsia="Times New Roman" w:hAnsi="Times New Roman" w:cs="Times New Roman"/>
      <w:sz w:val="16"/>
      <w:szCs w:val="20"/>
      <w:lang w:val="en-GB" w:eastAsia="en-US"/>
    </w:rPr>
  </w:style>
  <w:style w:type="paragraph" w:customStyle="1" w:styleId="Chapter">
    <w:name w:val="Chapter"/>
    <w:basedOn w:val="Normal"/>
    <w:rsid w:val="00601DD9"/>
    <w:pPr>
      <w:spacing w:before="240"/>
    </w:pPr>
    <w:rPr>
      <w:rFonts w:ascii="Times New Roman" w:hAnsi="Times New Roman"/>
      <w:smallCaps/>
      <w:spacing w:val="80"/>
      <w:sz w:val="28"/>
    </w:rPr>
  </w:style>
  <w:style w:type="paragraph" w:customStyle="1" w:styleId="InChapter">
    <w:name w:val="InChapter"/>
    <w:basedOn w:val="Heading3"/>
    <w:rsid w:val="00601DD9"/>
    <w:pPr>
      <w:spacing w:after="240"/>
      <w:outlineLvl w:val="9"/>
    </w:pPr>
    <w:rPr>
      <w:noProof/>
    </w:rPr>
  </w:style>
  <w:style w:type="paragraph" w:styleId="Index2">
    <w:name w:val="index 2"/>
    <w:basedOn w:val="Normal"/>
    <w:next w:val="Normal"/>
    <w:semiHidden/>
    <w:rsid w:val="00601DD9"/>
    <w:pPr>
      <w:tabs>
        <w:tab w:val="right" w:pos="4176"/>
      </w:tabs>
      <w:ind w:left="568" w:hanging="284"/>
    </w:pPr>
    <w:rPr>
      <w:rFonts w:ascii="Garamond" w:hAnsi="Garamond"/>
    </w:rPr>
  </w:style>
  <w:style w:type="paragraph" w:customStyle="1" w:styleId="Byline">
    <w:name w:val="Byline"/>
    <w:rsid w:val="00601D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1DD9"/>
    <w:pPr>
      <w:tabs>
        <w:tab w:val="clear" w:pos="3600"/>
        <w:tab w:val="clear" w:pos="3958"/>
      </w:tabs>
      <w:jc w:val="right"/>
    </w:pPr>
  </w:style>
  <w:style w:type="paragraph" w:styleId="Caption">
    <w:name w:val="caption"/>
    <w:basedOn w:val="BodyText"/>
    <w:next w:val="Normal"/>
    <w:qFormat/>
    <w:rsid w:val="00601DD9"/>
    <w:pPr>
      <w:framePr w:w="2268" w:hSpace="181" w:vSpace="181" w:wrap="around" w:vAnchor="text" w:hAnchor="page" w:x="1135" w:y="285" w:anchorLock="1"/>
    </w:pPr>
    <w:rPr>
      <w:i/>
    </w:rPr>
  </w:style>
  <w:style w:type="paragraph" w:customStyle="1" w:styleId="MiniTOCTitle">
    <w:name w:val="MiniTOCTitle"/>
    <w:basedOn w:val="Heading4"/>
    <w:rsid w:val="00601DD9"/>
    <w:pPr>
      <w:spacing w:before="240"/>
      <w:outlineLvl w:val="9"/>
    </w:pPr>
    <w:rPr>
      <w:noProof/>
      <w:sz w:val="24"/>
    </w:rPr>
  </w:style>
  <w:style w:type="paragraph" w:customStyle="1" w:styleId="MiniTOCItem">
    <w:name w:val="MiniTOCItem"/>
    <w:basedOn w:val="ListBullet"/>
    <w:rsid w:val="00601DD9"/>
    <w:pPr>
      <w:numPr>
        <w:numId w:val="0"/>
      </w:numPr>
      <w:tabs>
        <w:tab w:val="right" w:leader="dot" w:pos="6521"/>
      </w:tabs>
      <w:spacing w:before="0" w:after="0"/>
    </w:pPr>
  </w:style>
  <w:style w:type="paragraph" w:customStyle="1" w:styleId="TOFTitle">
    <w:name w:val="TOFTitle"/>
    <w:basedOn w:val="TOCTitle"/>
    <w:rsid w:val="00601DD9"/>
  </w:style>
  <w:style w:type="paragraph" w:styleId="TableofFigures">
    <w:name w:val="table of figures"/>
    <w:basedOn w:val="Normal"/>
    <w:next w:val="Normal"/>
    <w:semiHidden/>
    <w:rsid w:val="00601DD9"/>
    <w:pPr>
      <w:tabs>
        <w:tab w:val="right" w:leader="dot" w:pos="9072"/>
      </w:tabs>
      <w:ind w:left="970" w:hanging="403"/>
    </w:pPr>
    <w:rPr>
      <w:rFonts w:ascii="Times New Roman" w:hAnsi="Times New Roman"/>
      <w:b/>
    </w:rPr>
  </w:style>
  <w:style w:type="paragraph" w:styleId="ListNumber">
    <w:name w:val="List Number"/>
    <w:basedOn w:val="List"/>
    <w:rsid w:val="00601DD9"/>
    <w:pPr>
      <w:numPr>
        <w:numId w:val="11"/>
      </w:numPr>
    </w:pPr>
  </w:style>
  <w:style w:type="character" w:customStyle="1" w:styleId="WingdingSymbols">
    <w:name w:val="Wingding Symbols"/>
    <w:rsid w:val="00601DD9"/>
    <w:rPr>
      <w:rFonts w:ascii="Wingdings" w:hAnsi="Wingdings"/>
    </w:rPr>
  </w:style>
  <w:style w:type="paragraph" w:customStyle="1" w:styleId="TableHeading">
    <w:name w:val="Table Heading"/>
    <w:basedOn w:val="HeadingBase"/>
    <w:rsid w:val="00601DD9"/>
    <w:pPr>
      <w:keepLines/>
      <w:pBdr>
        <w:bottom w:val="single" w:sz="6" w:space="1" w:color="918585"/>
      </w:pBdr>
      <w:spacing w:before="240"/>
    </w:pPr>
  </w:style>
  <w:style w:type="character" w:customStyle="1" w:styleId="HotSpot">
    <w:name w:val="HotSpot"/>
    <w:rsid w:val="00601DD9"/>
    <w:rPr>
      <w:color w:val="0033CC"/>
      <w:u w:val="none"/>
    </w:rPr>
  </w:style>
  <w:style w:type="paragraph" w:customStyle="1" w:styleId="BodyTextRight">
    <w:name w:val="Body Text Right"/>
    <w:basedOn w:val="BodyText"/>
    <w:rsid w:val="00601DD9"/>
    <w:pPr>
      <w:spacing w:before="0" w:after="0"/>
      <w:jc w:val="right"/>
    </w:pPr>
  </w:style>
  <w:style w:type="paragraph" w:styleId="Index3">
    <w:name w:val="index 3"/>
    <w:basedOn w:val="ListNumber2"/>
    <w:next w:val="Normal"/>
    <w:semiHidden/>
    <w:rsid w:val="00601DD9"/>
    <w:pPr>
      <w:numPr>
        <w:numId w:val="0"/>
      </w:numPr>
      <w:tabs>
        <w:tab w:val="right" w:leader="dot" w:pos="4176"/>
      </w:tabs>
    </w:pPr>
  </w:style>
  <w:style w:type="paragraph" w:styleId="ListNumber2">
    <w:name w:val="List Number 2"/>
    <w:basedOn w:val="List2"/>
    <w:rsid w:val="00601DD9"/>
    <w:pPr>
      <w:numPr>
        <w:numId w:val="10"/>
      </w:numPr>
      <w:tabs>
        <w:tab w:val="clear" w:pos="1060"/>
      </w:tabs>
    </w:pPr>
  </w:style>
  <w:style w:type="paragraph" w:customStyle="1" w:styleId="MarginNote">
    <w:name w:val="Margin Note"/>
    <w:basedOn w:val="BodyText"/>
    <w:rsid w:val="00601D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1D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1D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1DD9"/>
    <w:rPr>
      <w:sz w:val="32"/>
    </w:rPr>
  </w:style>
  <w:style w:type="paragraph" w:customStyle="1" w:styleId="HeadingProcedure">
    <w:name w:val="Heading Procedure"/>
    <w:basedOn w:val="HeadingBase"/>
    <w:next w:val="Normal"/>
    <w:rsid w:val="00601DD9"/>
    <w:pPr>
      <w:tabs>
        <w:tab w:val="left" w:pos="0"/>
      </w:tabs>
      <w:spacing w:before="120" w:after="60"/>
    </w:pPr>
    <w:rPr>
      <w:i/>
      <w:color w:val="918585"/>
      <w:sz w:val="22"/>
    </w:rPr>
  </w:style>
  <w:style w:type="paragraph" w:customStyle="1" w:styleId="TableBodyText">
    <w:name w:val="Table Body Text"/>
    <w:basedOn w:val="BodyText"/>
    <w:rsid w:val="00601DD9"/>
    <w:pPr>
      <w:spacing w:before="60" w:after="60"/>
    </w:pPr>
  </w:style>
  <w:style w:type="paragraph" w:styleId="ListContinue">
    <w:name w:val="List Continue"/>
    <w:basedOn w:val="List"/>
    <w:rsid w:val="00601DD9"/>
    <w:pPr>
      <w:ind w:firstLine="0"/>
    </w:pPr>
  </w:style>
  <w:style w:type="paragraph" w:customStyle="1" w:styleId="ListNote">
    <w:name w:val="List Note"/>
    <w:basedOn w:val="List"/>
    <w:rsid w:val="00601DD9"/>
    <w:pPr>
      <w:pBdr>
        <w:top w:val="single" w:sz="6" w:space="2" w:color="918585"/>
        <w:bottom w:val="single" w:sz="6" w:space="2" w:color="918585"/>
      </w:pBdr>
      <w:tabs>
        <w:tab w:val="left" w:pos="1021"/>
      </w:tabs>
      <w:ind w:firstLine="0"/>
    </w:pPr>
  </w:style>
  <w:style w:type="paragraph" w:customStyle="1" w:styleId="Warning">
    <w:name w:val="Warning"/>
    <w:basedOn w:val="BodyText"/>
    <w:rsid w:val="00601DD9"/>
    <w:pPr>
      <w:shd w:val="clear" w:color="auto" w:fill="D9D9D9"/>
      <w:tabs>
        <w:tab w:val="left" w:pos="992"/>
      </w:tabs>
      <w:ind w:left="119" w:right="119"/>
    </w:pPr>
    <w:rPr>
      <w:sz w:val="20"/>
    </w:rPr>
  </w:style>
  <w:style w:type="paragraph" w:customStyle="1" w:styleId="MarginIcons">
    <w:name w:val="Margin Icons"/>
    <w:basedOn w:val="BodyText"/>
    <w:rsid w:val="00601D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1DD9"/>
    <w:rPr>
      <w:rFonts w:ascii="Courier New" w:hAnsi="Courier New"/>
    </w:rPr>
  </w:style>
  <w:style w:type="paragraph" w:customStyle="1" w:styleId="NoteBullet">
    <w:name w:val="Note Bullet"/>
    <w:basedOn w:val="Note"/>
    <w:rsid w:val="00601DD9"/>
    <w:pPr>
      <w:tabs>
        <w:tab w:val="clear" w:pos="680"/>
      </w:tabs>
      <w:spacing w:before="60" w:after="60"/>
    </w:pPr>
  </w:style>
  <w:style w:type="paragraph" w:customStyle="1" w:styleId="SubHeading2">
    <w:name w:val="SubHeading2"/>
    <w:basedOn w:val="HeadingBase"/>
    <w:rsid w:val="00601DD9"/>
    <w:pPr>
      <w:spacing w:before="240" w:after="60"/>
    </w:pPr>
    <w:rPr>
      <w:sz w:val="20"/>
    </w:rPr>
  </w:style>
  <w:style w:type="paragraph" w:customStyle="1" w:styleId="SubHeading1">
    <w:name w:val="SubHeading1"/>
    <w:basedOn w:val="HeadingBase"/>
    <w:rsid w:val="00601DD9"/>
    <w:pPr>
      <w:spacing w:before="240" w:after="60"/>
    </w:pPr>
    <w:rPr>
      <w:color w:val="918585"/>
      <w:sz w:val="22"/>
    </w:rPr>
  </w:style>
  <w:style w:type="paragraph" w:customStyle="1" w:styleId="SideHeading">
    <w:name w:val="Side Heading"/>
    <w:basedOn w:val="HeadingBase"/>
    <w:rsid w:val="00601D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1DD9"/>
    <w:pPr>
      <w:numPr>
        <w:numId w:val="12"/>
      </w:numPr>
    </w:pPr>
  </w:style>
  <w:style w:type="paragraph" w:styleId="PlainText">
    <w:name w:val="Plain Text"/>
    <w:basedOn w:val="Normal"/>
    <w:link w:val="PlainTextChar"/>
    <w:rsid w:val="00601DD9"/>
    <w:rPr>
      <w:sz w:val="20"/>
    </w:rPr>
  </w:style>
  <w:style w:type="character" w:customStyle="1" w:styleId="PlainTextChar">
    <w:name w:val="Plain Text Char"/>
    <w:basedOn w:val="DefaultParagraphFont"/>
    <w:link w:val="PlainText"/>
    <w:rsid w:val="00601DD9"/>
    <w:rPr>
      <w:rFonts w:ascii="Courier New" w:eastAsia="Times New Roman" w:hAnsi="Courier New" w:cs="Times New Roman"/>
      <w:sz w:val="20"/>
      <w:szCs w:val="20"/>
      <w:lang w:eastAsia="en-US"/>
    </w:rPr>
  </w:style>
  <w:style w:type="character" w:customStyle="1" w:styleId="MenuOption">
    <w:name w:val="Menu Option"/>
    <w:basedOn w:val="DefaultParagraphFont"/>
    <w:rsid w:val="00601DD9"/>
    <w:rPr>
      <w:b/>
      <w:smallCaps/>
    </w:rPr>
  </w:style>
  <w:style w:type="paragraph" w:customStyle="1" w:styleId="TableListNumber">
    <w:name w:val="Table List Number"/>
    <w:basedOn w:val="ListNumber"/>
    <w:rsid w:val="00601DD9"/>
    <w:pPr>
      <w:numPr>
        <w:numId w:val="0"/>
      </w:numPr>
    </w:pPr>
  </w:style>
  <w:style w:type="paragraph" w:styleId="TOC4">
    <w:name w:val="toc 4"/>
    <w:basedOn w:val="TOCBase"/>
    <w:next w:val="Normal"/>
    <w:semiHidden/>
    <w:rsid w:val="00601DD9"/>
    <w:pPr>
      <w:tabs>
        <w:tab w:val="right" w:leader="dot" w:pos="9071"/>
      </w:tabs>
      <w:ind w:left="1701"/>
    </w:pPr>
  </w:style>
  <w:style w:type="paragraph" w:customStyle="1" w:styleId="ListAlpha">
    <w:name w:val="List Alpha"/>
    <w:basedOn w:val="List"/>
    <w:rsid w:val="00601DD9"/>
    <w:pPr>
      <w:numPr>
        <w:numId w:val="9"/>
      </w:numPr>
    </w:pPr>
  </w:style>
  <w:style w:type="paragraph" w:customStyle="1" w:styleId="ListAlpha2">
    <w:name w:val="List Alpha 2"/>
    <w:basedOn w:val="List2"/>
    <w:rsid w:val="00601DD9"/>
    <w:pPr>
      <w:numPr>
        <w:numId w:val="8"/>
      </w:numPr>
    </w:pPr>
  </w:style>
  <w:style w:type="paragraph" w:styleId="List2">
    <w:name w:val="List 2"/>
    <w:basedOn w:val="BodyText"/>
    <w:rsid w:val="00601DD9"/>
    <w:pPr>
      <w:tabs>
        <w:tab w:val="left" w:pos="680"/>
      </w:tabs>
      <w:spacing w:before="60" w:after="60"/>
      <w:ind w:left="680" w:hanging="340"/>
    </w:pPr>
  </w:style>
  <w:style w:type="paragraph" w:styleId="List3">
    <w:name w:val="List 3"/>
    <w:basedOn w:val="BodyText"/>
    <w:rsid w:val="00601DD9"/>
    <w:pPr>
      <w:tabs>
        <w:tab w:val="left" w:pos="1021"/>
      </w:tabs>
      <w:spacing w:before="60" w:after="60"/>
      <w:ind w:left="1020" w:hanging="340"/>
    </w:pPr>
  </w:style>
  <w:style w:type="paragraph" w:styleId="List4">
    <w:name w:val="List 4"/>
    <w:basedOn w:val="BodyText"/>
    <w:rsid w:val="00601DD9"/>
    <w:pPr>
      <w:tabs>
        <w:tab w:val="left" w:pos="1361"/>
      </w:tabs>
      <w:spacing w:before="60" w:after="60"/>
      <w:ind w:left="1361" w:hanging="340"/>
    </w:pPr>
  </w:style>
  <w:style w:type="paragraph" w:styleId="List5">
    <w:name w:val="List 5"/>
    <w:basedOn w:val="BodyText"/>
    <w:rsid w:val="00601DD9"/>
    <w:pPr>
      <w:tabs>
        <w:tab w:val="left" w:pos="1701"/>
      </w:tabs>
      <w:spacing w:before="60" w:after="60"/>
      <w:ind w:left="1701" w:hanging="340"/>
    </w:pPr>
  </w:style>
  <w:style w:type="paragraph" w:styleId="ListBullet3">
    <w:name w:val="List Bullet 3"/>
    <w:basedOn w:val="List3"/>
    <w:rsid w:val="00601DD9"/>
    <w:pPr>
      <w:numPr>
        <w:numId w:val="15"/>
      </w:numPr>
      <w:tabs>
        <w:tab w:val="clear" w:pos="1021"/>
      </w:tabs>
      <w:ind w:left="1037" w:hanging="357"/>
    </w:pPr>
  </w:style>
  <w:style w:type="paragraph" w:styleId="ListBullet4">
    <w:name w:val="List Bullet 4"/>
    <w:basedOn w:val="List4"/>
    <w:rsid w:val="00601DD9"/>
    <w:pPr>
      <w:numPr>
        <w:numId w:val="3"/>
      </w:numPr>
    </w:pPr>
  </w:style>
  <w:style w:type="paragraph" w:styleId="ListBullet5">
    <w:name w:val="List Bullet 5"/>
    <w:basedOn w:val="List5"/>
    <w:rsid w:val="00601DD9"/>
    <w:pPr>
      <w:numPr>
        <w:numId w:val="4"/>
      </w:numPr>
    </w:pPr>
  </w:style>
  <w:style w:type="paragraph" w:styleId="ListContinue2">
    <w:name w:val="List Continue 2"/>
    <w:basedOn w:val="List2"/>
    <w:rsid w:val="00601DD9"/>
    <w:pPr>
      <w:ind w:firstLine="0"/>
    </w:pPr>
  </w:style>
  <w:style w:type="paragraph" w:styleId="ListContinue3">
    <w:name w:val="List Continue 3"/>
    <w:basedOn w:val="List3"/>
    <w:rsid w:val="00601DD9"/>
    <w:pPr>
      <w:ind w:left="1021" w:firstLine="0"/>
    </w:pPr>
  </w:style>
  <w:style w:type="paragraph" w:styleId="ListContinue4">
    <w:name w:val="List Continue 4"/>
    <w:basedOn w:val="List4"/>
    <w:rsid w:val="00601DD9"/>
    <w:pPr>
      <w:ind w:firstLine="0"/>
    </w:pPr>
  </w:style>
  <w:style w:type="paragraph" w:styleId="ListContinue5">
    <w:name w:val="List Continue 5"/>
    <w:basedOn w:val="List5"/>
    <w:rsid w:val="00601DD9"/>
    <w:pPr>
      <w:ind w:firstLine="0"/>
    </w:pPr>
  </w:style>
  <w:style w:type="paragraph" w:styleId="ListNumber3">
    <w:name w:val="List Number 3"/>
    <w:basedOn w:val="List3"/>
    <w:rsid w:val="00601DD9"/>
    <w:pPr>
      <w:numPr>
        <w:numId w:val="5"/>
      </w:numPr>
    </w:pPr>
  </w:style>
  <w:style w:type="paragraph" w:styleId="ListNumber4">
    <w:name w:val="List Number 4"/>
    <w:basedOn w:val="List4"/>
    <w:rsid w:val="00601DD9"/>
    <w:pPr>
      <w:numPr>
        <w:numId w:val="6"/>
      </w:numPr>
    </w:pPr>
  </w:style>
  <w:style w:type="paragraph" w:styleId="ListNumber5">
    <w:name w:val="List Number 5"/>
    <w:basedOn w:val="List5"/>
    <w:rsid w:val="00601DD9"/>
    <w:pPr>
      <w:numPr>
        <w:numId w:val="7"/>
      </w:numPr>
    </w:pPr>
  </w:style>
  <w:style w:type="paragraph" w:styleId="BlockText">
    <w:name w:val="Block Text"/>
    <w:basedOn w:val="Normal"/>
    <w:rsid w:val="00601DD9"/>
    <w:pPr>
      <w:spacing w:after="120"/>
      <w:ind w:left="1440" w:right="1440"/>
    </w:pPr>
  </w:style>
  <w:style w:type="character" w:customStyle="1" w:styleId="Subscript">
    <w:name w:val="Subscript"/>
    <w:basedOn w:val="DefaultParagraphFont"/>
    <w:rsid w:val="00601DD9"/>
    <w:rPr>
      <w:sz w:val="16"/>
      <w:vertAlign w:val="subscript"/>
    </w:rPr>
  </w:style>
  <w:style w:type="character" w:customStyle="1" w:styleId="Superscript">
    <w:name w:val="Superscript"/>
    <w:basedOn w:val="DefaultParagraphFont"/>
    <w:rsid w:val="00601DD9"/>
    <w:rPr>
      <w:sz w:val="16"/>
      <w:vertAlign w:val="superscript"/>
    </w:rPr>
  </w:style>
  <w:style w:type="character" w:customStyle="1" w:styleId="Symbols">
    <w:name w:val="Symbols"/>
    <w:basedOn w:val="DefaultParagraphFont"/>
    <w:rsid w:val="00601DD9"/>
    <w:rPr>
      <w:rFonts w:ascii="Symbol" w:hAnsi="Symbol"/>
    </w:rPr>
  </w:style>
  <w:style w:type="character" w:customStyle="1" w:styleId="MenuOptions">
    <w:name w:val="Menu Options"/>
    <w:basedOn w:val="DefaultParagraphFont"/>
    <w:rsid w:val="00601DD9"/>
    <w:rPr>
      <w:rFonts w:ascii="Arial Narrow" w:hAnsi="Arial Narrow"/>
      <w:smallCaps/>
    </w:rPr>
  </w:style>
  <w:style w:type="character" w:customStyle="1" w:styleId="Buttons">
    <w:name w:val="Buttons"/>
    <w:basedOn w:val="DefaultParagraphFont"/>
    <w:rsid w:val="00601DD9"/>
    <w:rPr>
      <w:b/>
    </w:rPr>
  </w:style>
  <w:style w:type="character" w:customStyle="1" w:styleId="Underlined">
    <w:name w:val="Underlined"/>
    <w:basedOn w:val="DefaultParagraphFont"/>
    <w:rsid w:val="00601DD9"/>
    <w:rPr>
      <w:u w:val="single"/>
    </w:rPr>
  </w:style>
  <w:style w:type="paragraph" w:customStyle="1" w:styleId="TableBodyTextRight">
    <w:name w:val="Table Body Text Right"/>
    <w:basedOn w:val="TableBodyText"/>
    <w:rsid w:val="00601DD9"/>
    <w:pPr>
      <w:widowControl w:val="0"/>
      <w:autoSpaceDE w:val="0"/>
      <w:autoSpaceDN w:val="0"/>
      <w:adjustRightInd w:val="0"/>
      <w:jc w:val="right"/>
    </w:pPr>
    <w:rPr>
      <w:rFonts w:cs="Arial"/>
      <w:szCs w:val="18"/>
    </w:rPr>
  </w:style>
  <w:style w:type="paragraph" w:customStyle="1" w:styleId="CopyrightText">
    <w:name w:val="Copyright Text"/>
    <w:basedOn w:val="BodyText"/>
    <w:rsid w:val="00601DD9"/>
    <w:rPr>
      <w:sz w:val="18"/>
    </w:rPr>
  </w:style>
  <w:style w:type="paragraph" w:customStyle="1" w:styleId="BodySmallRight">
    <w:name w:val="Body Small Right"/>
    <w:basedOn w:val="BodyTextRight"/>
    <w:rsid w:val="00601DD9"/>
    <w:rPr>
      <w:sz w:val="18"/>
      <w:szCs w:val="18"/>
    </w:rPr>
  </w:style>
  <w:style w:type="paragraph" w:customStyle="1" w:styleId="MarginEdition">
    <w:name w:val="Margin Edition"/>
    <w:basedOn w:val="MarginNote"/>
    <w:rsid w:val="00601DD9"/>
    <w:pPr>
      <w:spacing w:before="0" w:after="0"/>
    </w:pPr>
    <w:rPr>
      <w:rFonts w:ascii="Times New Roman" w:hAnsi="Times New Roman"/>
      <w:color w:val="999999"/>
    </w:rPr>
  </w:style>
  <w:style w:type="paragraph" w:customStyle="1" w:styleId="Spacer">
    <w:name w:val="Spacer"/>
    <w:basedOn w:val="Normal"/>
    <w:rsid w:val="00601DD9"/>
    <w:rPr>
      <w:sz w:val="2"/>
      <w:szCs w:val="2"/>
    </w:rPr>
  </w:style>
  <w:style w:type="character" w:customStyle="1" w:styleId="Small">
    <w:name w:val="Small"/>
    <w:basedOn w:val="DefaultParagraphFont"/>
    <w:rsid w:val="00601DD9"/>
    <w:rPr>
      <w:sz w:val="16"/>
    </w:rPr>
  </w:style>
  <w:style w:type="paragraph" w:customStyle="1" w:styleId="WideTable">
    <w:name w:val="Wide Table"/>
    <w:basedOn w:val="Normal"/>
    <w:rsid w:val="00601DD9"/>
    <w:pPr>
      <w:ind w:left="-1418"/>
    </w:pPr>
    <w:rPr>
      <w:sz w:val="2"/>
      <w:szCs w:val="2"/>
    </w:rPr>
  </w:style>
  <w:style w:type="character" w:styleId="PageNumber">
    <w:name w:val="page number"/>
    <w:basedOn w:val="DefaultParagraphFont"/>
    <w:rsid w:val="00601DD9"/>
  </w:style>
  <w:style w:type="paragraph" w:styleId="Quote">
    <w:name w:val="Quote"/>
    <w:basedOn w:val="Heading1"/>
    <w:link w:val="QuoteChar"/>
    <w:qFormat/>
    <w:rsid w:val="00601DD9"/>
    <w:rPr>
      <w:b w:val="0"/>
      <w:sz w:val="72"/>
      <w:szCs w:val="72"/>
      <w:lang w:val="en-NZ"/>
    </w:rPr>
  </w:style>
  <w:style w:type="character" w:customStyle="1" w:styleId="QuoteChar">
    <w:name w:val="Quote Char"/>
    <w:basedOn w:val="DefaultParagraphFont"/>
    <w:link w:val="Quote"/>
    <w:rsid w:val="00601D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1DD9"/>
    <w:pPr>
      <w:pageBreakBefore/>
    </w:pPr>
  </w:style>
  <w:style w:type="paragraph" w:customStyle="1" w:styleId="Border">
    <w:name w:val="Border"/>
    <w:basedOn w:val="Normal"/>
    <w:qFormat/>
    <w:rsid w:val="00601D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1DD9"/>
    <w:rPr>
      <w:b/>
      <w:bCs/>
      <w:i/>
      <w:iCs/>
      <w:color w:val="auto"/>
    </w:rPr>
  </w:style>
  <w:style w:type="paragraph" w:styleId="IntenseQuote">
    <w:name w:val="Intense Quote"/>
    <w:basedOn w:val="Normal"/>
    <w:next w:val="Normal"/>
    <w:link w:val="IntenseQuoteChar"/>
    <w:uiPriority w:val="30"/>
    <w:qFormat/>
    <w:rsid w:val="00601D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1D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1DD9"/>
    <w:rPr>
      <w:smallCaps/>
      <w:color w:val="auto"/>
      <w:u w:val="single"/>
    </w:rPr>
  </w:style>
  <w:style w:type="character" w:styleId="IntenseReference">
    <w:name w:val="Intense Reference"/>
    <w:basedOn w:val="DefaultParagraphFont"/>
    <w:uiPriority w:val="32"/>
    <w:qFormat/>
    <w:rsid w:val="00601DD9"/>
    <w:rPr>
      <w:b/>
      <w:bCs/>
      <w:smallCaps/>
      <w:color w:val="auto"/>
      <w:spacing w:val="5"/>
      <w:u w:val="single"/>
    </w:rPr>
  </w:style>
  <w:style w:type="paragraph" w:customStyle="1" w:styleId="2ColumnHeading">
    <w:name w:val="2Column Heading"/>
    <w:basedOn w:val="BodyText"/>
    <w:qFormat/>
    <w:rsid w:val="00601DD9"/>
    <w:pPr>
      <w:spacing w:after="60"/>
      <w:ind w:left="-2268"/>
    </w:pPr>
    <w:rPr>
      <w:b/>
    </w:rPr>
  </w:style>
  <w:style w:type="paragraph" w:customStyle="1" w:styleId="Heading1TOC">
    <w:name w:val="Heading1 TOC"/>
    <w:basedOn w:val="Normal"/>
    <w:qFormat/>
    <w:rsid w:val="00601DD9"/>
    <w:pPr>
      <w:spacing w:before="240" w:after="120"/>
    </w:pPr>
    <w:rPr>
      <w:rFonts w:ascii="Times New Roman" w:hAnsi="Times New Roman"/>
      <w:b/>
      <w:sz w:val="32"/>
    </w:rPr>
  </w:style>
  <w:style w:type="paragraph" w:customStyle="1" w:styleId="Heading2TOC">
    <w:name w:val="Heading2 TOC"/>
    <w:basedOn w:val="Normal"/>
    <w:qFormat/>
    <w:rsid w:val="00601DD9"/>
    <w:pPr>
      <w:spacing w:before="240" w:after="60"/>
    </w:pPr>
    <w:rPr>
      <w:rFonts w:ascii="Times New Roman" w:hAnsi="Times New Roman"/>
      <w:b/>
      <w:sz w:val="28"/>
    </w:rPr>
  </w:style>
  <w:style w:type="paragraph" w:styleId="BalloonText">
    <w:name w:val="Balloon Text"/>
    <w:basedOn w:val="Normal"/>
    <w:link w:val="BalloonTextChar"/>
    <w:rsid w:val="00601DD9"/>
    <w:rPr>
      <w:rFonts w:ascii="Tahoma" w:hAnsi="Tahoma" w:cs="Tahoma"/>
      <w:sz w:val="16"/>
      <w:szCs w:val="16"/>
    </w:rPr>
  </w:style>
  <w:style w:type="character" w:customStyle="1" w:styleId="BalloonTextChar">
    <w:name w:val="Balloon Text Char"/>
    <w:basedOn w:val="DefaultParagraphFont"/>
    <w:link w:val="BalloonText"/>
    <w:rsid w:val="00601D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1D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1D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1DD9"/>
    <w:rPr>
      <w:b/>
      <w:color w:val="660033"/>
      <w:spacing w:val="0"/>
    </w:rPr>
  </w:style>
  <w:style w:type="paragraph" w:customStyle="1" w:styleId="Nameditemlist">
    <w:name w:val="Named item list"/>
    <w:basedOn w:val="BodyText"/>
    <w:qFormat/>
    <w:rsid w:val="00601DD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1275</Words>
  <Characters>7985</Characters>
  <Application>Microsoft Office Word</Application>
  <DocSecurity>0</DocSecurity>
  <Lines>271</Lines>
  <Paragraphs>180</Paragraphs>
  <ScaleCrop>false</ScaleCrop>
  <Company>Author-it Software Corporation Ltd.</Company>
  <LinksUpToDate>false</LinksUpToDate>
  <CharactersWithSpaces>9196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PSPGOV203B Deliver a service to clients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2012-11-01T03:20:00Z</dcterms:created>
  <dcterms:modified xsi:type="dcterms:W3CDTF">2012-11-01T03:20:00Z</dcterms:modified>
</cp:coreProperties>
</file>