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81B" w:rsidP="00BC181B">
      <w:pPr>
        <w:pStyle w:val="Title"/>
      </w:pPr>
      <w:bookmarkStart w:id="0" w:name="_GoBack"/>
      <w:bookmarkEnd w:id="0"/>
      <w:r>
        <w:fldChar w:fldCharType="begin"/>
      </w:r>
      <w:r>
        <w:instrText xml:space="preserve"> TITLE   \* MERGEFORMAT </w:instrText>
      </w:r>
      <w:r>
        <w:fldChar w:fldCharType="separate"/>
      </w:r>
      <w:r>
        <w:t>PSPFRAU605B Review fraud control activities</w:t>
      </w:r>
      <w:r>
        <w:fldChar w:fldCharType="end"/>
      </w:r>
    </w:p>
    <w:p w:rsidR="00BC181B" w:rsidP="00BC181B">
      <w:pPr>
        <w:pStyle w:val="Version"/>
        <w:sectPr w:rsidSect="006C3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C39D5" w:rsidP="006C39D5">
      <w:pPr>
        <w:pStyle w:val="SuperHeading"/>
      </w:pPr>
      <w:r w:rsidRPr="006C39D5">
        <w:t>PSPFRAU605B Review fraud control activities</w:t>
      </w:r>
    </w:p>
    <w:p w:rsidR="00000000" w:rsidRPr="006C39D5" w:rsidP="006C39D5">
      <w:pPr>
        <w:pStyle w:val="SuperHeading"/>
      </w:pPr>
    </w:p>
    <w:p w:rsidR="00000000" w:rsidRPr="006C39D5" w:rsidP="006C39D5">
      <w:pPr>
        <w:pStyle w:val="Heading1"/>
      </w:pPr>
      <w:bookmarkStart w:id="1" w:name="O_495203"/>
      <w:bookmarkEnd w:id="1"/>
      <w:r w:rsidRPr="006C39D5">
        <w:t>Modification History</w:t>
      </w:r>
    </w:p>
    <w:tbl>
      <w:tblPr>
        <w:tblW w:w="0" w:type="auto"/>
        <w:tblLayout w:type="fixed"/>
        <w:tblCellMar>
          <w:left w:w="62" w:type="dxa"/>
          <w:right w:w="62" w:type="dxa"/>
        </w:tblCellMar>
        <w:tblLook w:val="0000"/>
      </w:tblPr>
      <w:tblGrid>
        <w:gridCol w:w="3052"/>
        <w:gridCol w:w="3052"/>
        <w:gridCol w:w="3052"/>
      </w:tblGrid>
      <w:tr w:rsidTr="00BC181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BodyText"/>
            </w:pPr>
            <w:r w:rsidRPr="006C39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BodyText"/>
            </w:pPr>
            <w:r w:rsidRPr="006C39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rPr>
                <w:rStyle w:val="SpecialBold"/>
              </w:rPr>
              <w:t>Comments</w:t>
            </w:r>
          </w:p>
        </w:tc>
      </w:tr>
      <w:tr w:rsidTr="00BC181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 xml:space="preserve">Unit descriptor edited. </w:t>
            </w:r>
          </w:p>
        </w:tc>
      </w:tr>
      <w:tr w:rsidTr="00BC181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Layout adjusted. No changes to content.</w:t>
            </w:r>
          </w:p>
        </w:tc>
      </w:tr>
      <w:tr w:rsidTr="00BC181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BodyText"/>
            </w:pPr>
            <w:r w:rsidRPr="006C39D5">
              <w:t>Primary release.</w:t>
            </w:r>
          </w:p>
        </w:tc>
      </w:tr>
    </w:tbl>
    <w:p w:rsidR="00BC181B" w:rsidP="006C39D5">
      <w:pPr>
        <w:pStyle w:val="BodyText"/>
      </w:pPr>
    </w:p>
    <w:p w:rsidR="00BC181B" w:rsidP="006C39D5">
      <w:pPr>
        <w:pStyle w:val="BodyText"/>
      </w:pPr>
    </w:p>
    <w:p w:rsidR="00000000" w:rsidRPr="006C39D5" w:rsidP="006C39D5">
      <w:pPr>
        <w:pStyle w:val="Heading1"/>
      </w:pPr>
      <w:bookmarkStart w:id="2" w:name="O_495195"/>
      <w:bookmarkEnd w:id="2"/>
      <w:r w:rsidRPr="006C39D5">
        <w:t>Unit Descriptor</w:t>
      </w:r>
    </w:p>
    <w:p w:rsidR="00000000" w:rsidRPr="006C39D5" w:rsidP="006C39D5">
      <w:pPr>
        <w:pStyle w:val="BodyText"/>
      </w:pPr>
      <w:r w:rsidRPr="006C39D5">
        <w:t>This unit covers review of the breadth of act</w:t>
      </w:r>
      <w:r w:rsidRPr="006C39D5">
        <w:t xml:space="preserve">ivities in fraud/corruption control in an organisation. The review cycle is determined according to organisational needs and any external reporting requirements, though this cycle could be interrupted in particular circumstances such as changes in service </w:t>
      </w:r>
      <w:r w:rsidRPr="006C39D5">
        <w:t>delivery or significant increases in fraudulent activities. The unit includes preparing for review of fraud/corruption control activities, assessing the ability of fraud/corruption control activities to minimise fraud and corruption, and providing advice a</w:t>
      </w:r>
      <w:r w:rsidRPr="006C39D5">
        <w:t>nd recommendations for action to improve effectiveness of fraud/corruption controls.</w:t>
      </w:r>
    </w:p>
    <w:p w:rsidR="00000000" w:rsidRPr="006C39D5" w:rsidP="006C39D5">
      <w:pPr>
        <w:pStyle w:val="BodyText"/>
      </w:pPr>
      <w:r w:rsidRPr="006C39D5">
        <w:rPr>
          <w:rStyle w:val="Emphasis"/>
        </w:rPr>
        <w:t>Fraud</w:t>
      </w:r>
      <w:r w:rsidRPr="006C39D5">
        <w:t xml:space="preserve"> in the unit title incorporates both </w:t>
      </w:r>
      <w:r w:rsidRPr="006C39D5">
        <w:rPr>
          <w:rStyle w:val="Emphasis"/>
        </w:rPr>
        <w:t>fraud and corruption</w:t>
      </w:r>
      <w:r w:rsidRPr="006C39D5">
        <w:t xml:space="preserve">. </w:t>
      </w:r>
    </w:p>
    <w:p w:rsidR="00000000" w:rsidRPr="006C39D5" w:rsidP="006C39D5">
      <w:pPr>
        <w:pStyle w:val="BodyText"/>
      </w:pPr>
      <w:r w:rsidRPr="006C39D5">
        <w:t>In practice, reviewing fraud control activities may overlap with other generalist or specialist public sec</w:t>
      </w:r>
      <w:r w:rsidRPr="006C39D5">
        <w:t>tor workplace activities such as managing evaluation, managing risk, networking, implementing policy, managing client service, etc.</w:t>
      </w:r>
    </w:p>
    <w:p w:rsidR="00000000" w:rsidRPr="006C39D5" w:rsidP="006C39D5">
      <w:pPr>
        <w:pStyle w:val="BodyText"/>
      </w:pPr>
      <w:r w:rsidRPr="006C39D5">
        <w:t>This unit replaces and is equivalent to PSPFRAU605A Review fraud control activities.</w:t>
      </w:r>
    </w:p>
    <w:p w:rsidR="00000000" w:rsidRPr="006C39D5" w:rsidP="006C39D5">
      <w:pPr>
        <w:pStyle w:val="BodyText"/>
      </w:pPr>
      <w:r w:rsidRPr="006C39D5">
        <w:t>No licensing, legislative, regulatory o</w:t>
      </w:r>
      <w:r w:rsidRPr="006C39D5">
        <w:t>r certification requirements apply to this unit at the time of publication</w:t>
      </w:r>
    </w:p>
    <w:p w:rsidR="00000000" w:rsidRPr="006C39D5" w:rsidP="006C39D5">
      <w:pPr>
        <w:pStyle w:val="AllowPageBreak"/>
      </w:pPr>
    </w:p>
    <w:p w:rsidR="00000000" w:rsidRPr="006C39D5" w:rsidP="006C39D5">
      <w:pPr>
        <w:pStyle w:val="Heading1"/>
      </w:pPr>
      <w:bookmarkStart w:id="3" w:name="O_495208"/>
      <w:bookmarkEnd w:id="3"/>
      <w:r w:rsidRPr="006C39D5">
        <w:t>Application of the Unit</w:t>
      </w:r>
    </w:p>
    <w:p w:rsidR="00000000" w:rsidRPr="006C39D5" w:rsidP="006C39D5">
      <w:pPr>
        <w:pStyle w:val="BodyText"/>
      </w:pPr>
      <w:r w:rsidRPr="006C39D5">
        <w:t>Not applicable.</w:t>
      </w:r>
    </w:p>
    <w:p w:rsidR="00000000" w:rsidRPr="006C39D5" w:rsidP="006C39D5">
      <w:pPr>
        <w:pStyle w:val="AllowPageBreak"/>
      </w:pPr>
    </w:p>
    <w:p w:rsidR="00000000" w:rsidRPr="006C39D5" w:rsidP="006C39D5">
      <w:pPr>
        <w:pStyle w:val="Heading1"/>
      </w:pPr>
      <w:bookmarkStart w:id="4" w:name="O_495200"/>
      <w:bookmarkEnd w:id="4"/>
      <w:r w:rsidRPr="006C39D5">
        <w:t>Licensing/Regulatory Information</w:t>
      </w:r>
    </w:p>
    <w:p w:rsidR="00000000" w:rsidRPr="006C39D5" w:rsidP="006C39D5">
      <w:pPr>
        <w:pStyle w:val="BodyText"/>
      </w:pPr>
      <w:r w:rsidRPr="006C39D5">
        <w:t>Not applicable.</w:t>
      </w:r>
    </w:p>
    <w:p w:rsidR="00000000" w:rsidRPr="006C39D5" w:rsidP="006C39D5">
      <w:pPr>
        <w:pStyle w:val="AllowPageBreak"/>
      </w:pPr>
    </w:p>
    <w:p w:rsidR="00000000" w:rsidRPr="006C39D5" w:rsidP="006C39D5">
      <w:pPr>
        <w:pStyle w:val="Heading1"/>
      </w:pPr>
      <w:bookmarkStart w:id="5" w:name="O_495202"/>
      <w:bookmarkEnd w:id="5"/>
      <w:r w:rsidRPr="006C39D5">
        <w:t>Pre-Requisites</w:t>
      </w:r>
    </w:p>
    <w:p w:rsidR="00000000" w:rsidRPr="006C39D5" w:rsidP="006C39D5">
      <w:pPr>
        <w:pStyle w:val="BodyText"/>
      </w:pPr>
      <w:r w:rsidRPr="006C39D5">
        <w:t>Not applicable.</w:t>
      </w:r>
    </w:p>
    <w:p w:rsidR="00000000" w:rsidRPr="006C39D5" w:rsidP="006C39D5">
      <w:pPr>
        <w:pStyle w:val="AllowPageBreak"/>
      </w:pPr>
    </w:p>
    <w:p w:rsidR="00000000" w:rsidRPr="006C39D5" w:rsidP="006C39D5">
      <w:pPr>
        <w:pStyle w:val="Heading1"/>
      </w:pPr>
      <w:bookmarkStart w:id="6" w:name="O_495204"/>
      <w:bookmarkEnd w:id="6"/>
      <w:r w:rsidRPr="006C39D5">
        <w:t>Employability Skills Information</w:t>
      </w:r>
    </w:p>
    <w:p w:rsidR="00000000" w:rsidRPr="006C39D5" w:rsidP="006C39D5">
      <w:pPr>
        <w:pStyle w:val="BodyText"/>
      </w:pPr>
      <w:r w:rsidRPr="006C39D5">
        <w:t>This unit contains employability skills.</w:t>
      </w:r>
    </w:p>
    <w:p w:rsidR="00000000" w:rsidRPr="006C39D5" w:rsidP="006C39D5">
      <w:pPr>
        <w:pStyle w:val="AllowPageBreak"/>
      </w:pPr>
    </w:p>
    <w:p w:rsidR="00000000" w:rsidRPr="006C39D5" w:rsidP="006C39D5">
      <w:pPr>
        <w:pStyle w:val="Heading1"/>
      </w:pPr>
      <w:bookmarkStart w:id="7" w:name="O_495205"/>
      <w:bookmarkEnd w:id="7"/>
      <w:r w:rsidRPr="006C39D5">
        <w:t>Elements and Performance Criteria Pre-Content</w:t>
      </w:r>
    </w:p>
    <w:tbl>
      <w:tblPr>
        <w:tblW w:w="9322" w:type="dxa"/>
        <w:tblLayout w:type="fixed"/>
        <w:tblCellMar>
          <w:left w:w="62" w:type="dxa"/>
          <w:right w:w="62" w:type="dxa"/>
        </w:tblCellMar>
        <w:tblLook w:val="0000"/>
      </w:tblPr>
      <w:tblGrid>
        <w:gridCol w:w="2660"/>
        <w:gridCol w:w="6662"/>
      </w:tblGrid>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t>Together, performance criteria specify the requi</w:t>
            </w:r>
            <w:r w:rsidRPr="006C39D5">
              <w:t xml:space="preserve">rements for competent performance. Text in </w:t>
            </w:r>
            <w:r w:rsidRPr="006C39D5">
              <w:rPr>
                <w:rStyle w:val="BoldandItalics"/>
              </w:rPr>
              <w:t>bold italics</w:t>
            </w:r>
            <w:r w:rsidRPr="006C39D5">
              <w:t xml:space="preserve">  is explained in the Range Statement following.</w:t>
            </w:r>
          </w:p>
        </w:tc>
      </w:tr>
    </w:tbl>
    <w:p w:rsidR="00000000" w:rsidRPr="006C39D5" w:rsidP="006C39D5">
      <w:pPr>
        <w:pStyle w:val="BodyText"/>
      </w:pPr>
    </w:p>
    <w:p w:rsidR="00000000" w:rsidRPr="006C39D5" w:rsidP="006C39D5">
      <w:pPr>
        <w:pStyle w:val="AllowPageBreak"/>
      </w:pPr>
    </w:p>
    <w:p w:rsidR="00000000" w:rsidRPr="006C39D5" w:rsidP="006C39D5">
      <w:pPr>
        <w:pStyle w:val="Heading1"/>
      </w:pPr>
      <w:bookmarkStart w:id="8" w:name="O_495206"/>
      <w:bookmarkEnd w:id="8"/>
      <w:r w:rsidRPr="006C39D5">
        <w:t>Elements and Performance Criteria</w:t>
      </w:r>
    </w:p>
    <w:tbl>
      <w:tblPr>
        <w:tblW w:w="9322" w:type="dxa"/>
        <w:tblLayout w:type="fixed"/>
        <w:tblCellMar>
          <w:left w:w="62" w:type="dxa"/>
          <w:right w:w="62" w:type="dxa"/>
        </w:tblCellMar>
        <w:tblLook w:val="0000"/>
      </w:tblPr>
      <w:tblGrid>
        <w:gridCol w:w="2660"/>
        <w:gridCol w:w="6662"/>
      </w:tblGrid>
      <w:tr w:rsidTr="00BC181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rPr>
                <w:rStyle w:val="SpecialBold"/>
              </w:rPr>
              <w:t>PERFORMANCE CRITERIA</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List"/>
              <w:rPr>
                <w:lang w:val="en-NZ"/>
              </w:rPr>
            </w:pPr>
            <w:r w:rsidRPr="006C39D5">
              <w:rPr>
                <w:rStyle w:val="SpecialBold"/>
              </w:rPr>
              <w:t>1</w:t>
            </w:r>
            <w:r w:rsidRPr="006C39D5">
              <w:t xml:space="preserve">.  </w:t>
            </w:r>
            <w:r w:rsidRPr="006C39D5">
              <w:tab/>
            </w:r>
            <w:r w:rsidRPr="006C39D5">
              <w:rPr>
                <w:rStyle w:val="SpecialBold"/>
              </w:rPr>
              <w:t>Prepare for review of fraud</w:t>
            </w:r>
            <w:r w:rsidRPr="006C39D5">
              <w:t>/</w:t>
            </w:r>
            <w:r w:rsidRPr="006C39D5">
              <w:rPr>
                <w:rStyle w:val="SpecialBold"/>
              </w:rPr>
              <w:t>corruption control activities</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List"/>
            </w:pPr>
            <w:r w:rsidRPr="006C39D5">
              <w:t>1.1</w:t>
            </w:r>
            <w:r w:rsidRPr="006C39D5">
              <w:tab/>
            </w:r>
            <w:r w:rsidRPr="006C39D5">
              <w:t>Current fraud/corruption prevention activities are identified, taking into account the objectives of the organisation's fraud/corruption control strategy, plan and procedures.</w:t>
            </w:r>
          </w:p>
          <w:p w:rsidR="00000000" w:rsidRPr="006C39D5" w:rsidP="006C39D5">
            <w:pPr>
              <w:pStyle w:val="List"/>
            </w:pPr>
            <w:r w:rsidRPr="006C39D5">
              <w:t>1.2</w:t>
            </w:r>
            <w:r w:rsidRPr="006C39D5">
              <w:tab/>
              <w:t xml:space="preserve">Timetable for evaluation and </w:t>
            </w:r>
            <w:r w:rsidRPr="006C39D5">
              <w:rPr>
                <w:rStyle w:val="BoldandItalics"/>
              </w:rPr>
              <w:t xml:space="preserve">review </w:t>
            </w:r>
            <w:r w:rsidRPr="006C39D5">
              <w:t>is established in accordance with organi</w:t>
            </w:r>
            <w:r w:rsidRPr="006C39D5">
              <w:t>sational policy and procedures.</w:t>
            </w:r>
          </w:p>
          <w:p w:rsidR="00000000" w:rsidRPr="006C39D5" w:rsidP="006C39D5">
            <w:pPr>
              <w:pStyle w:val="List"/>
            </w:pPr>
            <w:r w:rsidRPr="006C39D5">
              <w:t>1.3</w:t>
            </w:r>
            <w:r w:rsidRPr="006C39D5">
              <w:tab/>
              <w:t>Information is gathered from relevant areas across the organisation.</w:t>
            </w:r>
          </w:p>
          <w:p w:rsidR="00000000" w:rsidP="006C39D5">
            <w:pPr>
              <w:pStyle w:val="List"/>
              <w:rPr>
                <w:lang w:val="en-NZ"/>
              </w:rPr>
            </w:pPr>
            <w:r w:rsidRPr="006C39D5">
              <w:t>1.4</w:t>
            </w:r>
            <w:r w:rsidRPr="006C39D5">
              <w:tab/>
              <w:t>Perspectives of staff and management, clients and reporting organisations are included in the assessment.</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List"/>
              <w:rPr>
                <w:lang w:val="en-NZ"/>
              </w:rPr>
            </w:pPr>
            <w:r w:rsidRPr="006C39D5">
              <w:rPr>
                <w:rStyle w:val="SpecialBold"/>
              </w:rPr>
              <w:t>2</w:t>
            </w:r>
            <w:r w:rsidRPr="006C39D5">
              <w:t xml:space="preserve">.  </w:t>
            </w:r>
            <w:r w:rsidRPr="006C39D5">
              <w:tab/>
            </w:r>
            <w:r w:rsidRPr="006C39D5">
              <w:rPr>
                <w:rStyle w:val="SpecialBold"/>
              </w:rPr>
              <w:t>Assess the ability of control activ</w:t>
            </w:r>
            <w:r w:rsidRPr="006C39D5">
              <w:rPr>
                <w:rStyle w:val="SpecialBold"/>
              </w:rPr>
              <w:t>ities to minimise fraud and corruption</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List"/>
            </w:pPr>
            <w:r w:rsidRPr="006C39D5">
              <w:t>2.1</w:t>
            </w:r>
            <w:r w:rsidRPr="006C39D5">
              <w:tab/>
              <w:t>Implementation of the organisation's fraud/corruption control plan and activities is assessed in terms of progress in areas relevant to the organisation.</w:t>
            </w:r>
          </w:p>
          <w:p w:rsidR="00000000" w:rsidRPr="006C39D5" w:rsidP="006C39D5">
            <w:pPr>
              <w:pStyle w:val="List"/>
            </w:pPr>
            <w:r w:rsidRPr="006C39D5">
              <w:t>2.2</w:t>
            </w:r>
            <w:r w:rsidRPr="006C39D5">
              <w:tab/>
            </w:r>
            <w:r w:rsidRPr="006C39D5">
              <w:t>Assessment is conducted taking into account core business and broader management activities of the organisation.</w:t>
            </w:r>
          </w:p>
          <w:p w:rsidR="00000000" w:rsidRPr="006C39D5" w:rsidP="006C39D5">
            <w:pPr>
              <w:pStyle w:val="List"/>
            </w:pPr>
            <w:r w:rsidRPr="006C39D5">
              <w:t>2.3</w:t>
            </w:r>
            <w:r w:rsidRPr="006C39D5">
              <w:tab/>
              <w:t>Assessment is based upon knowledge of best practice initiatives in fraud/corruption prevention.</w:t>
            </w:r>
          </w:p>
          <w:p w:rsidR="00000000" w:rsidRPr="006C39D5" w:rsidP="006C39D5">
            <w:pPr>
              <w:pStyle w:val="List"/>
            </w:pPr>
            <w:r w:rsidRPr="006C39D5">
              <w:t>2.4</w:t>
            </w:r>
            <w:r w:rsidRPr="006C39D5">
              <w:tab/>
              <w:t>Effectiveness of performance indicators</w:t>
            </w:r>
            <w:r w:rsidRPr="006C39D5">
              <w:t xml:space="preserve"> in collecting fraud/corruption control information is assessed.</w:t>
            </w:r>
          </w:p>
          <w:p w:rsidR="00000000" w:rsidRPr="006C39D5" w:rsidP="006C39D5">
            <w:pPr>
              <w:pStyle w:val="List"/>
            </w:pPr>
            <w:r w:rsidRPr="006C39D5">
              <w:t>2.5</w:t>
            </w:r>
            <w:r w:rsidRPr="006C39D5">
              <w:tab/>
              <w:t>Mechanisms to assist staff minimise fraud/corruption are assessed for effectiveness.</w:t>
            </w:r>
          </w:p>
          <w:p w:rsidR="00000000" w:rsidP="006C39D5">
            <w:pPr>
              <w:pStyle w:val="List"/>
              <w:rPr>
                <w:lang w:val="en-NZ"/>
              </w:rPr>
            </w:pPr>
            <w:r w:rsidRPr="006C39D5">
              <w:t>2.6</w:t>
            </w:r>
            <w:r w:rsidRPr="006C39D5">
              <w:tab/>
              <w:t>Fraud/corruption control awareness-raising activities are assessed for effectiveness against their</w:t>
            </w:r>
            <w:r w:rsidRPr="006C39D5">
              <w:t xml:space="preserve"> objectives.</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List"/>
              <w:rPr>
                <w:lang w:val="en-NZ"/>
              </w:rPr>
            </w:pPr>
            <w:r w:rsidRPr="006C39D5">
              <w:rPr>
                <w:rStyle w:val="SpecialBold"/>
              </w:rPr>
              <w:t>3</w:t>
            </w:r>
            <w:r w:rsidRPr="006C39D5">
              <w:t xml:space="preserve">.  </w:t>
            </w:r>
            <w:r w:rsidRPr="006C39D5">
              <w:tab/>
            </w:r>
            <w:r w:rsidRPr="006C39D5">
              <w:rPr>
                <w:rStyle w:val="SpecialBold"/>
              </w:rPr>
              <w:t>Provide advice and recommend action to improve effectiveness of fraud</w:t>
            </w:r>
            <w:r w:rsidRPr="006C39D5">
              <w:t>/</w:t>
            </w:r>
            <w:r w:rsidRPr="006C39D5">
              <w:rPr>
                <w:rStyle w:val="SpecialBold"/>
              </w:rPr>
              <w:t>corruption controls</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List"/>
            </w:pPr>
            <w:r w:rsidRPr="006C39D5">
              <w:t>3.1</w:t>
            </w:r>
            <w:r w:rsidRPr="006C39D5">
              <w:tab/>
              <w:t>Advice is provided based on significant knowledge of the organisation's culture, structures, programs and services, and constraints under which</w:t>
            </w:r>
            <w:r w:rsidRPr="006C39D5">
              <w:t xml:space="preserve"> the organisation is operating.</w:t>
            </w:r>
          </w:p>
          <w:p w:rsidR="00000000" w:rsidRPr="006C39D5" w:rsidP="006C39D5">
            <w:pPr>
              <w:pStyle w:val="List"/>
            </w:pPr>
            <w:r w:rsidRPr="006C39D5">
              <w:t>3.2</w:t>
            </w:r>
            <w:r w:rsidRPr="006C39D5">
              <w:tab/>
              <w:t xml:space="preserve">Options for action are recommended, based on consultation with </w:t>
            </w:r>
            <w:r w:rsidRPr="006C39D5">
              <w:rPr>
                <w:rStyle w:val="BoldandItalics"/>
              </w:rPr>
              <w:t>stakeholders</w:t>
            </w:r>
            <w:r w:rsidRPr="006C39D5">
              <w:t>, and balance strict compliance with operational and political pressures.</w:t>
            </w:r>
          </w:p>
          <w:p w:rsidR="00000000" w:rsidRPr="006C39D5" w:rsidP="006C39D5">
            <w:pPr>
              <w:pStyle w:val="List"/>
            </w:pPr>
            <w:r w:rsidRPr="006C39D5">
              <w:t>3.3</w:t>
            </w:r>
            <w:r w:rsidRPr="006C39D5">
              <w:tab/>
              <w:t>As a result of consultation with stakeholders, fraud/corruption con</w:t>
            </w:r>
            <w:r w:rsidRPr="006C39D5">
              <w:t>trol objectives that are found to be unrealistic are revised, and advice is provided regarding amendment to the fraud/corruption control strategy and procedures in accordance with organisational policy and procedures.</w:t>
            </w:r>
          </w:p>
          <w:p w:rsidR="00000000" w:rsidRPr="006C39D5" w:rsidP="006C39D5">
            <w:pPr>
              <w:pStyle w:val="List"/>
            </w:pPr>
            <w:r w:rsidRPr="006C39D5">
              <w:t>3.4</w:t>
            </w:r>
            <w:r w:rsidRPr="006C39D5">
              <w:tab/>
              <w:t xml:space="preserve">Reports tailored to various </w:t>
            </w:r>
            <w:r w:rsidRPr="006C39D5">
              <w:rPr>
                <w:rStyle w:val="BoldandItalics"/>
              </w:rPr>
              <w:t>audien</w:t>
            </w:r>
            <w:r w:rsidRPr="006C39D5">
              <w:rPr>
                <w:rStyle w:val="BoldandItalics"/>
              </w:rPr>
              <w:t xml:space="preserve">ces </w:t>
            </w:r>
            <w:r w:rsidRPr="006C39D5">
              <w:t>are prepared regarding the effectiveness of fraud/corruption control activities in the organisation.</w:t>
            </w:r>
          </w:p>
        </w:tc>
      </w:tr>
    </w:tbl>
    <w:p w:rsidR="00000000" w:rsidRPr="006C39D5" w:rsidP="006C39D5">
      <w:pPr>
        <w:pStyle w:val="BodyText"/>
      </w:pPr>
    </w:p>
    <w:p w:rsidR="00000000" w:rsidRPr="006C39D5" w:rsidP="006C39D5">
      <w:pPr>
        <w:pStyle w:val="AllowPageBreak"/>
      </w:pPr>
    </w:p>
    <w:p w:rsidR="00000000" w:rsidRPr="006C39D5" w:rsidP="006C39D5">
      <w:pPr>
        <w:pStyle w:val="Heading1"/>
      </w:pPr>
      <w:bookmarkStart w:id="9" w:name="O_495198"/>
      <w:bookmarkEnd w:id="9"/>
      <w:r w:rsidRPr="006C39D5">
        <w:t>Required Skills and Knowledge</w:t>
      </w:r>
    </w:p>
    <w:tbl>
      <w:tblPr>
        <w:tblW w:w="0" w:type="auto"/>
        <w:tblLayout w:type="fixed"/>
        <w:tblCellMar>
          <w:left w:w="62" w:type="dxa"/>
          <w:right w:w="62" w:type="dxa"/>
        </w:tblCellMar>
        <w:tblLook w:val="0000"/>
      </w:tblPr>
      <w:tblGrid>
        <w:gridCol w:w="8514"/>
      </w:tblGrid>
      <w:tr w:rsidTr="00BC181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t>This section describes the essential skills and knowledge and their level, required for this unit.</w:t>
            </w:r>
          </w:p>
        </w:tc>
      </w:tr>
      <w:tr w:rsidTr="00BC181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rPr>
                <w:rStyle w:val="SpecialBold"/>
              </w:rPr>
              <w:t>Knowledge requirements</w:t>
            </w:r>
          </w:p>
          <w:p w:rsidR="00000000" w:rsidRPr="006C39D5" w:rsidP="006C39D5">
            <w:pPr>
              <w:pStyle w:val="BodyText"/>
            </w:pPr>
            <w:r w:rsidRPr="006C39D5">
              <w:t>Look for evidence that confirms knowledge and understanding of:</w:t>
            </w:r>
          </w:p>
          <w:p w:rsidR="00000000" w:rsidRPr="006C39D5" w:rsidP="006C39D5">
            <w:pPr>
              <w:pStyle w:val="ListBullet"/>
            </w:pPr>
            <w:r w:rsidRPr="006C39D5">
              <w:t>agency structures, programs and services</w:t>
            </w:r>
          </w:p>
          <w:p w:rsidR="00000000" w:rsidRPr="006C39D5" w:rsidP="006C39D5">
            <w:pPr>
              <w:pStyle w:val="ListBullet"/>
            </w:pPr>
            <w:r w:rsidRPr="006C39D5">
              <w:t>agency fraud/corruption control strategy</w:t>
            </w:r>
          </w:p>
          <w:p w:rsidR="00000000" w:rsidRPr="006C39D5" w:rsidP="006C39D5">
            <w:pPr>
              <w:pStyle w:val="ListBullet"/>
            </w:pPr>
            <w:r w:rsidRPr="006C39D5">
              <w:t>legislative framework under which the organisation operates</w:t>
            </w:r>
          </w:p>
          <w:p w:rsidR="00000000" w:rsidRPr="006C39D5" w:rsidP="006C39D5">
            <w:pPr>
              <w:pStyle w:val="ListBullet"/>
            </w:pPr>
            <w:r w:rsidRPr="006C39D5">
              <w:t>external reporting require</w:t>
            </w:r>
            <w:r w:rsidRPr="006C39D5">
              <w:t>ments</w:t>
            </w:r>
          </w:p>
          <w:p w:rsidR="00000000" w:rsidRPr="006C39D5" w:rsidP="006C39D5">
            <w:pPr>
              <w:pStyle w:val="ListBullet"/>
            </w:pPr>
            <w:r w:rsidRPr="006C39D5">
              <w:t>law enforcement needs</w:t>
            </w:r>
          </w:p>
          <w:p w:rsidR="00000000" w:rsidRPr="006C39D5" w:rsidP="006C39D5">
            <w:pPr>
              <w:pStyle w:val="ListBullet"/>
            </w:pPr>
            <w:r w:rsidRPr="006C39D5">
              <w:t>best practice initiatives in fraud/corruption control</w:t>
            </w:r>
          </w:p>
          <w:p w:rsidR="00000000" w:rsidRPr="006C39D5" w:rsidP="006C39D5">
            <w:pPr>
              <w:pStyle w:val="ListBullet"/>
            </w:pPr>
            <w:r w:rsidRPr="006C39D5">
              <w:t>the role of fraud/corruption control in the broader agency corporate planning environment</w:t>
            </w:r>
          </w:p>
          <w:p w:rsidR="00000000" w:rsidRPr="006C39D5" w:rsidP="006C39D5">
            <w:pPr>
              <w:pStyle w:val="ListBullet"/>
            </w:pPr>
            <w:r w:rsidRPr="006C39D5">
              <w:t>public sector legislation and guidelines relating to anti-discrimination and diversi</w:t>
            </w:r>
            <w:r w:rsidRPr="006C39D5">
              <w:t>ty legislation, occupational health and safety, and environment in the context of fraud/corruption control</w:t>
            </w:r>
          </w:p>
          <w:p w:rsidR="00000000" w:rsidP="006C39D5">
            <w:pPr>
              <w:pStyle w:val="ListBullet"/>
              <w:rPr>
                <w:lang w:val="en-NZ"/>
              </w:rPr>
            </w:pPr>
            <w:r w:rsidRPr="006C39D5">
              <w:t>legislation and procedures relating to public interest disclosures, protected disclosures or whistleblowing</w:t>
            </w:r>
          </w:p>
        </w:tc>
      </w:tr>
      <w:tr w:rsidTr="00BC181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rPr>
                <w:rStyle w:val="SpecialBold"/>
              </w:rPr>
              <w:t>Skill requirements</w:t>
            </w:r>
          </w:p>
          <w:p w:rsidR="00000000" w:rsidRPr="006C39D5" w:rsidP="006C39D5">
            <w:pPr>
              <w:pStyle w:val="BodyText"/>
            </w:pPr>
            <w:r w:rsidRPr="006C39D5">
              <w:t>Look for evidence tha</w:t>
            </w:r>
            <w:r w:rsidRPr="006C39D5">
              <w:t>t confirms skills in:</w:t>
            </w:r>
          </w:p>
          <w:p w:rsidR="00000000" w:rsidRPr="006C39D5" w:rsidP="006C39D5">
            <w:pPr>
              <w:pStyle w:val="ListBullet"/>
            </w:pPr>
            <w:r w:rsidRPr="006C39D5">
              <w:t>applying analysis and evaluation</w:t>
            </w:r>
          </w:p>
          <w:p w:rsidR="00000000" w:rsidRPr="006C39D5" w:rsidP="006C39D5">
            <w:pPr>
              <w:pStyle w:val="ListBullet"/>
            </w:pPr>
            <w:r w:rsidRPr="006C39D5">
              <w:t xml:space="preserve">reviewing fraud/corruption control processes and assessing key functions of overall strategy </w:t>
            </w:r>
          </w:p>
          <w:p w:rsidR="00000000" w:rsidRPr="006C39D5" w:rsidP="006C39D5">
            <w:pPr>
              <w:pStyle w:val="ListBullet"/>
            </w:pPr>
            <w:r w:rsidRPr="006C39D5">
              <w:t xml:space="preserve">writing reports requiring formal structure and language and precision of expression </w:t>
            </w:r>
          </w:p>
          <w:p w:rsidR="00000000" w:rsidRPr="006C39D5" w:rsidP="006C39D5">
            <w:pPr>
              <w:pStyle w:val="ListBullet"/>
            </w:pPr>
            <w:r w:rsidRPr="006C39D5">
              <w:t>providing advice and recommendations tailored to the needs of stakeholders</w:t>
            </w:r>
          </w:p>
          <w:p w:rsidR="00000000" w:rsidRPr="006C39D5" w:rsidP="006C39D5">
            <w:pPr>
              <w:pStyle w:val="ListBullet"/>
            </w:pPr>
            <w:r w:rsidRPr="006C39D5">
              <w:t>using a range of communication and presentation styles to suit different audiences and purposes</w:t>
            </w:r>
          </w:p>
          <w:p w:rsidR="00000000" w:rsidRPr="006C39D5" w:rsidP="006C39D5">
            <w:pPr>
              <w:pStyle w:val="ListBullet"/>
            </w:pPr>
            <w:r w:rsidRPr="006C39D5">
              <w:t>responding to diversity, including gender and disability</w:t>
            </w:r>
          </w:p>
          <w:p w:rsidR="00000000" w:rsidRPr="006C39D5" w:rsidP="006C39D5">
            <w:pPr>
              <w:pStyle w:val="ListBullet"/>
            </w:pPr>
            <w:r w:rsidRPr="006C39D5">
              <w:t>applying occupational health</w:t>
            </w:r>
            <w:r w:rsidRPr="006C39D5">
              <w:t xml:space="preserve"> and safety and environmental procedures in the context of fraud/corruption control reviews</w:t>
            </w:r>
          </w:p>
        </w:tc>
      </w:tr>
    </w:tbl>
    <w:p w:rsidR="00000000" w:rsidRPr="006C39D5" w:rsidP="006C39D5">
      <w:pPr>
        <w:pStyle w:val="BodyText"/>
      </w:pPr>
    </w:p>
    <w:p w:rsidR="00000000" w:rsidRPr="006C39D5" w:rsidP="006C39D5">
      <w:pPr>
        <w:pStyle w:val="AllowPageBreak"/>
      </w:pPr>
    </w:p>
    <w:p w:rsidR="00000000" w:rsidRPr="006C39D5" w:rsidP="006C39D5">
      <w:pPr>
        <w:pStyle w:val="Heading1"/>
      </w:pPr>
      <w:bookmarkStart w:id="10" w:name="O_495201"/>
      <w:bookmarkEnd w:id="10"/>
      <w:r w:rsidRPr="006C39D5">
        <w:t>Evidence Guide</w:t>
      </w:r>
    </w:p>
    <w:tbl>
      <w:tblPr>
        <w:tblW w:w="9322" w:type="dxa"/>
        <w:tblLayout w:type="fixed"/>
        <w:tblCellMar>
          <w:left w:w="62" w:type="dxa"/>
          <w:right w:w="62" w:type="dxa"/>
        </w:tblCellMar>
        <w:tblLook w:val="0000"/>
      </w:tblPr>
      <w:tblGrid>
        <w:gridCol w:w="2660"/>
        <w:gridCol w:w="6662"/>
      </w:tblGrid>
      <w:tr w:rsidTr="00BC181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t>The Evidence Guide specifies the evidence required to demonstrate achievement in the unit of competency as a whole. It must be rea</w:t>
            </w:r>
            <w:r w:rsidRPr="006C39D5">
              <w:t>d in conjunction with the Unit descriptor, Performance Criteria, the Range Statement and the Assessment Guidelines for the Public Sector Training Package.</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rPr>
                <w:rStyle w:val="SpecialBold"/>
              </w:rPr>
              <w:t>Units to be assessed together</w:t>
            </w:r>
            <w:r w:rsidRPr="006C39D5">
              <w:t xml:space="preserve"> </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ListBullet"/>
            </w:pPr>
            <w:r w:rsidRPr="006C39D5">
              <w:rPr>
                <w:rStyle w:val="Emphasis"/>
              </w:rPr>
              <w:t>Pre</w:t>
            </w:r>
            <w:r w:rsidRPr="006C39D5">
              <w:t>-</w:t>
            </w:r>
            <w:r w:rsidRPr="006C39D5">
              <w:rPr>
                <w:rStyle w:val="Emphasis"/>
              </w:rPr>
              <w:t>requisite</w:t>
            </w:r>
            <w:r w:rsidRPr="006C39D5">
              <w:t xml:space="preserve"> units that </w:t>
            </w:r>
            <w:r w:rsidRPr="006C39D5">
              <w:rPr>
                <w:rStyle w:val="Underline"/>
              </w:rPr>
              <w:t>must</w:t>
            </w:r>
            <w:r w:rsidRPr="006C39D5">
              <w:t xml:space="preserve"> be achieved </w:t>
            </w:r>
            <w:r w:rsidRPr="006C39D5">
              <w:rPr>
                <w:rStyle w:val="Underline"/>
              </w:rPr>
              <w:t>prior</w:t>
            </w:r>
            <w:r w:rsidRPr="006C39D5">
              <w:t xml:space="preserve"> to this unit:</w:t>
            </w:r>
            <w:r w:rsidRPr="006C39D5">
              <w:rPr>
                <w:rStyle w:val="Emphasis"/>
              </w:rPr>
              <w:t>Nil</w:t>
            </w:r>
          </w:p>
          <w:p w:rsidR="00000000" w:rsidRPr="006C39D5" w:rsidP="006C39D5">
            <w:pPr>
              <w:pStyle w:val="ListBullet"/>
            </w:pPr>
            <w:r w:rsidRPr="006C39D5">
              <w:rPr>
                <w:rStyle w:val="Emphasis"/>
              </w:rPr>
              <w:t>Co</w:t>
            </w:r>
            <w:r w:rsidRPr="006C39D5">
              <w:t>-</w:t>
            </w:r>
            <w:r w:rsidRPr="006C39D5">
              <w:rPr>
                <w:rStyle w:val="Emphasis"/>
              </w:rPr>
              <w:t>requisite</w:t>
            </w:r>
            <w:r w:rsidRPr="006C39D5">
              <w:t xml:space="preserve"> units that </w:t>
            </w:r>
            <w:r w:rsidRPr="006C39D5">
              <w:rPr>
                <w:rStyle w:val="Underline"/>
              </w:rPr>
              <w:t>must</w:t>
            </w:r>
            <w:r w:rsidRPr="006C39D5">
              <w:t xml:space="preserve"> be assessed </w:t>
            </w:r>
            <w:r w:rsidRPr="006C39D5">
              <w:rPr>
                <w:rStyle w:val="Underline"/>
              </w:rPr>
              <w:t>with</w:t>
            </w:r>
            <w:r w:rsidRPr="006C39D5">
              <w:t xml:space="preserve"> this unit:</w:t>
            </w:r>
            <w:r w:rsidRPr="006C39D5">
              <w:rPr>
                <w:rStyle w:val="Emphasis"/>
              </w:rPr>
              <w:t>Nil</w:t>
            </w:r>
          </w:p>
          <w:p w:rsidR="00000000" w:rsidRPr="006C39D5" w:rsidP="006C39D5">
            <w:pPr>
              <w:pStyle w:val="ListBullet"/>
            </w:pPr>
            <w:r w:rsidRPr="006C39D5">
              <w:rPr>
                <w:rStyle w:val="Emphasis"/>
              </w:rPr>
              <w:t>Co</w:t>
            </w:r>
            <w:r w:rsidRPr="006C39D5">
              <w:t>-</w:t>
            </w:r>
            <w:r w:rsidRPr="006C39D5">
              <w:rPr>
                <w:rStyle w:val="Emphasis"/>
              </w:rPr>
              <w:t>assessed units</w:t>
            </w:r>
            <w:r w:rsidRPr="006C39D5">
              <w:t xml:space="preserve"> that </w:t>
            </w:r>
            <w:r w:rsidRPr="006C39D5">
              <w:rPr>
                <w:rStyle w:val="Underline"/>
              </w:rPr>
              <w:t>may</w:t>
            </w:r>
            <w:r w:rsidRPr="006C39D5">
              <w:t xml:space="preserve"> be assessed with this unit to increase the efficiency and realism of the assessment process include, but are not limited to:</w:t>
            </w:r>
          </w:p>
          <w:p w:rsidR="00000000" w:rsidRPr="006C39D5" w:rsidP="006C39D5">
            <w:pPr>
              <w:pStyle w:val="ListBullet2"/>
            </w:pPr>
            <w:r w:rsidRPr="006C39D5">
              <w:t>PSPETHC601B Maintain and enhance confidence i</w:t>
            </w:r>
            <w:r w:rsidRPr="006C39D5">
              <w:t xml:space="preserve">n public service </w:t>
            </w:r>
          </w:p>
          <w:p w:rsidR="00000000" w:rsidRPr="006C39D5" w:rsidP="006C39D5">
            <w:pPr>
              <w:pStyle w:val="ListBullet2"/>
            </w:pPr>
            <w:r w:rsidRPr="006C39D5">
              <w:t xml:space="preserve">PSPFRAU601B Develop fraud control strategy </w:t>
            </w:r>
          </w:p>
          <w:p w:rsidR="00000000" w:rsidRPr="006C39D5" w:rsidP="006C39D5">
            <w:pPr>
              <w:pStyle w:val="ListBullet2"/>
            </w:pPr>
            <w:r w:rsidRPr="006C39D5">
              <w:t>PSPGOV601B Apply government systems</w:t>
            </w:r>
          </w:p>
          <w:p w:rsidR="00000000" w:rsidRPr="006C39D5" w:rsidP="006C39D5">
            <w:pPr>
              <w:pStyle w:val="ListBullet2"/>
            </w:pPr>
            <w:r w:rsidRPr="006C39D5">
              <w:t>PSPGOV602B Establish and maintain strategic networks</w:t>
            </w:r>
          </w:p>
          <w:p w:rsidR="00000000" w:rsidRPr="006C39D5" w:rsidP="006C39D5">
            <w:pPr>
              <w:pStyle w:val="ListBullet2"/>
            </w:pPr>
            <w:r w:rsidRPr="006C39D5">
              <w:t>PSPMNGT608B Manage risk</w:t>
            </w:r>
          </w:p>
          <w:p w:rsidR="00000000" w:rsidRPr="006C39D5" w:rsidP="006C39D5">
            <w:pPr>
              <w:pStyle w:val="ListBullet2"/>
            </w:pPr>
            <w:r w:rsidRPr="006C39D5">
              <w:t>PSPMNGT611A Manage evaluations</w:t>
            </w:r>
          </w:p>
          <w:p w:rsidR="00000000" w:rsidP="006C39D5">
            <w:pPr>
              <w:pStyle w:val="ListBullet2"/>
              <w:rPr>
                <w:lang w:val="en-NZ"/>
              </w:rPr>
            </w:pPr>
            <w:r w:rsidRPr="006C39D5">
              <w:t>PSPPOL603A Manage policy implementation</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t>In addition to integrated demonstration of the elements and their related performance criteria, look for evidence that confirms:</w:t>
            </w:r>
          </w:p>
          <w:p w:rsidR="00000000" w:rsidRPr="006C39D5" w:rsidP="006C39D5">
            <w:pPr>
              <w:pStyle w:val="ListBullet"/>
            </w:pPr>
            <w:r w:rsidRPr="006C39D5">
              <w:t xml:space="preserve">the knowledge requirements of this unit </w:t>
            </w:r>
          </w:p>
          <w:p w:rsidR="00000000" w:rsidRPr="006C39D5" w:rsidP="006C39D5">
            <w:pPr>
              <w:pStyle w:val="ListBullet"/>
            </w:pPr>
            <w:r w:rsidRPr="006C39D5">
              <w:t>the skill requirements of this unit</w:t>
            </w:r>
          </w:p>
          <w:p w:rsidR="00000000" w:rsidRPr="006C39D5" w:rsidP="006C39D5">
            <w:pPr>
              <w:pStyle w:val="ListBullet"/>
            </w:pPr>
            <w:r w:rsidRPr="006C39D5">
              <w:t>application of the Employability Skills as they relate to this unit (see Employability Summaries in Qualifications Framework)</w:t>
            </w:r>
          </w:p>
          <w:p w:rsidR="00000000" w:rsidP="006C39D5">
            <w:pPr>
              <w:pStyle w:val="ListBullet"/>
              <w:rPr>
                <w:lang w:val="en-NZ"/>
              </w:rPr>
            </w:pPr>
            <w:r w:rsidRPr="006C39D5">
              <w:t>review of fraud/corruption control activities in a range of (2 or more) contexts (or occasions over time)</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rPr>
                <w:rStyle w:val="SpecialBold"/>
              </w:rPr>
              <w:t>Resources required to c</w:t>
            </w:r>
            <w:r w:rsidRPr="006C39D5">
              <w:rPr>
                <w:rStyle w:val="SpecialBold"/>
              </w:rPr>
              <w:t>arry out assessment</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t>These resources include:</w:t>
            </w:r>
          </w:p>
          <w:p w:rsidR="00000000" w:rsidRPr="006C39D5" w:rsidP="006C39D5">
            <w:pPr>
              <w:pStyle w:val="ListBullet"/>
            </w:pPr>
            <w:r w:rsidRPr="006C39D5">
              <w:t>legislation, policy and procedures relating to fraud/corruption control</w:t>
            </w:r>
          </w:p>
          <w:p w:rsidR="00000000" w:rsidRPr="006C39D5" w:rsidP="006C39D5">
            <w:pPr>
              <w:pStyle w:val="ListBullet"/>
            </w:pPr>
            <w:r w:rsidRPr="006C39D5">
              <w:t>legislation and procedures relating to public interest disclosures, protected disclosures or whistleblowing</w:t>
            </w:r>
          </w:p>
          <w:p w:rsidR="00000000" w:rsidRPr="006C39D5" w:rsidP="006C39D5">
            <w:pPr>
              <w:pStyle w:val="ListBullet"/>
            </w:pPr>
            <w:r w:rsidRPr="006C39D5">
              <w:t>fraud/corruption control guide</w:t>
            </w:r>
            <w:r w:rsidRPr="006C39D5">
              <w:t>lines and standards</w:t>
            </w:r>
          </w:p>
          <w:p w:rsidR="00000000" w:rsidRPr="006C39D5" w:rsidP="006C39D5">
            <w:pPr>
              <w:pStyle w:val="ListBullet"/>
            </w:pPr>
            <w:r w:rsidRPr="006C39D5">
              <w:t>public sector values and codes of conduct</w:t>
            </w:r>
          </w:p>
          <w:p w:rsidR="00000000" w:rsidP="006C39D5">
            <w:pPr>
              <w:pStyle w:val="ListBullet"/>
              <w:rPr>
                <w:lang w:val="en-NZ"/>
              </w:rPr>
            </w:pPr>
            <w:r w:rsidRPr="006C39D5">
              <w:t>case studies and workplace scenarios to capture the range of situations likely to be encountered during fraud/corruption control reviews</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t>Valid assessment of thi</w:t>
            </w:r>
            <w:r w:rsidRPr="006C39D5">
              <w:t xml:space="preserve">s unit requires: </w:t>
            </w:r>
          </w:p>
          <w:p w:rsidR="00000000" w:rsidRPr="006C39D5" w:rsidP="006C39D5">
            <w:pPr>
              <w:pStyle w:val="ListBullet"/>
            </w:pPr>
            <w:r w:rsidRPr="006C39D5">
              <w:t>a workplace environment or one that closely resembles normal work practice and replicates the range of conditions likely to be encountered when reviewing fraud/corruption control activities, including coping with difficulties, irregulari</w:t>
            </w:r>
            <w:r w:rsidRPr="006C39D5">
              <w:t>ties and breakdowns in routine</w:t>
            </w:r>
          </w:p>
          <w:p w:rsidR="00000000" w:rsidRPr="006C39D5" w:rsidP="006C39D5">
            <w:pPr>
              <w:pStyle w:val="ListBullet"/>
            </w:pPr>
            <w:r w:rsidRPr="006C39D5">
              <w:t>review of fraud/corruption control activities in a range of (2 or more) contexts (or occasions over time)</w:t>
            </w:r>
          </w:p>
          <w:p w:rsidR="00000000" w:rsidRPr="006C39D5" w:rsidP="006C39D5">
            <w:pPr>
              <w:pStyle w:val="BodyText"/>
            </w:pPr>
            <w:r w:rsidRPr="006C39D5">
              <w:t>Assessment methods should reflect workplace demands, such as literacy, and the needs of particular groups, such as:</w:t>
            </w:r>
          </w:p>
          <w:p w:rsidR="00000000" w:rsidRPr="006C39D5" w:rsidP="006C39D5">
            <w:pPr>
              <w:pStyle w:val="ListBullet"/>
            </w:pPr>
            <w:r w:rsidRPr="006C39D5">
              <w:t>people with disabilities</w:t>
            </w:r>
          </w:p>
          <w:p w:rsidR="00000000" w:rsidRPr="006C39D5" w:rsidP="006C39D5">
            <w:pPr>
              <w:pStyle w:val="ListBullet"/>
            </w:pPr>
            <w:r w:rsidRPr="006C39D5">
              <w:t>people from culturally and linguistically diverse backgrounds</w:t>
            </w:r>
          </w:p>
          <w:p w:rsidR="00000000" w:rsidRPr="006C39D5" w:rsidP="006C39D5">
            <w:pPr>
              <w:pStyle w:val="ListBullet"/>
            </w:pPr>
            <w:r w:rsidRPr="006C39D5">
              <w:t>Aboriginal and Torres Strait Islander people</w:t>
            </w:r>
          </w:p>
          <w:p w:rsidR="00000000" w:rsidRPr="006C39D5" w:rsidP="006C39D5">
            <w:pPr>
              <w:pStyle w:val="ListBullet"/>
            </w:pPr>
            <w:r w:rsidRPr="006C39D5">
              <w:t>women</w:t>
            </w:r>
          </w:p>
          <w:p w:rsidR="00000000" w:rsidRPr="006C39D5" w:rsidP="006C39D5">
            <w:pPr>
              <w:pStyle w:val="ListBullet"/>
            </w:pPr>
            <w:r w:rsidRPr="006C39D5">
              <w:t>young people</w:t>
            </w:r>
          </w:p>
          <w:p w:rsidR="00000000" w:rsidRPr="006C39D5" w:rsidP="006C39D5">
            <w:pPr>
              <w:pStyle w:val="ListBullet"/>
            </w:pPr>
            <w:r w:rsidRPr="006C39D5">
              <w:t>older people</w:t>
            </w:r>
          </w:p>
          <w:p w:rsidR="00000000" w:rsidRPr="006C39D5" w:rsidP="006C39D5">
            <w:pPr>
              <w:pStyle w:val="ListBullet"/>
            </w:pPr>
            <w:r w:rsidRPr="006C39D5">
              <w:t>people in rural and remote locations</w:t>
            </w:r>
          </w:p>
          <w:p w:rsidR="00000000" w:rsidRPr="006C39D5" w:rsidP="006C39D5">
            <w:pPr>
              <w:pStyle w:val="BodyText"/>
            </w:pPr>
            <w:r w:rsidRPr="006C39D5">
              <w:t>Assessment methods suitable for valid and reliable asse</w:t>
            </w:r>
            <w:r w:rsidRPr="006C39D5">
              <w:t xml:space="preserve">ssment of this competency may include, but are not limited to, a combination of 2 or more of: </w:t>
            </w:r>
          </w:p>
          <w:p w:rsidR="00000000" w:rsidRPr="006C39D5" w:rsidP="006C39D5">
            <w:pPr>
              <w:pStyle w:val="ListBullet"/>
            </w:pPr>
            <w:r w:rsidRPr="006C39D5">
              <w:t>case studies</w:t>
            </w:r>
          </w:p>
          <w:p w:rsidR="00000000" w:rsidRPr="006C39D5" w:rsidP="006C39D5">
            <w:pPr>
              <w:pStyle w:val="ListBullet"/>
            </w:pPr>
            <w:r w:rsidRPr="006C39D5">
              <w:t xml:space="preserve">portfolios </w:t>
            </w:r>
          </w:p>
          <w:p w:rsidR="00000000" w:rsidRPr="006C39D5" w:rsidP="006C39D5">
            <w:pPr>
              <w:pStyle w:val="ListBullet"/>
            </w:pPr>
            <w:r w:rsidRPr="006C39D5">
              <w:t>projects</w:t>
            </w:r>
          </w:p>
          <w:p w:rsidR="00000000" w:rsidRPr="006C39D5" w:rsidP="006C39D5">
            <w:pPr>
              <w:pStyle w:val="ListBullet"/>
            </w:pPr>
            <w:r w:rsidRPr="006C39D5">
              <w:t>questioning</w:t>
            </w:r>
          </w:p>
          <w:p w:rsidR="00000000" w:rsidRPr="006C39D5" w:rsidP="006C39D5">
            <w:pPr>
              <w:pStyle w:val="ListBullet"/>
            </w:pPr>
            <w:r w:rsidRPr="006C39D5">
              <w:t>scenarios</w:t>
            </w:r>
          </w:p>
          <w:p w:rsidR="00000000" w:rsidP="006C39D5">
            <w:pPr>
              <w:pStyle w:val="ListBullet"/>
              <w:rPr>
                <w:lang w:val="en-NZ"/>
              </w:rPr>
            </w:pPr>
            <w:r w:rsidRPr="006C39D5">
              <w:t xml:space="preserve">authenticated evidence from the workplace and/or training courses  </w:t>
            </w:r>
          </w:p>
        </w:tc>
      </w:tr>
      <w:tr w:rsidTr="00BC181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C39D5">
            <w:pPr>
              <w:pStyle w:val="BodyText"/>
              <w:rPr>
                <w:lang w:val="en-NZ"/>
              </w:rPr>
            </w:pPr>
            <w:r w:rsidRPr="006C39D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C39D5" w:rsidP="006C39D5">
            <w:pPr>
              <w:pStyle w:val="BodyText"/>
            </w:pPr>
            <w:r w:rsidRPr="006C39D5">
              <w:t>Evidence must be gathered over time in a range of contexts to ensure the person can achieve the unit outcome and apply the competency in different situations or environments</w:t>
            </w:r>
          </w:p>
        </w:tc>
      </w:tr>
    </w:tbl>
    <w:p w:rsidR="00000000" w:rsidRPr="006C39D5" w:rsidP="006C39D5">
      <w:pPr>
        <w:pStyle w:val="BodyText"/>
      </w:pPr>
    </w:p>
    <w:p w:rsidR="00000000" w:rsidRPr="006C39D5" w:rsidP="006C39D5">
      <w:pPr>
        <w:pStyle w:val="AllowPageBreak"/>
      </w:pPr>
    </w:p>
    <w:p w:rsidR="00000000" w:rsidRPr="006C39D5" w:rsidP="006C39D5">
      <w:pPr>
        <w:pStyle w:val="Heading1"/>
      </w:pPr>
      <w:bookmarkStart w:id="11" w:name="O_495197"/>
      <w:bookmarkEnd w:id="11"/>
      <w:r w:rsidRPr="006C39D5">
        <w:t>Range Statement</w:t>
      </w:r>
    </w:p>
    <w:tbl>
      <w:tblPr>
        <w:tblW w:w="9322" w:type="dxa"/>
        <w:tblLayout w:type="fixed"/>
        <w:tblCellMar>
          <w:left w:w="62" w:type="dxa"/>
          <w:right w:w="62" w:type="dxa"/>
        </w:tblCellMar>
        <w:tblLook w:val="0000"/>
      </w:tblPr>
      <w:tblGrid>
        <w:gridCol w:w="2660"/>
        <w:gridCol w:w="6662"/>
      </w:tblGrid>
      <w:tr w:rsidTr="00BC181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t xml:space="preserve">The Range Statement provides information about </w:t>
            </w:r>
            <w:r w:rsidRPr="006C39D5">
              <w:t>the context in which the unit of competency is carried out. The variables cater for differences between States and Territories and the Commonwealth, and between organisations and workplaces. They allow for different work requirements, work practices and kn</w:t>
            </w:r>
            <w:r w:rsidRPr="006C39D5">
              <w:t xml:space="preserve">owledge. The Range Statement also provides a focus for assessment. It relates to the unit as a whole. Text in </w:t>
            </w:r>
            <w:r w:rsidRPr="006C39D5">
              <w:rPr>
                <w:rStyle w:val="BoldandItalics"/>
              </w:rPr>
              <w:t>bold italics</w:t>
            </w:r>
            <w:r w:rsidRPr="006C39D5">
              <w:t xml:space="preserve"> in the Performance Criteria is explained here.</w:t>
            </w:r>
          </w:p>
        </w:tc>
      </w:tr>
      <w:tr w:rsidTr="00BC181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rPr>
                <w:rStyle w:val="BoldandItalics"/>
              </w:rPr>
              <w:t>Review of fraud/corruption control activities</w:t>
            </w:r>
            <w:r w:rsidRPr="006C39D5">
              <w:rPr>
                <w:rStyle w:val="SpecialBold"/>
              </w:rPr>
              <w:t xml:space="preserve"> </w:t>
            </w:r>
            <w:r w:rsidRPr="006C39D5">
              <w:t>should: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ListBullet"/>
            </w:pPr>
            <w:r w:rsidRPr="006C39D5">
              <w:t>enhance integrity in the agen</w:t>
            </w:r>
            <w:r w:rsidRPr="006C39D5">
              <w:t>cy</w:t>
            </w:r>
          </w:p>
          <w:p w:rsidR="00000000" w:rsidRPr="006C39D5" w:rsidP="006C39D5">
            <w:pPr>
              <w:pStyle w:val="ListBullet"/>
            </w:pPr>
            <w:r w:rsidRPr="006C39D5">
              <w:t>be cost effective</w:t>
            </w:r>
          </w:p>
          <w:p w:rsidR="00000000" w:rsidP="006C39D5">
            <w:pPr>
              <w:pStyle w:val="ListBullet"/>
              <w:rPr>
                <w:lang w:val="en-NZ"/>
              </w:rPr>
            </w:pPr>
            <w:r w:rsidRPr="006C39D5">
              <w:t>meet an agency's law enforcement needs</w:t>
            </w:r>
          </w:p>
        </w:tc>
      </w:tr>
      <w:tr w:rsidTr="00BC181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rPr>
                <w:rStyle w:val="BoldandItalics"/>
              </w:rPr>
              <w:t xml:space="preserve">Stakeholders </w:t>
            </w:r>
            <w:r w:rsidRPr="006C39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ListBullet"/>
            </w:pPr>
            <w:r w:rsidRPr="006C39D5">
              <w:t>relevant government Ministers</w:t>
            </w:r>
          </w:p>
          <w:p w:rsidR="00000000" w:rsidRPr="006C39D5" w:rsidP="006C39D5">
            <w:pPr>
              <w:pStyle w:val="ListBullet"/>
            </w:pPr>
            <w:r w:rsidRPr="006C39D5">
              <w:t>agency staff and senior management</w:t>
            </w:r>
          </w:p>
          <w:p w:rsidR="00000000" w:rsidRPr="006C39D5" w:rsidP="006C39D5">
            <w:pPr>
              <w:pStyle w:val="ListBullet"/>
            </w:pPr>
            <w:r w:rsidRPr="006C39D5">
              <w:t xml:space="preserve">law enforcement agencies </w:t>
            </w:r>
          </w:p>
          <w:p w:rsidR="00000000" w:rsidRPr="006C39D5" w:rsidP="006C39D5">
            <w:pPr>
              <w:pStyle w:val="ListBullet"/>
            </w:pPr>
            <w:r w:rsidRPr="006C39D5">
              <w:t>prosecution agencies</w:t>
            </w:r>
          </w:p>
          <w:p w:rsidR="00000000" w:rsidRPr="006C39D5" w:rsidP="006C39D5">
            <w:pPr>
              <w:pStyle w:val="ListBullet"/>
            </w:pPr>
            <w:r w:rsidRPr="006C39D5">
              <w:t>internal/external audit personnel</w:t>
            </w:r>
          </w:p>
          <w:p w:rsidR="00000000" w:rsidP="006C39D5">
            <w:pPr>
              <w:pStyle w:val="ListBullet"/>
              <w:rPr>
                <w:lang w:val="en-NZ"/>
              </w:rPr>
            </w:pPr>
            <w:r w:rsidRPr="006C39D5">
              <w:t>standards-setting organisations</w:t>
            </w:r>
          </w:p>
        </w:tc>
      </w:tr>
      <w:tr w:rsidTr="00BC181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D5">
            <w:pPr>
              <w:pStyle w:val="BodyText"/>
              <w:rPr>
                <w:lang w:val="en-NZ"/>
              </w:rPr>
            </w:pPr>
            <w:r w:rsidRPr="006C39D5">
              <w:rPr>
                <w:rStyle w:val="BoldandItalics"/>
              </w:rPr>
              <w:t>Audience for reports</w:t>
            </w:r>
            <w:r w:rsidRPr="006C39D5">
              <w:rPr>
                <w:rStyle w:val="SpecialBold"/>
              </w:rPr>
              <w:t xml:space="preserve"> </w:t>
            </w:r>
            <w:r w:rsidRPr="006C39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D5" w:rsidP="006C39D5">
            <w:pPr>
              <w:pStyle w:val="ListBullet"/>
            </w:pPr>
            <w:r w:rsidRPr="006C39D5">
              <w:t>agency colleagues and management</w:t>
            </w:r>
          </w:p>
          <w:p w:rsidR="00000000" w:rsidRPr="006C39D5" w:rsidP="006C39D5">
            <w:pPr>
              <w:pStyle w:val="ListBullet"/>
            </w:pPr>
            <w:r w:rsidRPr="006C39D5">
              <w:t xml:space="preserve">government Ministers </w:t>
            </w:r>
          </w:p>
          <w:p w:rsidR="00000000" w:rsidRPr="006C39D5" w:rsidP="006C39D5">
            <w:pPr>
              <w:pStyle w:val="ListBullet"/>
            </w:pPr>
            <w:r w:rsidRPr="006C39D5">
              <w:t>relevant standards-setting organisations</w:t>
            </w:r>
          </w:p>
        </w:tc>
      </w:tr>
    </w:tbl>
    <w:p w:rsidR="00BC181B" w:rsidP="006C39D5">
      <w:pPr>
        <w:pStyle w:val="BodyText"/>
      </w:pPr>
    </w:p>
    <w:p w:rsidR="00BC181B" w:rsidP="006C39D5">
      <w:pPr>
        <w:pStyle w:val="BodyText"/>
      </w:pPr>
    </w:p>
    <w:p w:rsidR="00000000" w:rsidRPr="006C39D5" w:rsidP="006C39D5">
      <w:pPr>
        <w:pStyle w:val="Heading1"/>
      </w:pPr>
      <w:bookmarkStart w:id="12" w:name="O_495199"/>
      <w:bookmarkEnd w:id="12"/>
      <w:r w:rsidRPr="006C39D5">
        <w:t>Unit Sector(s)</w:t>
      </w:r>
    </w:p>
    <w:p w:rsidR="00000000" w:rsidRPr="006C39D5" w:rsidP="006C39D5">
      <w:pPr>
        <w:pStyle w:val="BodyText"/>
      </w:pPr>
      <w:r w:rsidRPr="006C39D5">
        <w:t>Not applicable.</w:t>
      </w:r>
    </w:p>
    <w:p w:rsidR="00000000" w:rsidRPr="006C39D5" w:rsidP="006C39D5">
      <w:pPr>
        <w:pStyle w:val="AllowPageBreak"/>
      </w:pPr>
    </w:p>
    <w:p w:rsidR="00000000" w:rsidRPr="006C39D5" w:rsidP="006C39D5">
      <w:pPr>
        <w:pStyle w:val="Heading1"/>
      </w:pPr>
      <w:bookmarkStart w:id="13" w:name="O_495207"/>
      <w:bookmarkEnd w:id="13"/>
      <w:r w:rsidRPr="006C39D5">
        <w:t>Competency field</w:t>
      </w:r>
    </w:p>
    <w:p w:rsidR="00000000" w:rsidRPr="006C39D5" w:rsidP="006C39D5">
      <w:pPr>
        <w:pStyle w:val="BodyText"/>
      </w:pPr>
      <w:r w:rsidRPr="006C39D5">
        <w:t>Fraud Control.</w:t>
      </w:r>
    </w:p>
    <w:p w:rsidR="00000000" w:rsidRPr="006C39D5" w:rsidP="006C39D5"/>
    <w:sectPr w:rsidSect="006C3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1B" w:rsidP="00BC18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1B" w:rsidP="006C39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181B" w:rsidP="006C3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181B" w:rsidP="006C3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D5" w:rsidRPr="00BC181B" w:rsidP="00BC18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1B" w:rsidRPr="002D2AF8" w:rsidP="006C39D5">
    <w:pPr>
      <w:pStyle w:val="Header"/>
      <w:framePr w:wrap="around"/>
    </w:pPr>
    <w:r>
      <w:fldChar w:fldCharType="begin"/>
    </w:r>
    <w:r>
      <w:instrText xml:space="preserve"> TITLE   \* MERGEFORMAT </w:instrText>
    </w:r>
    <w:r>
      <w:fldChar w:fldCharType="separate"/>
    </w:r>
    <w:r>
      <w:t>PSPFRAU605B Review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C181B" w:rsidP="006C3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6F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C1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41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9D5"/>
    <w:pPr>
      <w:spacing w:before="360" w:after="60"/>
      <w:outlineLvl w:val="0"/>
    </w:pPr>
    <w:rPr>
      <w:sz w:val="32"/>
    </w:rPr>
  </w:style>
  <w:style w:type="paragraph" w:styleId="Heading2">
    <w:name w:val="heading 2"/>
    <w:basedOn w:val="HeadingBase"/>
    <w:next w:val="BodyText"/>
    <w:link w:val="Heading2Char"/>
    <w:qFormat/>
    <w:rsid w:val="006C39D5"/>
    <w:pPr>
      <w:keepLines/>
      <w:spacing w:before="240" w:after="120"/>
      <w:outlineLvl w:val="1"/>
    </w:pPr>
    <w:rPr>
      <w:sz w:val="28"/>
      <w:szCs w:val="40"/>
    </w:rPr>
  </w:style>
  <w:style w:type="paragraph" w:styleId="Heading3">
    <w:name w:val="heading 3"/>
    <w:basedOn w:val="HeadingBase"/>
    <w:next w:val="BodyText"/>
    <w:link w:val="Heading3Char"/>
    <w:qFormat/>
    <w:rsid w:val="006C39D5"/>
    <w:pPr>
      <w:spacing w:before="180" w:after="120"/>
      <w:outlineLvl w:val="2"/>
    </w:pPr>
    <w:rPr>
      <w:spacing w:val="-10"/>
      <w:kern w:val="32"/>
    </w:rPr>
  </w:style>
  <w:style w:type="paragraph" w:styleId="Heading4">
    <w:name w:val="heading 4"/>
    <w:basedOn w:val="HeadingBase"/>
    <w:next w:val="BodyText"/>
    <w:link w:val="Heading4Char"/>
    <w:qFormat/>
    <w:rsid w:val="006C39D5"/>
    <w:pPr>
      <w:spacing w:before="160" w:after="120"/>
      <w:outlineLvl w:val="3"/>
    </w:pPr>
    <w:rPr>
      <w:sz w:val="22"/>
    </w:rPr>
  </w:style>
  <w:style w:type="paragraph" w:styleId="Heading5">
    <w:name w:val="heading 5"/>
    <w:basedOn w:val="HeadingBase"/>
    <w:next w:val="Normal"/>
    <w:link w:val="Heading5Char"/>
    <w:qFormat/>
    <w:rsid w:val="006C39D5"/>
    <w:pPr>
      <w:spacing w:before="80"/>
      <w:outlineLvl w:val="4"/>
    </w:pPr>
    <w:rPr>
      <w:color w:val="918585"/>
      <w:sz w:val="20"/>
    </w:rPr>
  </w:style>
  <w:style w:type="paragraph" w:styleId="Heading6">
    <w:name w:val="heading 6"/>
    <w:basedOn w:val="HeadingBase"/>
    <w:next w:val="Normal"/>
    <w:link w:val="Heading6Char"/>
    <w:qFormat/>
    <w:rsid w:val="006C39D5"/>
    <w:pPr>
      <w:spacing w:before="60"/>
      <w:outlineLvl w:val="5"/>
    </w:pPr>
    <w:rPr>
      <w:color w:val="918585"/>
      <w:sz w:val="20"/>
    </w:rPr>
  </w:style>
  <w:style w:type="paragraph" w:styleId="Heading7">
    <w:name w:val="heading 7"/>
    <w:basedOn w:val="Normal"/>
    <w:next w:val="Normal"/>
    <w:link w:val="Heading7Char"/>
    <w:qFormat/>
    <w:rsid w:val="006C39D5"/>
    <w:pPr>
      <w:ind w:left="720"/>
      <w:outlineLvl w:val="6"/>
    </w:pPr>
    <w:rPr>
      <w:i/>
    </w:rPr>
  </w:style>
  <w:style w:type="paragraph" w:styleId="Heading8">
    <w:name w:val="heading 8"/>
    <w:basedOn w:val="Normal"/>
    <w:next w:val="Normal"/>
    <w:link w:val="Heading8Char"/>
    <w:qFormat/>
    <w:rsid w:val="006C39D5"/>
    <w:pPr>
      <w:ind w:left="720"/>
      <w:outlineLvl w:val="7"/>
    </w:pPr>
    <w:rPr>
      <w:i/>
    </w:rPr>
  </w:style>
  <w:style w:type="paragraph" w:styleId="Heading9">
    <w:name w:val="heading 9"/>
    <w:basedOn w:val="Normal"/>
    <w:next w:val="Normal"/>
    <w:link w:val="Heading9Char"/>
    <w:qFormat/>
    <w:rsid w:val="006C39D5"/>
    <w:pPr>
      <w:ind w:left="720"/>
      <w:outlineLvl w:val="8"/>
    </w:pPr>
    <w:rPr>
      <w:i/>
    </w:rPr>
  </w:style>
  <w:style w:type="character" w:default="1" w:styleId="DefaultParagraphFont">
    <w:name w:val="Default Paragraph Font"/>
    <w:uiPriority w:val="1"/>
    <w:unhideWhenUsed/>
    <w:rsid w:val="006C3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9D5"/>
  </w:style>
  <w:style w:type="character" w:customStyle="1" w:styleId="Heading1Char">
    <w:name w:val="Heading 1 Char"/>
    <w:basedOn w:val="DefaultParagraphFont"/>
    <w:link w:val="Heading1"/>
    <w:rsid w:val="006C39D5"/>
    <w:rPr>
      <w:rFonts w:ascii="Times New Roman" w:eastAsia="Times New Roman" w:hAnsi="Times New Roman" w:cs="Times New Roman"/>
      <w:b/>
      <w:sz w:val="32"/>
      <w:szCs w:val="20"/>
      <w:lang w:eastAsia="en-US"/>
    </w:rPr>
  </w:style>
  <w:style w:type="paragraph" w:styleId="BodyText">
    <w:name w:val="Body Text"/>
    <w:basedOn w:val="Normal"/>
    <w:link w:val="BodyTextChar"/>
    <w:rsid w:val="006C39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9D5"/>
    <w:rPr>
      <w:rFonts w:ascii="Times New Roman" w:eastAsia="Times New Roman" w:hAnsi="Times New Roman" w:cs="Times New Roman"/>
      <w:sz w:val="24"/>
      <w:lang w:eastAsia="en-US"/>
    </w:rPr>
  </w:style>
  <w:style w:type="paragraph" w:styleId="Footer">
    <w:name w:val="footer"/>
    <w:basedOn w:val="Normal"/>
    <w:link w:val="FooterChar"/>
    <w:rsid w:val="006C3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9D5"/>
    <w:rPr>
      <w:rFonts w:ascii="Times New Roman" w:eastAsia="Times New Roman" w:hAnsi="Times New Roman" w:cs="Times New Roman"/>
      <w:sz w:val="16"/>
      <w:lang w:eastAsia="en-US"/>
    </w:rPr>
  </w:style>
  <w:style w:type="paragraph" w:styleId="List">
    <w:name w:val="List"/>
    <w:basedOn w:val="BodyText"/>
    <w:next w:val="BodyText"/>
    <w:rsid w:val="006C39D5"/>
    <w:pPr>
      <w:tabs>
        <w:tab w:val="left" w:pos="340"/>
      </w:tabs>
      <w:spacing w:before="60" w:after="60"/>
      <w:ind w:left="340" w:hanging="340"/>
    </w:pPr>
  </w:style>
  <w:style w:type="paragraph" w:styleId="ListBullet">
    <w:name w:val="List Bullet"/>
    <w:basedOn w:val="List"/>
    <w:rsid w:val="006C39D5"/>
    <w:pPr>
      <w:numPr>
        <w:numId w:val="13"/>
      </w:numPr>
      <w:tabs>
        <w:tab w:val="clear" w:pos="340"/>
      </w:tabs>
      <w:spacing w:before="40" w:after="40"/>
    </w:pPr>
  </w:style>
  <w:style w:type="character" w:customStyle="1" w:styleId="SpecialBold">
    <w:name w:val="Special Bold"/>
    <w:basedOn w:val="DefaultParagraphFont"/>
    <w:rsid w:val="006C39D5"/>
    <w:rPr>
      <w:b/>
      <w:spacing w:val="0"/>
    </w:rPr>
  </w:style>
  <w:style w:type="paragraph" w:styleId="ListBullet2">
    <w:name w:val="List Bullet 2"/>
    <w:basedOn w:val="List2"/>
    <w:rsid w:val="006C39D5"/>
    <w:pPr>
      <w:numPr>
        <w:numId w:val="14"/>
      </w:numPr>
      <w:tabs>
        <w:tab w:val="clear" w:pos="680"/>
      </w:tabs>
    </w:pPr>
  </w:style>
  <w:style w:type="character" w:styleId="Emphasis">
    <w:name w:val="Emphasis"/>
    <w:basedOn w:val="DefaultParagraphFont"/>
    <w:qFormat/>
    <w:rsid w:val="006C39D5"/>
    <w:rPr>
      <w:i/>
    </w:rPr>
  </w:style>
  <w:style w:type="paragraph" w:customStyle="1" w:styleId="SuperHeading">
    <w:name w:val="SuperHeading"/>
    <w:basedOn w:val="Normal"/>
    <w:rsid w:val="006C39D5"/>
    <w:pPr>
      <w:spacing w:before="240" w:after="120"/>
      <w:outlineLvl w:val="0"/>
    </w:pPr>
    <w:rPr>
      <w:rFonts w:ascii="Times New Roman" w:hAnsi="Times New Roman"/>
      <w:b/>
      <w:sz w:val="28"/>
    </w:rPr>
  </w:style>
  <w:style w:type="paragraph" w:customStyle="1" w:styleId="AllowPageBreak">
    <w:name w:val="AllowPageBreak"/>
    <w:rsid w:val="006C3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C39D5"/>
    <w:rPr>
      <w:u w:val="single"/>
    </w:rPr>
  </w:style>
  <w:style w:type="character" w:customStyle="1" w:styleId="BoldandItalics">
    <w:name w:val="Bold and Italics"/>
    <w:qFormat/>
    <w:rsid w:val="006C39D5"/>
    <w:rPr>
      <w:b/>
      <w:i/>
      <w:u w:val="none"/>
    </w:rPr>
  </w:style>
  <w:style w:type="character" w:customStyle="1" w:styleId="Heading2Char">
    <w:name w:val="Heading 2 Char"/>
    <w:basedOn w:val="DefaultParagraphFont"/>
    <w:link w:val="Heading2"/>
    <w:rsid w:val="006C3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9D5"/>
    <w:rPr>
      <w:rFonts w:ascii="Courier New" w:eastAsia="Times New Roman" w:hAnsi="Courier New" w:cs="Times New Roman"/>
      <w:i/>
      <w:szCs w:val="20"/>
      <w:lang w:eastAsia="en-US"/>
    </w:rPr>
  </w:style>
  <w:style w:type="paragraph" w:customStyle="1" w:styleId="HeadingBase">
    <w:name w:val="Heading Base"/>
    <w:rsid w:val="006C3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9D5"/>
    <w:pPr>
      <w:tabs>
        <w:tab w:val="right" w:leader="dot" w:pos="9072"/>
      </w:tabs>
      <w:ind w:left="567"/>
    </w:pPr>
    <w:rPr>
      <w:szCs w:val="22"/>
    </w:rPr>
  </w:style>
  <w:style w:type="paragraph" w:customStyle="1" w:styleId="TOCBase">
    <w:name w:val="TOC Base"/>
    <w:rsid w:val="006C3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9D5"/>
    <w:pPr>
      <w:tabs>
        <w:tab w:val="right" w:leader="dot" w:pos="9072"/>
      </w:tabs>
      <w:spacing w:before="40" w:after="40"/>
      <w:ind w:left="284"/>
    </w:pPr>
    <w:rPr>
      <w:rFonts w:ascii="Times New Roman" w:hAnsi="Times New Roman"/>
    </w:rPr>
  </w:style>
  <w:style w:type="paragraph" w:styleId="TOC1">
    <w:name w:val="toc 1"/>
    <w:basedOn w:val="TOCBase"/>
    <w:next w:val="Normal"/>
    <w:rsid w:val="006C3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9D5"/>
    <w:pPr>
      <w:spacing w:before="5040"/>
      <w:jc w:val="center"/>
    </w:pPr>
    <w:rPr>
      <w:sz w:val="48"/>
      <w:szCs w:val="72"/>
      <w:lang w:val="en-US"/>
    </w:rPr>
  </w:style>
  <w:style w:type="character" w:customStyle="1" w:styleId="TitleChar">
    <w:name w:val="Title Char"/>
    <w:basedOn w:val="DefaultParagraphFont"/>
    <w:link w:val="Title"/>
    <w:rsid w:val="006C3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9D5"/>
    <w:pPr>
      <w:tabs>
        <w:tab w:val="left" w:pos="3600"/>
        <w:tab w:val="left" w:pos="3958"/>
      </w:tabs>
    </w:pPr>
  </w:style>
  <w:style w:type="paragraph" w:customStyle="1" w:styleId="Note">
    <w:name w:val="Note"/>
    <w:basedOn w:val="BodyText"/>
    <w:rsid w:val="006C3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9D5"/>
    <w:pPr>
      <w:framePr w:wrap="auto" w:hAnchor="text" w:y="6049"/>
    </w:pPr>
    <w:rPr>
      <w:color w:val="000000"/>
      <w:sz w:val="40"/>
    </w:rPr>
  </w:style>
  <w:style w:type="paragraph" w:customStyle="1" w:styleId="TOCTitle">
    <w:name w:val="TOCTitle"/>
    <w:basedOn w:val="Heading1"/>
    <w:rsid w:val="006C39D5"/>
    <w:pPr>
      <w:spacing w:after="240"/>
      <w:jc w:val="center"/>
      <w:outlineLvl w:val="9"/>
    </w:pPr>
    <w:rPr>
      <w:caps/>
    </w:rPr>
  </w:style>
  <w:style w:type="paragraph" w:customStyle="1" w:styleId="Version">
    <w:name w:val="Version"/>
    <w:rsid w:val="006C3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9D5"/>
    <w:pPr>
      <w:keepNext w:val="0"/>
      <w:tabs>
        <w:tab w:val="right" w:pos="4176"/>
      </w:tabs>
      <w:ind w:left="198" w:hanging="198"/>
    </w:pPr>
    <w:rPr>
      <w:rFonts w:ascii="Garamond" w:hAnsi="Garamond"/>
    </w:rPr>
  </w:style>
  <w:style w:type="paragraph" w:styleId="IndexHeading">
    <w:name w:val="index heading"/>
    <w:basedOn w:val="Normal"/>
    <w:next w:val="Index1"/>
    <w:semiHidden/>
    <w:rsid w:val="006C39D5"/>
    <w:pPr>
      <w:spacing w:before="120" w:after="120"/>
    </w:pPr>
    <w:rPr>
      <w:rFonts w:ascii="Arial" w:hAnsi="Arial"/>
      <w:b/>
      <w:color w:val="918585"/>
      <w:sz w:val="24"/>
    </w:rPr>
  </w:style>
  <w:style w:type="paragraph" w:styleId="Header">
    <w:name w:val="header"/>
    <w:basedOn w:val="Normal"/>
    <w:link w:val="HeaderChar"/>
    <w:rsid w:val="006C3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9D5"/>
    <w:rPr>
      <w:rFonts w:ascii="Times New Roman" w:eastAsia="Times New Roman" w:hAnsi="Times New Roman" w:cs="Times New Roman"/>
      <w:sz w:val="16"/>
      <w:szCs w:val="20"/>
      <w:lang w:val="en-GB" w:eastAsia="en-US"/>
    </w:rPr>
  </w:style>
  <w:style w:type="paragraph" w:customStyle="1" w:styleId="Chapter">
    <w:name w:val="Chapter"/>
    <w:basedOn w:val="Normal"/>
    <w:rsid w:val="006C39D5"/>
    <w:pPr>
      <w:spacing w:before="240"/>
    </w:pPr>
    <w:rPr>
      <w:rFonts w:ascii="Times New Roman" w:hAnsi="Times New Roman"/>
      <w:smallCaps/>
      <w:spacing w:val="80"/>
      <w:sz w:val="28"/>
    </w:rPr>
  </w:style>
  <w:style w:type="paragraph" w:customStyle="1" w:styleId="InChapter">
    <w:name w:val="InChapter"/>
    <w:basedOn w:val="Heading3"/>
    <w:rsid w:val="006C39D5"/>
    <w:pPr>
      <w:spacing w:after="240"/>
      <w:outlineLvl w:val="9"/>
    </w:pPr>
    <w:rPr>
      <w:noProof/>
    </w:rPr>
  </w:style>
  <w:style w:type="paragraph" w:styleId="Index2">
    <w:name w:val="index 2"/>
    <w:basedOn w:val="Normal"/>
    <w:next w:val="Normal"/>
    <w:semiHidden/>
    <w:rsid w:val="006C39D5"/>
    <w:pPr>
      <w:tabs>
        <w:tab w:val="right" w:pos="4176"/>
      </w:tabs>
      <w:ind w:left="568" w:hanging="284"/>
    </w:pPr>
    <w:rPr>
      <w:rFonts w:ascii="Garamond" w:hAnsi="Garamond"/>
    </w:rPr>
  </w:style>
  <w:style w:type="paragraph" w:customStyle="1" w:styleId="Byline">
    <w:name w:val="Byline"/>
    <w:rsid w:val="006C3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9D5"/>
    <w:pPr>
      <w:tabs>
        <w:tab w:val="clear" w:pos="3600"/>
        <w:tab w:val="clear" w:pos="3958"/>
      </w:tabs>
      <w:jc w:val="right"/>
    </w:pPr>
  </w:style>
  <w:style w:type="paragraph" w:styleId="Caption">
    <w:name w:val="caption"/>
    <w:basedOn w:val="BodyText"/>
    <w:next w:val="Normal"/>
    <w:qFormat/>
    <w:rsid w:val="006C39D5"/>
    <w:pPr>
      <w:framePr w:w="2268" w:hSpace="181" w:vSpace="181" w:wrap="around" w:vAnchor="text" w:hAnchor="page" w:x="1135" w:y="285" w:anchorLock="1"/>
    </w:pPr>
    <w:rPr>
      <w:i/>
    </w:rPr>
  </w:style>
  <w:style w:type="paragraph" w:customStyle="1" w:styleId="MiniTOCTitle">
    <w:name w:val="MiniTOCTitle"/>
    <w:basedOn w:val="Heading4"/>
    <w:rsid w:val="006C39D5"/>
    <w:pPr>
      <w:spacing w:before="240"/>
      <w:outlineLvl w:val="9"/>
    </w:pPr>
    <w:rPr>
      <w:noProof/>
      <w:sz w:val="24"/>
    </w:rPr>
  </w:style>
  <w:style w:type="paragraph" w:customStyle="1" w:styleId="MiniTOCItem">
    <w:name w:val="MiniTOCItem"/>
    <w:basedOn w:val="ListBullet"/>
    <w:rsid w:val="006C39D5"/>
    <w:pPr>
      <w:numPr>
        <w:numId w:val="0"/>
      </w:numPr>
      <w:tabs>
        <w:tab w:val="right" w:leader="dot" w:pos="6521"/>
      </w:tabs>
      <w:spacing w:before="0" w:after="0"/>
    </w:pPr>
  </w:style>
  <w:style w:type="paragraph" w:customStyle="1" w:styleId="TOFTitle">
    <w:name w:val="TOFTitle"/>
    <w:basedOn w:val="TOCTitle"/>
    <w:rsid w:val="006C39D5"/>
  </w:style>
  <w:style w:type="paragraph" w:styleId="TableofFigures">
    <w:name w:val="table of figures"/>
    <w:basedOn w:val="Normal"/>
    <w:next w:val="Normal"/>
    <w:semiHidden/>
    <w:rsid w:val="006C39D5"/>
    <w:pPr>
      <w:tabs>
        <w:tab w:val="right" w:leader="dot" w:pos="9072"/>
      </w:tabs>
      <w:ind w:left="970" w:hanging="403"/>
    </w:pPr>
    <w:rPr>
      <w:rFonts w:ascii="Times New Roman" w:hAnsi="Times New Roman"/>
      <w:b/>
    </w:rPr>
  </w:style>
  <w:style w:type="paragraph" w:styleId="ListNumber">
    <w:name w:val="List Number"/>
    <w:basedOn w:val="List"/>
    <w:rsid w:val="006C39D5"/>
    <w:pPr>
      <w:numPr>
        <w:numId w:val="11"/>
      </w:numPr>
    </w:pPr>
  </w:style>
  <w:style w:type="character" w:customStyle="1" w:styleId="WingdingSymbols">
    <w:name w:val="Wingding Symbols"/>
    <w:rsid w:val="006C39D5"/>
    <w:rPr>
      <w:rFonts w:ascii="Wingdings" w:hAnsi="Wingdings"/>
    </w:rPr>
  </w:style>
  <w:style w:type="paragraph" w:customStyle="1" w:styleId="TableHeading">
    <w:name w:val="Table Heading"/>
    <w:basedOn w:val="HeadingBase"/>
    <w:rsid w:val="006C39D5"/>
    <w:pPr>
      <w:keepLines/>
      <w:pBdr>
        <w:bottom w:val="single" w:sz="6" w:space="1" w:color="918585"/>
      </w:pBdr>
      <w:spacing w:before="240"/>
    </w:pPr>
  </w:style>
  <w:style w:type="character" w:customStyle="1" w:styleId="HotSpot">
    <w:name w:val="HotSpot"/>
    <w:rsid w:val="006C39D5"/>
    <w:rPr>
      <w:color w:val="0033CC"/>
      <w:u w:val="none"/>
    </w:rPr>
  </w:style>
  <w:style w:type="paragraph" w:customStyle="1" w:styleId="BodyTextRight">
    <w:name w:val="Body Text Right"/>
    <w:basedOn w:val="BodyText"/>
    <w:rsid w:val="006C39D5"/>
    <w:pPr>
      <w:spacing w:before="0" w:after="0"/>
      <w:jc w:val="right"/>
    </w:pPr>
  </w:style>
  <w:style w:type="paragraph" w:styleId="Index3">
    <w:name w:val="index 3"/>
    <w:basedOn w:val="ListNumber2"/>
    <w:next w:val="Normal"/>
    <w:semiHidden/>
    <w:rsid w:val="006C39D5"/>
    <w:pPr>
      <w:numPr>
        <w:numId w:val="0"/>
      </w:numPr>
      <w:tabs>
        <w:tab w:val="right" w:leader="dot" w:pos="4176"/>
      </w:tabs>
    </w:pPr>
  </w:style>
  <w:style w:type="paragraph" w:styleId="ListNumber2">
    <w:name w:val="List Number 2"/>
    <w:basedOn w:val="List2"/>
    <w:rsid w:val="006C39D5"/>
    <w:pPr>
      <w:numPr>
        <w:numId w:val="10"/>
      </w:numPr>
      <w:tabs>
        <w:tab w:val="clear" w:pos="1060"/>
      </w:tabs>
    </w:pPr>
  </w:style>
  <w:style w:type="paragraph" w:customStyle="1" w:styleId="MarginNote">
    <w:name w:val="Margin Note"/>
    <w:basedOn w:val="BodyText"/>
    <w:rsid w:val="006C3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9D5"/>
    <w:rPr>
      <w:sz w:val="32"/>
    </w:rPr>
  </w:style>
  <w:style w:type="paragraph" w:customStyle="1" w:styleId="HeadingProcedure">
    <w:name w:val="Heading Procedure"/>
    <w:basedOn w:val="HeadingBase"/>
    <w:next w:val="Normal"/>
    <w:rsid w:val="006C39D5"/>
    <w:pPr>
      <w:tabs>
        <w:tab w:val="left" w:pos="0"/>
      </w:tabs>
      <w:spacing w:before="120" w:after="60"/>
    </w:pPr>
    <w:rPr>
      <w:i/>
      <w:color w:val="918585"/>
      <w:sz w:val="22"/>
    </w:rPr>
  </w:style>
  <w:style w:type="paragraph" w:customStyle="1" w:styleId="TableBodyText">
    <w:name w:val="Table Body Text"/>
    <w:basedOn w:val="BodyText"/>
    <w:rsid w:val="006C39D5"/>
    <w:pPr>
      <w:spacing w:before="60" w:after="60"/>
    </w:pPr>
  </w:style>
  <w:style w:type="paragraph" w:styleId="ListContinue">
    <w:name w:val="List Continue"/>
    <w:basedOn w:val="List"/>
    <w:rsid w:val="006C39D5"/>
    <w:pPr>
      <w:ind w:firstLine="0"/>
    </w:pPr>
  </w:style>
  <w:style w:type="paragraph" w:customStyle="1" w:styleId="ListNote">
    <w:name w:val="List Note"/>
    <w:basedOn w:val="List"/>
    <w:rsid w:val="006C39D5"/>
    <w:pPr>
      <w:pBdr>
        <w:top w:val="single" w:sz="6" w:space="2" w:color="918585"/>
        <w:bottom w:val="single" w:sz="6" w:space="2" w:color="918585"/>
      </w:pBdr>
      <w:tabs>
        <w:tab w:val="left" w:pos="1021"/>
      </w:tabs>
      <w:ind w:firstLine="0"/>
    </w:pPr>
  </w:style>
  <w:style w:type="paragraph" w:customStyle="1" w:styleId="Warning">
    <w:name w:val="Warning"/>
    <w:basedOn w:val="BodyText"/>
    <w:rsid w:val="006C39D5"/>
    <w:pPr>
      <w:shd w:val="clear" w:color="auto" w:fill="D9D9D9"/>
      <w:tabs>
        <w:tab w:val="left" w:pos="992"/>
      </w:tabs>
      <w:ind w:left="119" w:right="119"/>
    </w:pPr>
    <w:rPr>
      <w:sz w:val="20"/>
    </w:rPr>
  </w:style>
  <w:style w:type="paragraph" w:customStyle="1" w:styleId="MarginIcons">
    <w:name w:val="Margin Icons"/>
    <w:basedOn w:val="BodyText"/>
    <w:rsid w:val="006C3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9D5"/>
    <w:rPr>
      <w:rFonts w:ascii="Courier New" w:hAnsi="Courier New"/>
    </w:rPr>
  </w:style>
  <w:style w:type="paragraph" w:customStyle="1" w:styleId="NoteBullet">
    <w:name w:val="Note Bullet"/>
    <w:basedOn w:val="Note"/>
    <w:rsid w:val="006C39D5"/>
    <w:pPr>
      <w:tabs>
        <w:tab w:val="clear" w:pos="680"/>
      </w:tabs>
      <w:spacing w:before="60" w:after="60"/>
    </w:pPr>
  </w:style>
  <w:style w:type="paragraph" w:customStyle="1" w:styleId="SubHeading2">
    <w:name w:val="SubHeading2"/>
    <w:basedOn w:val="HeadingBase"/>
    <w:rsid w:val="006C39D5"/>
    <w:pPr>
      <w:spacing w:before="240" w:after="60"/>
    </w:pPr>
    <w:rPr>
      <w:sz w:val="20"/>
    </w:rPr>
  </w:style>
  <w:style w:type="paragraph" w:customStyle="1" w:styleId="SubHeading1">
    <w:name w:val="SubHeading1"/>
    <w:basedOn w:val="HeadingBase"/>
    <w:rsid w:val="006C39D5"/>
    <w:pPr>
      <w:spacing w:before="240" w:after="60"/>
    </w:pPr>
    <w:rPr>
      <w:color w:val="918585"/>
      <w:sz w:val="22"/>
    </w:rPr>
  </w:style>
  <w:style w:type="paragraph" w:customStyle="1" w:styleId="SideHeading">
    <w:name w:val="Side Heading"/>
    <w:basedOn w:val="HeadingBase"/>
    <w:rsid w:val="006C3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9D5"/>
    <w:pPr>
      <w:numPr>
        <w:numId w:val="12"/>
      </w:numPr>
    </w:pPr>
  </w:style>
  <w:style w:type="paragraph" w:styleId="PlainText">
    <w:name w:val="Plain Text"/>
    <w:basedOn w:val="Normal"/>
    <w:link w:val="PlainTextChar"/>
    <w:rsid w:val="006C39D5"/>
    <w:rPr>
      <w:sz w:val="20"/>
    </w:rPr>
  </w:style>
  <w:style w:type="character" w:customStyle="1" w:styleId="PlainTextChar">
    <w:name w:val="Plain Text Char"/>
    <w:basedOn w:val="DefaultParagraphFont"/>
    <w:link w:val="PlainText"/>
    <w:rsid w:val="006C39D5"/>
    <w:rPr>
      <w:rFonts w:ascii="Courier New" w:eastAsia="Times New Roman" w:hAnsi="Courier New" w:cs="Times New Roman"/>
      <w:sz w:val="20"/>
      <w:szCs w:val="20"/>
      <w:lang w:eastAsia="en-US"/>
    </w:rPr>
  </w:style>
  <w:style w:type="character" w:customStyle="1" w:styleId="MenuOption">
    <w:name w:val="Menu Option"/>
    <w:basedOn w:val="DefaultParagraphFont"/>
    <w:rsid w:val="006C39D5"/>
    <w:rPr>
      <w:b/>
      <w:smallCaps/>
    </w:rPr>
  </w:style>
  <w:style w:type="paragraph" w:customStyle="1" w:styleId="TableListNumber">
    <w:name w:val="Table List Number"/>
    <w:basedOn w:val="ListNumber"/>
    <w:rsid w:val="006C39D5"/>
    <w:pPr>
      <w:numPr>
        <w:numId w:val="0"/>
      </w:numPr>
    </w:pPr>
  </w:style>
  <w:style w:type="paragraph" w:styleId="TOC4">
    <w:name w:val="toc 4"/>
    <w:basedOn w:val="TOCBase"/>
    <w:next w:val="Normal"/>
    <w:semiHidden/>
    <w:rsid w:val="006C39D5"/>
    <w:pPr>
      <w:tabs>
        <w:tab w:val="right" w:leader="dot" w:pos="9071"/>
      </w:tabs>
      <w:ind w:left="1701"/>
    </w:pPr>
  </w:style>
  <w:style w:type="paragraph" w:customStyle="1" w:styleId="ListAlpha">
    <w:name w:val="List Alpha"/>
    <w:basedOn w:val="List"/>
    <w:rsid w:val="006C39D5"/>
    <w:pPr>
      <w:numPr>
        <w:numId w:val="9"/>
      </w:numPr>
    </w:pPr>
  </w:style>
  <w:style w:type="paragraph" w:customStyle="1" w:styleId="ListAlpha2">
    <w:name w:val="List Alpha 2"/>
    <w:basedOn w:val="List2"/>
    <w:rsid w:val="006C39D5"/>
    <w:pPr>
      <w:numPr>
        <w:numId w:val="8"/>
      </w:numPr>
    </w:pPr>
  </w:style>
  <w:style w:type="paragraph" w:styleId="List2">
    <w:name w:val="List 2"/>
    <w:basedOn w:val="BodyText"/>
    <w:rsid w:val="006C39D5"/>
    <w:pPr>
      <w:tabs>
        <w:tab w:val="left" w:pos="680"/>
      </w:tabs>
      <w:spacing w:before="60" w:after="60"/>
      <w:ind w:left="680" w:hanging="340"/>
    </w:pPr>
  </w:style>
  <w:style w:type="paragraph" w:styleId="List3">
    <w:name w:val="List 3"/>
    <w:basedOn w:val="BodyText"/>
    <w:rsid w:val="006C39D5"/>
    <w:pPr>
      <w:tabs>
        <w:tab w:val="left" w:pos="1021"/>
      </w:tabs>
      <w:spacing w:before="60" w:after="60"/>
      <w:ind w:left="1020" w:hanging="340"/>
    </w:pPr>
  </w:style>
  <w:style w:type="paragraph" w:styleId="List4">
    <w:name w:val="List 4"/>
    <w:basedOn w:val="BodyText"/>
    <w:rsid w:val="006C39D5"/>
    <w:pPr>
      <w:tabs>
        <w:tab w:val="left" w:pos="1361"/>
      </w:tabs>
      <w:spacing w:before="60" w:after="60"/>
      <w:ind w:left="1361" w:hanging="340"/>
    </w:pPr>
  </w:style>
  <w:style w:type="paragraph" w:styleId="List5">
    <w:name w:val="List 5"/>
    <w:basedOn w:val="BodyText"/>
    <w:rsid w:val="006C39D5"/>
    <w:pPr>
      <w:tabs>
        <w:tab w:val="left" w:pos="1701"/>
      </w:tabs>
      <w:spacing w:before="60" w:after="60"/>
      <w:ind w:left="1701" w:hanging="340"/>
    </w:pPr>
  </w:style>
  <w:style w:type="paragraph" w:styleId="ListBullet3">
    <w:name w:val="List Bullet 3"/>
    <w:basedOn w:val="List3"/>
    <w:rsid w:val="006C39D5"/>
    <w:pPr>
      <w:numPr>
        <w:numId w:val="15"/>
      </w:numPr>
      <w:tabs>
        <w:tab w:val="clear" w:pos="1021"/>
      </w:tabs>
      <w:ind w:left="1037" w:hanging="357"/>
    </w:pPr>
  </w:style>
  <w:style w:type="paragraph" w:styleId="ListBullet4">
    <w:name w:val="List Bullet 4"/>
    <w:basedOn w:val="List4"/>
    <w:rsid w:val="006C39D5"/>
    <w:pPr>
      <w:numPr>
        <w:numId w:val="3"/>
      </w:numPr>
    </w:pPr>
  </w:style>
  <w:style w:type="paragraph" w:styleId="ListBullet5">
    <w:name w:val="List Bullet 5"/>
    <w:basedOn w:val="List5"/>
    <w:rsid w:val="006C39D5"/>
    <w:pPr>
      <w:numPr>
        <w:numId w:val="4"/>
      </w:numPr>
    </w:pPr>
  </w:style>
  <w:style w:type="paragraph" w:styleId="ListContinue2">
    <w:name w:val="List Continue 2"/>
    <w:basedOn w:val="List2"/>
    <w:rsid w:val="006C39D5"/>
    <w:pPr>
      <w:ind w:firstLine="0"/>
    </w:pPr>
  </w:style>
  <w:style w:type="paragraph" w:styleId="ListContinue3">
    <w:name w:val="List Continue 3"/>
    <w:basedOn w:val="List3"/>
    <w:rsid w:val="006C39D5"/>
    <w:pPr>
      <w:ind w:left="1021" w:firstLine="0"/>
    </w:pPr>
  </w:style>
  <w:style w:type="paragraph" w:styleId="ListContinue4">
    <w:name w:val="List Continue 4"/>
    <w:basedOn w:val="List4"/>
    <w:rsid w:val="006C39D5"/>
    <w:pPr>
      <w:ind w:firstLine="0"/>
    </w:pPr>
  </w:style>
  <w:style w:type="paragraph" w:styleId="ListContinue5">
    <w:name w:val="List Continue 5"/>
    <w:basedOn w:val="List5"/>
    <w:rsid w:val="006C39D5"/>
    <w:pPr>
      <w:ind w:firstLine="0"/>
    </w:pPr>
  </w:style>
  <w:style w:type="paragraph" w:styleId="ListNumber3">
    <w:name w:val="List Number 3"/>
    <w:basedOn w:val="List3"/>
    <w:rsid w:val="006C39D5"/>
    <w:pPr>
      <w:numPr>
        <w:numId w:val="5"/>
      </w:numPr>
    </w:pPr>
  </w:style>
  <w:style w:type="paragraph" w:styleId="ListNumber4">
    <w:name w:val="List Number 4"/>
    <w:basedOn w:val="List4"/>
    <w:rsid w:val="006C39D5"/>
    <w:pPr>
      <w:numPr>
        <w:numId w:val="6"/>
      </w:numPr>
    </w:pPr>
  </w:style>
  <w:style w:type="paragraph" w:styleId="ListNumber5">
    <w:name w:val="List Number 5"/>
    <w:basedOn w:val="List5"/>
    <w:rsid w:val="006C39D5"/>
    <w:pPr>
      <w:numPr>
        <w:numId w:val="7"/>
      </w:numPr>
    </w:pPr>
  </w:style>
  <w:style w:type="paragraph" w:styleId="BlockText">
    <w:name w:val="Block Text"/>
    <w:basedOn w:val="Normal"/>
    <w:rsid w:val="006C39D5"/>
    <w:pPr>
      <w:spacing w:after="120"/>
      <w:ind w:left="1440" w:right="1440"/>
    </w:pPr>
  </w:style>
  <w:style w:type="character" w:customStyle="1" w:styleId="Subscript">
    <w:name w:val="Subscript"/>
    <w:basedOn w:val="DefaultParagraphFont"/>
    <w:rsid w:val="006C39D5"/>
    <w:rPr>
      <w:sz w:val="16"/>
      <w:vertAlign w:val="subscript"/>
    </w:rPr>
  </w:style>
  <w:style w:type="character" w:customStyle="1" w:styleId="Superscript">
    <w:name w:val="Superscript"/>
    <w:basedOn w:val="DefaultParagraphFont"/>
    <w:rsid w:val="006C39D5"/>
    <w:rPr>
      <w:sz w:val="16"/>
      <w:vertAlign w:val="superscript"/>
    </w:rPr>
  </w:style>
  <w:style w:type="character" w:customStyle="1" w:styleId="Symbols">
    <w:name w:val="Symbols"/>
    <w:basedOn w:val="DefaultParagraphFont"/>
    <w:rsid w:val="006C39D5"/>
    <w:rPr>
      <w:rFonts w:ascii="Symbol" w:hAnsi="Symbol"/>
    </w:rPr>
  </w:style>
  <w:style w:type="character" w:customStyle="1" w:styleId="MenuOptions">
    <w:name w:val="Menu Options"/>
    <w:basedOn w:val="DefaultParagraphFont"/>
    <w:rsid w:val="006C39D5"/>
    <w:rPr>
      <w:rFonts w:ascii="Arial Narrow" w:hAnsi="Arial Narrow"/>
      <w:smallCaps/>
    </w:rPr>
  </w:style>
  <w:style w:type="character" w:customStyle="1" w:styleId="Buttons">
    <w:name w:val="Buttons"/>
    <w:basedOn w:val="DefaultParagraphFont"/>
    <w:rsid w:val="006C39D5"/>
    <w:rPr>
      <w:b/>
    </w:rPr>
  </w:style>
  <w:style w:type="character" w:customStyle="1" w:styleId="Underlined">
    <w:name w:val="Underlined"/>
    <w:basedOn w:val="DefaultParagraphFont"/>
    <w:rsid w:val="006C39D5"/>
    <w:rPr>
      <w:u w:val="single"/>
    </w:rPr>
  </w:style>
  <w:style w:type="paragraph" w:customStyle="1" w:styleId="TableBodyTextRight">
    <w:name w:val="Table Body Text Right"/>
    <w:basedOn w:val="TableBodyText"/>
    <w:rsid w:val="006C39D5"/>
    <w:pPr>
      <w:widowControl w:val="0"/>
      <w:autoSpaceDE w:val="0"/>
      <w:autoSpaceDN w:val="0"/>
      <w:adjustRightInd w:val="0"/>
      <w:jc w:val="right"/>
    </w:pPr>
    <w:rPr>
      <w:rFonts w:cs="Arial"/>
      <w:szCs w:val="18"/>
    </w:rPr>
  </w:style>
  <w:style w:type="paragraph" w:customStyle="1" w:styleId="CopyrightText">
    <w:name w:val="Copyright Text"/>
    <w:basedOn w:val="BodyText"/>
    <w:rsid w:val="006C39D5"/>
    <w:rPr>
      <w:sz w:val="18"/>
    </w:rPr>
  </w:style>
  <w:style w:type="paragraph" w:customStyle="1" w:styleId="BodySmallRight">
    <w:name w:val="Body Small Right"/>
    <w:basedOn w:val="BodyTextRight"/>
    <w:rsid w:val="006C39D5"/>
    <w:rPr>
      <w:sz w:val="18"/>
      <w:szCs w:val="18"/>
    </w:rPr>
  </w:style>
  <w:style w:type="paragraph" w:customStyle="1" w:styleId="MarginEdition">
    <w:name w:val="Margin Edition"/>
    <w:basedOn w:val="MarginNote"/>
    <w:rsid w:val="006C39D5"/>
    <w:pPr>
      <w:spacing w:before="0" w:after="0"/>
    </w:pPr>
    <w:rPr>
      <w:rFonts w:ascii="Times New Roman" w:hAnsi="Times New Roman"/>
      <w:color w:val="999999"/>
    </w:rPr>
  </w:style>
  <w:style w:type="paragraph" w:customStyle="1" w:styleId="Spacer">
    <w:name w:val="Spacer"/>
    <w:basedOn w:val="Normal"/>
    <w:rsid w:val="006C39D5"/>
    <w:rPr>
      <w:sz w:val="2"/>
      <w:szCs w:val="2"/>
    </w:rPr>
  </w:style>
  <w:style w:type="character" w:customStyle="1" w:styleId="Small">
    <w:name w:val="Small"/>
    <w:basedOn w:val="DefaultParagraphFont"/>
    <w:rsid w:val="006C39D5"/>
    <w:rPr>
      <w:sz w:val="16"/>
    </w:rPr>
  </w:style>
  <w:style w:type="paragraph" w:customStyle="1" w:styleId="WideTable">
    <w:name w:val="Wide Table"/>
    <w:basedOn w:val="Normal"/>
    <w:rsid w:val="006C39D5"/>
    <w:pPr>
      <w:ind w:left="-1418"/>
    </w:pPr>
    <w:rPr>
      <w:sz w:val="2"/>
      <w:szCs w:val="2"/>
    </w:rPr>
  </w:style>
  <w:style w:type="character" w:styleId="PageNumber">
    <w:name w:val="page number"/>
    <w:basedOn w:val="DefaultParagraphFont"/>
    <w:rsid w:val="006C39D5"/>
  </w:style>
  <w:style w:type="paragraph" w:styleId="Quote">
    <w:name w:val="Quote"/>
    <w:basedOn w:val="Heading1"/>
    <w:link w:val="QuoteChar"/>
    <w:qFormat/>
    <w:rsid w:val="006C39D5"/>
    <w:rPr>
      <w:b w:val="0"/>
      <w:sz w:val="72"/>
      <w:szCs w:val="72"/>
      <w:lang w:val="en-NZ"/>
    </w:rPr>
  </w:style>
  <w:style w:type="character" w:customStyle="1" w:styleId="QuoteChar">
    <w:name w:val="Quote Char"/>
    <w:basedOn w:val="DefaultParagraphFont"/>
    <w:link w:val="Quote"/>
    <w:rsid w:val="006C3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9D5"/>
    <w:pPr>
      <w:pageBreakBefore/>
    </w:pPr>
  </w:style>
  <w:style w:type="paragraph" w:customStyle="1" w:styleId="Border">
    <w:name w:val="Border"/>
    <w:basedOn w:val="Normal"/>
    <w:qFormat/>
    <w:rsid w:val="006C3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9D5"/>
    <w:rPr>
      <w:b/>
      <w:bCs/>
      <w:i/>
      <w:iCs/>
      <w:color w:val="auto"/>
    </w:rPr>
  </w:style>
  <w:style w:type="paragraph" w:styleId="IntenseQuote">
    <w:name w:val="Intense Quote"/>
    <w:basedOn w:val="Normal"/>
    <w:next w:val="Normal"/>
    <w:link w:val="IntenseQuoteChar"/>
    <w:uiPriority w:val="30"/>
    <w:qFormat/>
    <w:rsid w:val="006C3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9D5"/>
    <w:rPr>
      <w:smallCaps/>
      <w:color w:val="auto"/>
      <w:u w:val="single"/>
    </w:rPr>
  </w:style>
  <w:style w:type="character" w:styleId="IntenseReference">
    <w:name w:val="Intense Reference"/>
    <w:basedOn w:val="DefaultParagraphFont"/>
    <w:uiPriority w:val="32"/>
    <w:qFormat/>
    <w:rsid w:val="006C39D5"/>
    <w:rPr>
      <w:b/>
      <w:bCs/>
      <w:smallCaps/>
      <w:color w:val="auto"/>
      <w:spacing w:val="5"/>
      <w:u w:val="single"/>
    </w:rPr>
  </w:style>
  <w:style w:type="paragraph" w:customStyle="1" w:styleId="2ColumnHeading">
    <w:name w:val="2Column Heading"/>
    <w:basedOn w:val="BodyText"/>
    <w:qFormat/>
    <w:rsid w:val="006C39D5"/>
    <w:pPr>
      <w:spacing w:after="60"/>
      <w:ind w:left="-2268"/>
    </w:pPr>
    <w:rPr>
      <w:b/>
    </w:rPr>
  </w:style>
  <w:style w:type="paragraph" w:customStyle="1" w:styleId="Heading1TOC">
    <w:name w:val="Heading1 TOC"/>
    <w:basedOn w:val="Normal"/>
    <w:qFormat/>
    <w:rsid w:val="006C39D5"/>
    <w:pPr>
      <w:spacing w:before="240" w:after="120"/>
    </w:pPr>
    <w:rPr>
      <w:rFonts w:ascii="Times New Roman" w:hAnsi="Times New Roman"/>
      <w:b/>
      <w:sz w:val="32"/>
    </w:rPr>
  </w:style>
  <w:style w:type="paragraph" w:customStyle="1" w:styleId="Heading2TOC">
    <w:name w:val="Heading2 TOC"/>
    <w:basedOn w:val="Normal"/>
    <w:qFormat/>
    <w:rsid w:val="006C39D5"/>
    <w:pPr>
      <w:spacing w:before="240" w:after="60"/>
    </w:pPr>
    <w:rPr>
      <w:rFonts w:ascii="Times New Roman" w:hAnsi="Times New Roman"/>
      <w:b/>
      <w:sz w:val="28"/>
    </w:rPr>
  </w:style>
  <w:style w:type="paragraph" w:styleId="BalloonText">
    <w:name w:val="Balloon Text"/>
    <w:basedOn w:val="Normal"/>
    <w:link w:val="BalloonTextChar"/>
    <w:rsid w:val="006C39D5"/>
    <w:rPr>
      <w:rFonts w:ascii="Tahoma" w:hAnsi="Tahoma" w:cs="Tahoma"/>
      <w:sz w:val="16"/>
      <w:szCs w:val="16"/>
    </w:rPr>
  </w:style>
  <w:style w:type="character" w:customStyle="1" w:styleId="BalloonTextChar">
    <w:name w:val="Balloon Text Char"/>
    <w:basedOn w:val="DefaultParagraphFont"/>
    <w:link w:val="BalloonText"/>
    <w:rsid w:val="006C3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9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9D5"/>
    <w:rPr>
      <w:b/>
      <w:color w:val="660033"/>
      <w:spacing w:val="0"/>
    </w:rPr>
  </w:style>
  <w:style w:type="paragraph" w:customStyle="1" w:styleId="Nameditemlist">
    <w:name w:val="Named item list"/>
    <w:basedOn w:val="BodyText"/>
    <w:qFormat/>
    <w:rsid w:val="006C39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8458</Characters>
  <Application>Microsoft Office Word</Application>
  <DocSecurity>0</DocSecurity>
  <Lines>258</Lines>
  <Paragraphs>143</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PSPFRAU605B Review fraud control activities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2012-11-01T18:29:00Z</dcterms:created>
  <dcterms:modified xsi:type="dcterms:W3CDTF">2012-11-01T18:29:00Z</dcterms:modified>
</cp:coreProperties>
</file>