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140" w:rsidP="00363140">
      <w:pPr>
        <w:pStyle w:val="Title"/>
      </w:pPr>
      <w:r>
        <w:fldChar w:fldCharType="begin"/>
      </w:r>
      <w:r>
        <w:instrText xml:space="preserve"> TITLE   \* MERGEFORMAT </w:instrText>
      </w:r>
      <w:r>
        <w:fldChar w:fldCharType="separate"/>
      </w:r>
      <w:r>
        <w:t>PSPFRAU602B Manage fraud risk assessment and action plan</w:t>
      </w:r>
      <w:r>
        <w:fldChar w:fldCharType="end"/>
      </w:r>
    </w:p>
    <w:p w:rsidR="00363140" w:rsidP="00363140">
      <w:pPr>
        <w:pStyle w:val="Version"/>
        <w:sectPr w:rsidSect="000F2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F269D" w:rsidP="000F269D">
      <w:pPr>
        <w:pStyle w:val="SuperHeading"/>
      </w:pPr>
      <w:r w:rsidRPr="000F269D">
        <w:t>PSPFRAU602B Manage fraud risk assessment and action plan</w:t>
      </w:r>
    </w:p>
    <w:p w:rsidR="00000000" w:rsidRPr="000F269D" w:rsidP="000F269D">
      <w:pPr>
        <w:pStyle w:val="SuperHeading"/>
      </w:pPr>
    </w:p>
    <w:p w:rsidR="00000000" w:rsidRPr="000F269D" w:rsidP="000F269D">
      <w:pPr>
        <w:pStyle w:val="Heading1"/>
      </w:pPr>
      <w:bookmarkStart w:id="1" w:name="O_495168"/>
      <w:bookmarkEnd w:id="1"/>
      <w:r w:rsidRPr="000F269D">
        <w:t>Modification History</w:t>
      </w:r>
    </w:p>
    <w:tbl>
      <w:tblPr>
        <w:tblW w:w="0" w:type="auto"/>
        <w:tblLayout w:type="fixed"/>
        <w:tblCellMar>
          <w:left w:w="62" w:type="dxa"/>
          <w:right w:w="62" w:type="dxa"/>
        </w:tblCellMar>
        <w:tblLook w:val="0000"/>
      </w:tblPr>
      <w:tblGrid>
        <w:gridCol w:w="3052"/>
        <w:gridCol w:w="3052"/>
        <w:gridCol w:w="3052"/>
      </w:tblGrid>
      <w:tr w:rsidTr="0036314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69D" w:rsidP="000F269D">
            <w:pPr>
              <w:pStyle w:val="BodyText"/>
            </w:pPr>
            <w:r w:rsidRPr="000F269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69D" w:rsidP="000F269D">
            <w:pPr>
              <w:pStyle w:val="BodyText"/>
            </w:pPr>
            <w:r w:rsidRPr="000F269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rPr>
                <w:rStyle w:val="SpecialBold"/>
              </w:rPr>
              <w:t>Comments</w:t>
            </w:r>
          </w:p>
        </w:tc>
      </w:tr>
      <w:tr w:rsidTr="0036314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t xml:space="preserve">Unit descriptor edited. </w:t>
            </w:r>
          </w:p>
        </w:tc>
      </w:tr>
      <w:tr w:rsidTr="0036314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t>Layout adjusted. No changes to content.</w:t>
            </w:r>
          </w:p>
        </w:tc>
      </w:tr>
      <w:tr w:rsidTr="0036314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69D" w:rsidP="000F269D">
            <w:pPr>
              <w:pStyle w:val="BodyText"/>
            </w:pPr>
            <w:r w:rsidRPr="000F269D">
              <w:t>Primary release.</w:t>
            </w:r>
          </w:p>
        </w:tc>
      </w:tr>
    </w:tbl>
    <w:p w:rsidR="00363140" w:rsidP="000F269D">
      <w:pPr>
        <w:pStyle w:val="BodyText"/>
      </w:pPr>
    </w:p>
    <w:p w:rsidR="00363140" w:rsidP="000F269D">
      <w:pPr>
        <w:pStyle w:val="BodyText"/>
      </w:pPr>
    </w:p>
    <w:p w:rsidR="00000000" w:rsidRPr="000F269D" w:rsidP="000F269D">
      <w:pPr>
        <w:pStyle w:val="Heading1"/>
      </w:pPr>
      <w:bookmarkStart w:id="2" w:name="O_495165"/>
      <w:bookmarkEnd w:id="2"/>
      <w:r w:rsidRPr="000F269D">
        <w:t>Unit Descriptor</w:t>
      </w:r>
    </w:p>
    <w:p w:rsidR="00000000" w:rsidRPr="000F269D" w:rsidP="000F269D">
      <w:pPr>
        <w:pStyle w:val="BodyText"/>
      </w:pPr>
      <w:r w:rsidRPr="000F269D">
        <w:t>This unit covers the management of risk assessment</w:t>
      </w:r>
      <w:r w:rsidRPr="000F269D">
        <w:t xml:space="preserve"> for fraud/corruption, where personnel conducting the risk assessment may be internal staff or consultants. It includes applying organisational philosophy regarding risk, selecting a risk assessment methodology, and establishing reporting and review mechan</w:t>
      </w:r>
      <w:r w:rsidRPr="000F269D">
        <w:t>isms.</w:t>
      </w:r>
    </w:p>
    <w:p w:rsidR="00000000" w:rsidRPr="000F269D" w:rsidP="000F269D">
      <w:pPr>
        <w:pStyle w:val="BodyText"/>
      </w:pPr>
      <w:r w:rsidRPr="000F269D">
        <w:rPr>
          <w:rStyle w:val="Emphasis"/>
        </w:rPr>
        <w:t>Fraud</w:t>
      </w:r>
      <w:r w:rsidRPr="000F269D">
        <w:t xml:space="preserve"> in the unit title incorporates both </w:t>
      </w:r>
      <w:r w:rsidRPr="000F269D">
        <w:rPr>
          <w:rStyle w:val="Emphasis"/>
        </w:rPr>
        <w:t>fraud and corruption</w:t>
      </w:r>
      <w:r w:rsidRPr="000F269D">
        <w:t xml:space="preserve">. </w:t>
      </w:r>
    </w:p>
    <w:p w:rsidR="00000000" w:rsidRPr="000F269D" w:rsidP="000F269D">
      <w:pPr>
        <w:pStyle w:val="BodyText"/>
      </w:pPr>
      <w:r w:rsidRPr="000F269D">
        <w:t>In practice, managing fraud/corruption risk assessment and action plan may overlap with other generalist or specialist public sector workplace activities such as managing compliance wit</w:t>
      </w:r>
      <w:r w:rsidRPr="000F269D">
        <w:t>h legislation and ethics requirements, managing risk, networking, implementing policy, managing change, etc.</w:t>
      </w:r>
    </w:p>
    <w:p w:rsidR="00000000" w:rsidRPr="000F269D" w:rsidP="000F269D">
      <w:pPr>
        <w:pStyle w:val="BodyText"/>
      </w:pPr>
      <w:r w:rsidRPr="000F269D">
        <w:t>This unit replaces and is equivalent to PSPFRAU602A Manage fraud risk assessment and action plan.</w:t>
      </w:r>
    </w:p>
    <w:p w:rsidR="00000000" w:rsidRPr="000F269D" w:rsidP="000F269D">
      <w:pPr>
        <w:pStyle w:val="BodyText"/>
      </w:pPr>
      <w:r w:rsidRPr="000F269D">
        <w:t>No licensing, legislative, regulatory or certific</w:t>
      </w:r>
      <w:r w:rsidRPr="000F269D">
        <w:t>ation requirements apply to this unit at the time of publication</w:t>
      </w:r>
    </w:p>
    <w:p w:rsidR="00000000" w:rsidRPr="000F269D" w:rsidP="000F269D">
      <w:pPr>
        <w:pStyle w:val="AllowPageBreak"/>
      </w:pPr>
    </w:p>
    <w:p w:rsidR="00000000" w:rsidRPr="000F269D" w:rsidP="000F269D">
      <w:pPr>
        <w:pStyle w:val="Heading1"/>
      </w:pPr>
      <w:bookmarkStart w:id="3" w:name="O_495178"/>
      <w:bookmarkEnd w:id="3"/>
      <w:r w:rsidRPr="000F269D">
        <w:t>Application of the Unit</w:t>
      </w:r>
    </w:p>
    <w:p w:rsidR="00000000" w:rsidRPr="000F269D" w:rsidP="000F269D">
      <w:pPr>
        <w:pStyle w:val="BodyText"/>
      </w:pPr>
      <w:r w:rsidRPr="000F269D">
        <w:t>Not applicable.</w:t>
      </w:r>
    </w:p>
    <w:p w:rsidR="00000000" w:rsidRPr="000F269D" w:rsidP="000F269D">
      <w:pPr>
        <w:pStyle w:val="AllowPageBreak"/>
      </w:pPr>
    </w:p>
    <w:p w:rsidR="00000000" w:rsidRPr="000F269D" w:rsidP="000F269D">
      <w:pPr>
        <w:pStyle w:val="Heading1"/>
      </w:pPr>
      <w:bookmarkStart w:id="4" w:name="O_495167"/>
      <w:bookmarkEnd w:id="4"/>
      <w:r w:rsidRPr="000F269D">
        <w:t>Licensing/Regulatory Information</w:t>
      </w:r>
    </w:p>
    <w:p w:rsidR="00000000" w:rsidRPr="000F269D" w:rsidP="000F269D">
      <w:pPr>
        <w:pStyle w:val="BodyText"/>
      </w:pPr>
      <w:r w:rsidRPr="000F269D">
        <w:t>Not applicable.</w:t>
      </w:r>
    </w:p>
    <w:p w:rsidR="00000000" w:rsidRPr="000F269D" w:rsidP="000F269D">
      <w:pPr>
        <w:pStyle w:val="AllowPageBreak"/>
      </w:pPr>
    </w:p>
    <w:p w:rsidR="00000000" w:rsidRPr="000F269D" w:rsidP="000F269D">
      <w:pPr>
        <w:pStyle w:val="Heading1"/>
      </w:pPr>
      <w:bookmarkStart w:id="5" w:name="O_495166"/>
      <w:bookmarkEnd w:id="5"/>
      <w:r w:rsidRPr="000F269D">
        <w:t>Pre-Requisites</w:t>
      </w:r>
    </w:p>
    <w:p w:rsidR="00000000" w:rsidRPr="000F269D" w:rsidP="000F269D">
      <w:pPr>
        <w:pStyle w:val="BodyText"/>
      </w:pPr>
      <w:r w:rsidRPr="000F269D">
        <w:t>Not applicable.</w:t>
      </w:r>
    </w:p>
    <w:p w:rsidR="00000000" w:rsidRPr="000F269D" w:rsidP="000F269D">
      <w:pPr>
        <w:pStyle w:val="AllowPageBreak"/>
      </w:pPr>
    </w:p>
    <w:p w:rsidR="00000000" w:rsidRPr="000F269D" w:rsidP="000F269D">
      <w:pPr>
        <w:pStyle w:val="Heading1"/>
      </w:pPr>
      <w:bookmarkStart w:id="6" w:name="O_495174"/>
      <w:bookmarkEnd w:id="6"/>
      <w:r w:rsidRPr="000F269D">
        <w:t>Employability Skills Information</w:t>
      </w:r>
    </w:p>
    <w:p w:rsidR="00000000" w:rsidRPr="000F269D" w:rsidP="000F269D">
      <w:pPr>
        <w:pStyle w:val="BodyText"/>
      </w:pPr>
      <w:r w:rsidRPr="000F269D">
        <w:t>This unit contains employability skills.</w:t>
      </w:r>
    </w:p>
    <w:p w:rsidR="00000000" w:rsidRPr="000F269D" w:rsidP="000F269D">
      <w:pPr>
        <w:pStyle w:val="AllowPageBreak"/>
      </w:pPr>
    </w:p>
    <w:p w:rsidR="00000000" w:rsidRPr="000F269D" w:rsidP="000F269D">
      <w:pPr>
        <w:pStyle w:val="Heading1"/>
      </w:pPr>
      <w:bookmarkStart w:id="7" w:name="O_495175"/>
      <w:bookmarkEnd w:id="7"/>
      <w:r w:rsidRPr="000F269D">
        <w:t>Elements and Performance Criteria Pre-Content</w:t>
      </w:r>
    </w:p>
    <w:tbl>
      <w:tblPr>
        <w:tblW w:w="9322" w:type="dxa"/>
        <w:tblLayout w:type="fixed"/>
        <w:tblCellMar>
          <w:left w:w="62" w:type="dxa"/>
          <w:right w:w="62" w:type="dxa"/>
        </w:tblCellMar>
        <w:tblLook w:val="0000"/>
      </w:tblPr>
      <w:tblGrid>
        <w:gridCol w:w="2660"/>
        <w:gridCol w:w="6662"/>
      </w:tblGrid>
      <w:tr w:rsidTr="003631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269D">
            <w:pPr>
              <w:pStyle w:val="BodyText"/>
              <w:rPr>
                <w:lang w:val="en-NZ"/>
              </w:rPr>
            </w:pPr>
            <w:r w:rsidRPr="000F269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F269D" w:rsidP="000F269D">
            <w:pPr>
              <w:pStyle w:val="BodyText"/>
            </w:pPr>
            <w:r w:rsidRPr="000F269D">
              <w:t xml:space="preserve">Together, performance criteria specify the requirements </w:t>
            </w:r>
            <w:r w:rsidRPr="000F269D">
              <w:t xml:space="preserve">for competent performance. Text in </w:t>
            </w:r>
            <w:r w:rsidRPr="000F269D">
              <w:rPr>
                <w:rStyle w:val="BoldandItalics"/>
              </w:rPr>
              <w:t>bold italics</w:t>
            </w:r>
            <w:r w:rsidRPr="000F269D">
              <w:t xml:space="preserve">  is explained in the Range Statement following.</w:t>
            </w:r>
          </w:p>
        </w:tc>
      </w:tr>
    </w:tbl>
    <w:p w:rsidR="00000000" w:rsidRPr="000F269D" w:rsidP="000F269D">
      <w:pPr>
        <w:pStyle w:val="BodyText"/>
      </w:pPr>
    </w:p>
    <w:p w:rsidR="00000000" w:rsidRPr="000F269D" w:rsidP="000F269D">
      <w:pPr>
        <w:pStyle w:val="AllowPageBreak"/>
      </w:pPr>
    </w:p>
    <w:p w:rsidR="00000000" w:rsidRPr="000F269D" w:rsidP="000F269D">
      <w:pPr>
        <w:pStyle w:val="Heading1"/>
      </w:pPr>
      <w:bookmarkStart w:id="8" w:name="O_495176"/>
      <w:bookmarkEnd w:id="8"/>
      <w:r w:rsidRPr="000F269D">
        <w:t>Elements and Performance Criteria</w:t>
      </w:r>
    </w:p>
    <w:tbl>
      <w:tblPr>
        <w:tblW w:w="9322" w:type="dxa"/>
        <w:tblLayout w:type="fixed"/>
        <w:tblCellMar>
          <w:left w:w="62" w:type="dxa"/>
          <w:right w:w="62" w:type="dxa"/>
        </w:tblCellMar>
        <w:tblLook w:val="0000"/>
      </w:tblPr>
      <w:tblGrid>
        <w:gridCol w:w="2660"/>
        <w:gridCol w:w="6662"/>
      </w:tblGrid>
      <w:tr w:rsidTr="0036314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F269D" w:rsidP="000F269D">
            <w:pPr>
              <w:pStyle w:val="BodyText"/>
            </w:pPr>
            <w:r w:rsidRPr="000F269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F269D">
            <w:pPr>
              <w:pStyle w:val="BodyText"/>
              <w:rPr>
                <w:lang w:val="en-NZ"/>
              </w:rPr>
            </w:pPr>
            <w:r w:rsidRPr="000F269D">
              <w:rPr>
                <w:rStyle w:val="SpecialBold"/>
              </w:rPr>
              <w:t>PERFORMANCE CRITERIA</w:t>
            </w:r>
          </w:p>
        </w:tc>
      </w:tr>
      <w:tr w:rsidTr="003631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269D">
            <w:pPr>
              <w:pStyle w:val="List"/>
              <w:rPr>
                <w:lang w:val="en-NZ"/>
              </w:rPr>
            </w:pPr>
            <w:r w:rsidRPr="000F269D">
              <w:rPr>
                <w:rStyle w:val="SpecialBold"/>
              </w:rPr>
              <w:t>1</w:t>
            </w:r>
            <w:r w:rsidRPr="000F269D">
              <w:t xml:space="preserve">.  </w:t>
            </w:r>
            <w:r w:rsidRPr="000F269D">
              <w:tab/>
            </w:r>
            <w:r w:rsidRPr="000F269D">
              <w:rPr>
                <w:rStyle w:val="SpecialBold"/>
              </w:rPr>
              <w:t>Apply organisational philosophy regarding risk</w:t>
            </w:r>
          </w:p>
        </w:tc>
        <w:tc>
          <w:tcPr>
            <w:tcW w:w="6662" w:type="dxa"/>
            <w:tcBorders>
              <w:top w:val="nil"/>
              <w:left w:val="nil"/>
              <w:bottom w:val="nil"/>
              <w:right w:val="nil"/>
            </w:tcBorders>
            <w:tcMar>
              <w:top w:w="0" w:type="dxa"/>
              <w:left w:w="62" w:type="dxa"/>
              <w:bottom w:w="0" w:type="dxa"/>
              <w:right w:w="62" w:type="dxa"/>
            </w:tcMar>
          </w:tcPr>
          <w:p w:rsidR="00000000" w:rsidRPr="000F269D" w:rsidP="000F269D">
            <w:pPr>
              <w:pStyle w:val="List"/>
            </w:pPr>
            <w:r w:rsidRPr="000F269D">
              <w:t>1.1</w:t>
            </w:r>
            <w:r w:rsidRPr="000F269D">
              <w:tab/>
            </w:r>
            <w:r w:rsidRPr="000F269D">
              <w:rPr>
                <w:rStyle w:val="BoldandItalics"/>
              </w:rPr>
              <w:t xml:space="preserve">Stakeholders </w:t>
            </w:r>
            <w:r w:rsidRPr="000F269D">
              <w:t xml:space="preserve">are consulted in the management of the fraud/corruption </w:t>
            </w:r>
            <w:r w:rsidRPr="000F269D">
              <w:rPr>
                <w:rStyle w:val="BoldandItalics"/>
              </w:rPr>
              <w:t>risk assessment</w:t>
            </w:r>
            <w:r w:rsidRPr="000F269D">
              <w:t xml:space="preserve"> process.</w:t>
            </w:r>
          </w:p>
          <w:p w:rsidR="00000000" w:rsidP="000F269D">
            <w:pPr>
              <w:pStyle w:val="List"/>
              <w:rPr>
                <w:lang w:val="en-NZ"/>
              </w:rPr>
            </w:pPr>
            <w:r w:rsidRPr="000F269D">
              <w:t>1.2</w:t>
            </w:r>
            <w:r w:rsidRPr="000F269D">
              <w:tab/>
              <w:t>Cultural, ethical and economic perspectives of the organisation are acknowledged and applied when making decisions regarding the development and implementation of the risk</w:t>
            </w:r>
            <w:r w:rsidRPr="000F269D">
              <w:t xml:space="preserve"> assessment process in the organisation.</w:t>
            </w:r>
          </w:p>
        </w:tc>
      </w:tr>
      <w:tr w:rsidTr="003631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269D">
            <w:pPr>
              <w:pStyle w:val="List"/>
              <w:rPr>
                <w:lang w:val="en-NZ"/>
              </w:rPr>
            </w:pPr>
            <w:r w:rsidRPr="000F269D">
              <w:rPr>
                <w:rStyle w:val="SpecialBold"/>
              </w:rPr>
              <w:t>2</w:t>
            </w:r>
            <w:r w:rsidRPr="000F269D">
              <w:t xml:space="preserve">.  </w:t>
            </w:r>
            <w:r w:rsidRPr="000F269D">
              <w:tab/>
            </w:r>
            <w:r w:rsidRPr="000F269D">
              <w:rPr>
                <w:rStyle w:val="SpecialBold"/>
              </w:rPr>
              <w:t>Select risk assessment methodology</w:t>
            </w:r>
          </w:p>
        </w:tc>
        <w:tc>
          <w:tcPr>
            <w:tcW w:w="6662" w:type="dxa"/>
            <w:tcBorders>
              <w:top w:val="nil"/>
              <w:left w:val="nil"/>
              <w:bottom w:val="nil"/>
              <w:right w:val="nil"/>
            </w:tcBorders>
            <w:tcMar>
              <w:top w:w="0" w:type="dxa"/>
              <w:left w:w="62" w:type="dxa"/>
              <w:bottom w:w="0" w:type="dxa"/>
              <w:right w:w="62" w:type="dxa"/>
            </w:tcMar>
          </w:tcPr>
          <w:p w:rsidR="00000000" w:rsidRPr="000F269D" w:rsidP="000F269D">
            <w:pPr>
              <w:pStyle w:val="List"/>
            </w:pPr>
            <w:r w:rsidRPr="000F269D">
              <w:t>2.1</w:t>
            </w:r>
            <w:r w:rsidRPr="000F269D">
              <w:tab/>
              <w:t xml:space="preserve">Selection of risk assessment methodology is based on an evaluation of a range of fraud/corruption risk management techniques, and </w:t>
            </w:r>
            <w:r w:rsidRPr="000F269D">
              <w:rPr>
                <w:rStyle w:val="Emphasis"/>
              </w:rPr>
              <w:t>factors</w:t>
            </w:r>
            <w:r w:rsidRPr="000F269D">
              <w:t xml:space="preserve"> such as the environment, culture</w:t>
            </w:r>
            <w:r w:rsidRPr="000F269D">
              <w:t xml:space="preserve"> and functions of the organisation.</w:t>
            </w:r>
          </w:p>
          <w:p w:rsidR="00000000" w:rsidRPr="000F269D" w:rsidP="000F269D">
            <w:pPr>
              <w:pStyle w:val="List"/>
            </w:pPr>
            <w:r w:rsidRPr="000F269D">
              <w:t>2.2</w:t>
            </w:r>
            <w:r w:rsidRPr="000F269D">
              <w:tab/>
              <w:t xml:space="preserve">Methodology is selected to meet the </w:t>
            </w:r>
            <w:r w:rsidRPr="000F269D">
              <w:rPr>
                <w:rStyle w:val="BoldandItalics"/>
              </w:rPr>
              <w:t>Australian standard for risk management</w:t>
            </w:r>
            <w:r w:rsidRPr="000F269D">
              <w:t>, is compatible with the organisation's environment, culture, structure and core business and is able to be applied across all the organisati</w:t>
            </w:r>
            <w:r w:rsidRPr="000F269D">
              <w:t>on's programs and services.</w:t>
            </w:r>
          </w:p>
          <w:p w:rsidR="00000000" w:rsidP="000F269D">
            <w:pPr>
              <w:pStyle w:val="List"/>
              <w:rPr>
                <w:lang w:val="en-NZ"/>
              </w:rPr>
            </w:pPr>
            <w:r w:rsidRPr="000F269D">
              <w:t>2.3</w:t>
            </w:r>
            <w:r w:rsidRPr="000F269D">
              <w:tab/>
              <w:t>Activities of personnel implementing the fraud/corruption risk assessment methodology are monitored in accordance with organisational policy and procedures.</w:t>
            </w:r>
          </w:p>
        </w:tc>
      </w:tr>
      <w:tr w:rsidTr="003631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269D">
            <w:pPr>
              <w:pStyle w:val="List"/>
              <w:rPr>
                <w:lang w:val="en-NZ"/>
              </w:rPr>
            </w:pPr>
            <w:r w:rsidRPr="000F269D">
              <w:rPr>
                <w:rStyle w:val="SpecialBold"/>
              </w:rPr>
              <w:t>3</w:t>
            </w:r>
            <w:r w:rsidRPr="000F269D">
              <w:t xml:space="preserve">.  </w:t>
            </w:r>
            <w:r w:rsidRPr="000F269D">
              <w:tab/>
            </w:r>
            <w:r w:rsidRPr="000F269D">
              <w:rPr>
                <w:rStyle w:val="SpecialBold"/>
              </w:rPr>
              <w:t>Establish reporting and review mechanisms</w:t>
            </w:r>
          </w:p>
        </w:tc>
        <w:tc>
          <w:tcPr>
            <w:tcW w:w="6662" w:type="dxa"/>
            <w:tcBorders>
              <w:top w:val="nil"/>
              <w:left w:val="nil"/>
              <w:bottom w:val="nil"/>
              <w:right w:val="nil"/>
            </w:tcBorders>
            <w:tcMar>
              <w:top w:w="0" w:type="dxa"/>
              <w:left w:w="62" w:type="dxa"/>
              <w:bottom w:w="0" w:type="dxa"/>
              <w:right w:w="62" w:type="dxa"/>
            </w:tcMar>
          </w:tcPr>
          <w:p w:rsidR="00000000" w:rsidRPr="000F269D" w:rsidP="000F269D">
            <w:pPr>
              <w:pStyle w:val="List"/>
            </w:pPr>
            <w:r w:rsidRPr="000F269D">
              <w:t>3.1</w:t>
            </w:r>
            <w:r w:rsidRPr="000F269D">
              <w:tab/>
            </w:r>
            <w:r w:rsidRPr="000F269D">
              <w:t>The identification of appropriate actions to be implemented is included in reporting mechanisms.</w:t>
            </w:r>
          </w:p>
          <w:p w:rsidR="00000000" w:rsidRPr="000F269D" w:rsidP="000F269D">
            <w:pPr>
              <w:pStyle w:val="List"/>
            </w:pPr>
            <w:r w:rsidRPr="000F269D">
              <w:t>3.2</w:t>
            </w:r>
            <w:r w:rsidRPr="000F269D">
              <w:tab/>
              <w:t>Review mechanisms are established that acknowledge the need for flexibility and the ongoing nature of the fraud/corruption risk assessment process.</w:t>
            </w:r>
          </w:p>
          <w:p w:rsidR="00000000" w:rsidRPr="000F269D" w:rsidP="000F269D">
            <w:pPr>
              <w:pStyle w:val="List"/>
            </w:pPr>
            <w:r w:rsidRPr="000F269D">
              <w:t>3.3</w:t>
            </w:r>
            <w:r w:rsidRPr="000F269D">
              <w:tab/>
              <w:t>Rep</w:t>
            </w:r>
            <w:r w:rsidRPr="000F269D">
              <w:t>orting mechanisms are established to allow for advice to be provided at opportune times to facilitate a flexible response by management to any deficiencies identified.</w:t>
            </w:r>
          </w:p>
          <w:p w:rsidR="00000000" w:rsidRPr="000F269D" w:rsidP="000F269D">
            <w:pPr>
              <w:pStyle w:val="List"/>
            </w:pPr>
            <w:r w:rsidRPr="000F269D">
              <w:t>3.4</w:t>
            </w:r>
            <w:r w:rsidRPr="000F269D">
              <w:tab/>
              <w:t>Reporting mechanisms are established to meet the requirements of standards-setting o</w:t>
            </w:r>
            <w:r w:rsidRPr="000F269D">
              <w:t>rganisations.</w:t>
            </w:r>
          </w:p>
        </w:tc>
      </w:tr>
    </w:tbl>
    <w:p w:rsidR="00000000" w:rsidRPr="000F269D" w:rsidP="000F269D">
      <w:pPr>
        <w:pStyle w:val="BodyText"/>
      </w:pPr>
    </w:p>
    <w:p w:rsidR="00000000" w:rsidRPr="000F269D" w:rsidP="000F269D">
      <w:pPr>
        <w:pStyle w:val="AllowPageBreak"/>
      </w:pPr>
    </w:p>
    <w:p w:rsidR="00000000" w:rsidRPr="000F269D" w:rsidP="000F269D">
      <w:pPr>
        <w:pStyle w:val="Heading1"/>
      </w:pPr>
      <w:bookmarkStart w:id="9" w:name="O_495173"/>
      <w:bookmarkEnd w:id="9"/>
      <w:r w:rsidRPr="000F269D">
        <w:t>Required Skills and Knowledge</w:t>
      </w:r>
    </w:p>
    <w:tbl>
      <w:tblPr>
        <w:tblW w:w="0" w:type="auto"/>
        <w:tblLayout w:type="fixed"/>
        <w:tblCellMar>
          <w:left w:w="62" w:type="dxa"/>
          <w:right w:w="62" w:type="dxa"/>
        </w:tblCellMar>
        <w:tblLook w:val="0000"/>
      </w:tblPr>
      <w:tblGrid>
        <w:gridCol w:w="8514"/>
      </w:tblGrid>
      <w:tr w:rsidTr="0036314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0F269D">
            <w:pPr>
              <w:pStyle w:val="BodyText"/>
              <w:rPr>
                <w:lang w:val="en-NZ"/>
              </w:rPr>
            </w:pPr>
            <w:r w:rsidRPr="000F269D">
              <w:t>This section describes the essential skills and knowledge and their level, required for this unit.</w:t>
            </w:r>
          </w:p>
        </w:tc>
      </w:tr>
      <w:tr w:rsidTr="0036314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F269D" w:rsidP="000F269D">
            <w:pPr>
              <w:pStyle w:val="BodyText"/>
            </w:pPr>
            <w:r w:rsidRPr="000F269D">
              <w:rPr>
                <w:rStyle w:val="SpecialBold"/>
              </w:rPr>
              <w:t>Skill requirements</w:t>
            </w:r>
          </w:p>
          <w:p w:rsidR="00000000" w:rsidRPr="000F269D" w:rsidP="000F269D">
            <w:pPr>
              <w:pStyle w:val="BodyText"/>
            </w:pPr>
            <w:r w:rsidRPr="000F269D">
              <w:t>Look for evidence that confirms skills in:</w:t>
            </w:r>
          </w:p>
          <w:p w:rsidR="00000000" w:rsidRPr="000F269D" w:rsidP="000F269D">
            <w:pPr>
              <w:pStyle w:val="ListBullet"/>
            </w:pPr>
            <w:r w:rsidRPr="000F269D">
              <w:t>using a range of communication, consultation and negotiation styles to suit different audiences and purposes</w:t>
            </w:r>
          </w:p>
          <w:p w:rsidR="00000000" w:rsidRPr="000F269D" w:rsidP="000F269D">
            <w:pPr>
              <w:pStyle w:val="ListBullet"/>
            </w:pPr>
            <w:r w:rsidRPr="000F269D">
              <w:t>responding to diversity, including gender and disability</w:t>
            </w:r>
          </w:p>
          <w:p w:rsidR="00000000" w:rsidRPr="000F269D" w:rsidP="000F269D">
            <w:pPr>
              <w:pStyle w:val="ListBullet"/>
            </w:pPr>
            <w:r w:rsidRPr="000F269D">
              <w:t>effectively managing any consultants used to conduct the fraud/corruption risk assessment</w:t>
            </w:r>
          </w:p>
          <w:p w:rsidR="00000000" w:rsidP="000F269D">
            <w:pPr>
              <w:pStyle w:val="ListBullet"/>
              <w:rPr>
                <w:lang w:val="en-NZ"/>
              </w:rPr>
            </w:pPr>
            <w:r w:rsidRPr="000F269D">
              <w:t>applying occupational health and safety and environmental procedures in the context of managing fraud/corruption risk assessments and action plans</w:t>
            </w:r>
          </w:p>
        </w:tc>
      </w:tr>
      <w:tr w:rsidTr="0036314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F269D" w:rsidP="000F269D">
            <w:pPr>
              <w:pStyle w:val="BodyText"/>
            </w:pPr>
            <w:r w:rsidRPr="000F269D">
              <w:rPr>
                <w:rStyle w:val="SpecialBold"/>
              </w:rPr>
              <w:t>Knowledge requirements</w:t>
            </w:r>
          </w:p>
          <w:p w:rsidR="00000000" w:rsidRPr="000F269D" w:rsidP="000F269D">
            <w:pPr>
              <w:pStyle w:val="ListBullet"/>
            </w:pPr>
            <w:r w:rsidRPr="000F269D">
              <w:t>Look for evidence that confirms knowledge and understanding of:</w:t>
            </w:r>
          </w:p>
          <w:p w:rsidR="00000000" w:rsidRPr="000F269D" w:rsidP="000F269D">
            <w:pPr>
              <w:pStyle w:val="ListBullet"/>
            </w:pPr>
            <w:r w:rsidRPr="000F269D">
              <w:t>agency corporate pla</w:t>
            </w:r>
            <w:r w:rsidRPr="000F269D">
              <w:t>n and nature of service provided by the agency</w:t>
            </w:r>
          </w:p>
          <w:p w:rsidR="00000000" w:rsidRPr="000F269D" w:rsidP="000F269D">
            <w:pPr>
              <w:pStyle w:val="ListBullet"/>
            </w:pPr>
            <w:r w:rsidRPr="000F269D">
              <w:t>external reporting requirements</w:t>
            </w:r>
          </w:p>
          <w:p w:rsidR="00000000" w:rsidRPr="000F269D" w:rsidP="000F269D">
            <w:pPr>
              <w:pStyle w:val="ListBullet"/>
            </w:pPr>
            <w:r w:rsidRPr="000F269D">
              <w:t>risk profile of the agency</w:t>
            </w:r>
          </w:p>
          <w:p w:rsidR="00000000" w:rsidRPr="000F269D" w:rsidP="000F269D">
            <w:pPr>
              <w:pStyle w:val="ListBullet"/>
            </w:pPr>
            <w:r w:rsidRPr="000F269D">
              <w:t xml:space="preserve">risk management standards and techniques </w:t>
            </w:r>
          </w:p>
          <w:p w:rsidR="00000000" w:rsidRPr="000F269D" w:rsidP="000F269D">
            <w:pPr>
              <w:pStyle w:val="ListBullet"/>
            </w:pPr>
            <w:r w:rsidRPr="000F269D">
              <w:t>control framework operating in the agency</w:t>
            </w:r>
          </w:p>
          <w:p w:rsidR="00000000" w:rsidRPr="000F269D" w:rsidP="000F269D">
            <w:pPr>
              <w:pStyle w:val="ListBullet"/>
            </w:pPr>
            <w:r w:rsidRPr="000F269D">
              <w:t>how the fraud/corruption risk assessment methodology addresses the</w:t>
            </w:r>
            <w:r w:rsidRPr="000F269D">
              <w:t xml:space="preserve"> agency-relevant criteria for measuring risk</w:t>
            </w:r>
          </w:p>
          <w:p w:rsidR="00000000" w:rsidRPr="000F269D" w:rsidP="000F269D">
            <w:pPr>
              <w:pStyle w:val="ListBullet"/>
            </w:pPr>
            <w:r w:rsidRPr="000F269D">
              <w:t>public sector legislation, policies and procedures including anti-discrimination and diversity legislation, occupational health and safety, and environment in the context of fraud/corruption control</w:t>
            </w:r>
          </w:p>
        </w:tc>
      </w:tr>
    </w:tbl>
    <w:p w:rsidR="00000000" w:rsidRPr="000F269D" w:rsidP="000F269D">
      <w:pPr>
        <w:pStyle w:val="BodyText"/>
      </w:pPr>
    </w:p>
    <w:p w:rsidR="00000000" w:rsidRPr="000F269D" w:rsidP="000F269D">
      <w:pPr>
        <w:pStyle w:val="AllowPageBreak"/>
      </w:pPr>
    </w:p>
    <w:p w:rsidR="00000000" w:rsidRPr="000F269D" w:rsidP="000F269D">
      <w:pPr>
        <w:pStyle w:val="Heading1"/>
      </w:pPr>
      <w:bookmarkStart w:id="10" w:name="O_495171"/>
      <w:bookmarkEnd w:id="10"/>
      <w:r w:rsidRPr="000F269D">
        <w:t>Evidence Guide</w:t>
      </w:r>
    </w:p>
    <w:tbl>
      <w:tblPr>
        <w:tblW w:w="9322" w:type="dxa"/>
        <w:tblLayout w:type="fixed"/>
        <w:tblCellMar>
          <w:left w:w="62" w:type="dxa"/>
          <w:right w:w="62" w:type="dxa"/>
        </w:tblCellMar>
        <w:tblLook w:val="0000"/>
      </w:tblPr>
      <w:tblGrid>
        <w:gridCol w:w="2660"/>
        <w:gridCol w:w="6662"/>
      </w:tblGrid>
      <w:tr w:rsidTr="0036314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F269D">
            <w:pPr>
              <w:pStyle w:val="BodyText"/>
              <w:rPr>
                <w:lang w:val="en-NZ"/>
              </w:rPr>
            </w:pPr>
            <w:r w:rsidRPr="000F269D">
              <w:t>The Evidence Guide specifies the evidence required to demonstrate achievement in the unit of competency as a whole. It must be read in conjunction with the Unit descriptor, Performance Criteria, the Range Statement and the Assessment</w:t>
            </w:r>
            <w:r w:rsidRPr="000F269D">
              <w:t xml:space="preserve"> Guidelines for the Public Sector Training Package.</w:t>
            </w:r>
          </w:p>
        </w:tc>
      </w:tr>
      <w:tr w:rsidTr="003631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F269D" w:rsidP="000F269D">
            <w:pPr>
              <w:pStyle w:val="BodyText"/>
            </w:pPr>
            <w:r w:rsidRPr="000F269D">
              <w:rPr>
                <w:rStyle w:val="SpecialBold"/>
              </w:rPr>
              <w:t>Units to be assessed together</w:t>
            </w:r>
            <w:r w:rsidRPr="000F269D">
              <w:t xml:space="preserve"> </w:t>
            </w:r>
          </w:p>
        </w:tc>
        <w:tc>
          <w:tcPr>
            <w:tcW w:w="6662" w:type="dxa"/>
            <w:tcBorders>
              <w:top w:val="nil"/>
              <w:left w:val="nil"/>
              <w:bottom w:val="nil"/>
              <w:right w:val="nil"/>
            </w:tcBorders>
            <w:tcMar>
              <w:top w:w="0" w:type="dxa"/>
              <w:left w:w="62" w:type="dxa"/>
              <w:bottom w:w="0" w:type="dxa"/>
              <w:right w:w="62" w:type="dxa"/>
            </w:tcMar>
          </w:tcPr>
          <w:p w:rsidR="00000000" w:rsidRPr="000F269D" w:rsidP="000F269D">
            <w:pPr>
              <w:pStyle w:val="ListBullet"/>
            </w:pPr>
            <w:r w:rsidRPr="000F269D">
              <w:rPr>
                <w:rStyle w:val="Emphasis"/>
              </w:rPr>
              <w:t>Pre</w:t>
            </w:r>
            <w:r w:rsidRPr="000F269D">
              <w:t>-</w:t>
            </w:r>
            <w:r w:rsidRPr="000F269D">
              <w:rPr>
                <w:rStyle w:val="Emphasis"/>
              </w:rPr>
              <w:t>requisite</w:t>
            </w:r>
            <w:r w:rsidRPr="000F269D">
              <w:t xml:space="preserve"> units that </w:t>
            </w:r>
            <w:r w:rsidRPr="000F269D">
              <w:rPr>
                <w:rStyle w:val="Underline"/>
              </w:rPr>
              <w:t>must</w:t>
            </w:r>
            <w:r w:rsidRPr="000F269D">
              <w:t xml:space="preserve"> be achieved </w:t>
            </w:r>
            <w:r w:rsidRPr="000F269D">
              <w:rPr>
                <w:rStyle w:val="Underline"/>
              </w:rPr>
              <w:t>prior</w:t>
            </w:r>
            <w:r w:rsidRPr="000F269D">
              <w:t xml:space="preserve"> to this unit:</w:t>
            </w:r>
            <w:r w:rsidRPr="000F269D">
              <w:rPr>
                <w:rStyle w:val="Emphasis"/>
              </w:rPr>
              <w:t>Nil</w:t>
            </w:r>
          </w:p>
          <w:p w:rsidR="00000000" w:rsidRPr="000F269D" w:rsidP="000F269D">
            <w:pPr>
              <w:pStyle w:val="ListBullet"/>
            </w:pPr>
            <w:r w:rsidRPr="000F269D">
              <w:rPr>
                <w:rStyle w:val="Emphasis"/>
              </w:rPr>
              <w:t>Co</w:t>
            </w:r>
            <w:r w:rsidRPr="000F269D">
              <w:t>-</w:t>
            </w:r>
            <w:r w:rsidRPr="000F269D">
              <w:rPr>
                <w:rStyle w:val="Emphasis"/>
              </w:rPr>
              <w:t>requisite</w:t>
            </w:r>
            <w:r w:rsidRPr="000F269D">
              <w:t xml:space="preserve"> units that </w:t>
            </w:r>
            <w:r w:rsidRPr="000F269D">
              <w:rPr>
                <w:rStyle w:val="Underline"/>
              </w:rPr>
              <w:t>must</w:t>
            </w:r>
            <w:r w:rsidRPr="000F269D">
              <w:t xml:space="preserve"> be assessed </w:t>
            </w:r>
            <w:r w:rsidRPr="000F269D">
              <w:rPr>
                <w:rStyle w:val="Underline"/>
              </w:rPr>
              <w:t>with</w:t>
            </w:r>
            <w:r w:rsidRPr="000F269D">
              <w:t xml:space="preserve"> this unit:</w:t>
            </w:r>
            <w:r w:rsidRPr="000F269D">
              <w:rPr>
                <w:rStyle w:val="Emphasis"/>
              </w:rPr>
              <w:t>Nil</w:t>
            </w:r>
          </w:p>
          <w:p w:rsidR="00000000" w:rsidRPr="000F269D" w:rsidP="000F269D">
            <w:pPr>
              <w:pStyle w:val="ListBullet"/>
            </w:pPr>
            <w:r w:rsidRPr="000F269D">
              <w:rPr>
                <w:rStyle w:val="Emphasis"/>
              </w:rPr>
              <w:t>Co</w:t>
            </w:r>
            <w:r w:rsidRPr="000F269D">
              <w:t>-</w:t>
            </w:r>
            <w:r w:rsidRPr="000F269D">
              <w:rPr>
                <w:rStyle w:val="Emphasis"/>
              </w:rPr>
              <w:t>assessed units</w:t>
            </w:r>
            <w:r w:rsidRPr="000F269D">
              <w:t xml:space="preserve"> that </w:t>
            </w:r>
            <w:r w:rsidRPr="000F269D">
              <w:rPr>
                <w:rStyle w:val="Underline"/>
              </w:rPr>
              <w:t>may</w:t>
            </w:r>
            <w:r w:rsidRPr="000F269D">
              <w:t xml:space="preserve"> be assessed with this unit to increase the efficiency and realism of the assessment process include, but are not limited to:</w:t>
            </w:r>
          </w:p>
          <w:p w:rsidR="00000000" w:rsidRPr="000F269D" w:rsidP="000F269D">
            <w:pPr>
              <w:pStyle w:val="ListBullet2"/>
            </w:pPr>
            <w:r w:rsidRPr="000F269D">
              <w:t xml:space="preserve">PSPETHC601B Maintain and enhance confidence in public service </w:t>
            </w:r>
          </w:p>
          <w:p w:rsidR="00000000" w:rsidRPr="000F269D" w:rsidP="000F269D">
            <w:pPr>
              <w:pStyle w:val="ListBullet2"/>
            </w:pPr>
            <w:r w:rsidRPr="000F269D">
              <w:t>PSPGOV601B Apply government systems</w:t>
            </w:r>
          </w:p>
          <w:p w:rsidR="00000000" w:rsidRPr="000F269D" w:rsidP="000F269D">
            <w:pPr>
              <w:pStyle w:val="ListBullet2"/>
            </w:pPr>
            <w:r w:rsidRPr="000F269D">
              <w:t>PSPGOV602B Establish and maint</w:t>
            </w:r>
            <w:r w:rsidRPr="000F269D">
              <w:t>ain strategic networks</w:t>
            </w:r>
          </w:p>
          <w:p w:rsidR="00000000" w:rsidRPr="000F269D" w:rsidP="000F269D">
            <w:pPr>
              <w:pStyle w:val="ListBullet2"/>
            </w:pPr>
            <w:r w:rsidRPr="000F269D">
              <w:t>PSPLEGN601B Manage compliance with legislation in the public sector</w:t>
            </w:r>
          </w:p>
          <w:p w:rsidR="00000000" w:rsidRPr="000F269D" w:rsidP="000F269D">
            <w:pPr>
              <w:pStyle w:val="ListBullet2"/>
            </w:pPr>
            <w:r w:rsidRPr="000F269D">
              <w:t>PSPMNGT604B Manage change</w:t>
            </w:r>
          </w:p>
          <w:p w:rsidR="00000000" w:rsidRPr="000F269D" w:rsidP="000F269D">
            <w:pPr>
              <w:pStyle w:val="ListBullet2"/>
            </w:pPr>
            <w:r w:rsidRPr="000F269D">
              <w:t>PSPMNGT608B Manage risk</w:t>
            </w:r>
          </w:p>
          <w:p w:rsidR="00000000" w:rsidRPr="000F269D" w:rsidP="000F269D">
            <w:pPr>
              <w:pStyle w:val="ListBullet2"/>
            </w:pPr>
            <w:r w:rsidRPr="000F269D">
              <w:t>PSPMNGT611A Manage evaluations</w:t>
            </w:r>
          </w:p>
          <w:p w:rsidR="00000000" w:rsidP="000F269D">
            <w:pPr>
              <w:pStyle w:val="ListBullet2"/>
              <w:rPr>
                <w:lang w:val="en-NZ"/>
              </w:rPr>
            </w:pPr>
            <w:r w:rsidRPr="000F269D">
              <w:t>PSPPOL603A Manage policy implementation</w:t>
            </w:r>
          </w:p>
        </w:tc>
      </w:tr>
      <w:tr w:rsidTr="003631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269D">
            <w:pPr>
              <w:pStyle w:val="BodyText"/>
              <w:rPr>
                <w:lang w:val="en-NZ"/>
              </w:rPr>
            </w:pPr>
            <w:r w:rsidRPr="000F269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F269D" w:rsidP="000F269D">
            <w:pPr>
              <w:pStyle w:val="BodyText"/>
            </w:pPr>
            <w:r w:rsidRPr="000F269D">
              <w:t>In addition to integrated demonstration of the elements and their related performance criteria, look for evidence that confirms:</w:t>
            </w:r>
          </w:p>
          <w:p w:rsidR="00000000" w:rsidRPr="000F269D" w:rsidP="000F269D">
            <w:pPr>
              <w:pStyle w:val="ListBullet"/>
            </w:pPr>
            <w:r w:rsidRPr="000F269D">
              <w:t xml:space="preserve">the knowledge requirements of this unit </w:t>
            </w:r>
          </w:p>
          <w:p w:rsidR="00000000" w:rsidRPr="000F269D" w:rsidP="000F269D">
            <w:pPr>
              <w:pStyle w:val="ListBullet"/>
            </w:pPr>
            <w:r w:rsidRPr="000F269D">
              <w:t>the skill requirements of this unit</w:t>
            </w:r>
          </w:p>
          <w:p w:rsidR="00000000" w:rsidRPr="000F269D" w:rsidP="000F269D">
            <w:pPr>
              <w:pStyle w:val="ListBullet"/>
            </w:pPr>
            <w:r w:rsidRPr="000F269D">
              <w:t>application of the Employability Skills as they r</w:t>
            </w:r>
            <w:r w:rsidRPr="000F269D">
              <w:t>elate to this unit (see Employability Summaries in Qualifications Framework)</w:t>
            </w:r>
          </w:p>
          <w:p w:rsidR="00000000" w:rsidP="000F269D">
            <w:pPr>
              <w:pStyle w:val="ListBullet"/>
              <w:rPr>
                <w:lang w:val="en-NZ"/>
              </w:rPr>
            </w:pPr>
            <w:r w:rsidRPr="000F269D">
              <w:t>management of fraud/corruption risk assessment and action plans in a range of (2 or more) contexts (or occasions, over time)</w:t>
            </w:r>
          </w:p>
        </w:tc>
      </w:tr>
      <w:tr w:rsidTr="003631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269D">
            <w:pPr>
              <w:pStyle w:val="BodyText"/>
              <w:rPr>
                <w:lang w:val="en-NZ"/>
              </w:rPr>
            </w:pPr>
            <w:r w:rsidRPr="000F269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F269D" w:rsidP="000F269D">
            <w:pPr>
              <w:pStyle w:val="BodyText"/>
            </w:pPr>
            <w:r w:rsidRPr="000F269D">
              <w:t>These reso</w:t>
            </w:r>
            <w:r w:rsidRPr="000F269D">
              <w:t>urces include:</w:t>
            </w:r>
          </w:p>
          <w:p w:rsidR="00000000" w:rsidRPr="000F269D" w:rsidP="000F269D">
            <w:pPr>
              <w:pStyle w:val="ListBullet"/>
            </w:pPr>
            <w:r w:rsidRPr="000F269D">
              <w:t>legislation, policy and procedures relating to fraud/corruption control</w:t>
            </w:r>
          </w:p>
          <w:p w:rsidR="00000000" w:rsidRPr="000F269D" w:rsidP="000F269D">
            <w:pPr>
              <w:pStyle w:val="ListBullet"/>
            </w:pPr>
            <w:r w:rsidRPr="000F269D">
              <w:t>fraud/corruption control guidelines and standards</w:t>
            </w:r>
          </w:p>
          <w:p w:rsidR="00000000" w:rsidRPr="000F269D" w:rsidP="000F269D">
            <w:pPr>
              <w:pStyle w:val="ListBullet"/>
            </w:pPr>
            <w:r w:rsidRPr="000F269D">
              <w:t>public sector values and codes of conduct</w:t>
            </w:r>
          </w:p>
          <w:p w:rsidR="00000000" w:rsidP="000F269D">
            <w:pPr>
              <w:pStyle w:val="ListBullet"/>
              <w:rPr>
                <w:lang w:val="en-NZ"/>
              </w:rPr>
            </w:pPr>
            <w:r w:rsidRPr="000F269D">
              <w:t>case studies and workplace scenarios to capture the range of fraud/corruptio</w:t>
            </w:r>
            <w:r w:rsidRPr="000F269D">
              <w:t>n risk assessment situations likely to be encountered</w:t>
            </w:r>
          </w:p>
        </w:tc>
      </w:tr>
      <w:tr w:rsidTr="003631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269D">
            <w:pPr>
              <w:pStyle w:val="BodyText"/>
              <w:rPr>
                <w:lang w:val="en-NZ"/>
              </w:rPr>
            </w:pPr>
            <w:r w:rsidRPr="000F269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F269D" w:rsidP="000F269D">
            <w:pPr>
              <w:pStyle w:val="BodyText"/>
            </w:pPr>
            <w:r w:rsidRPr="000F269D">
              <w:t xml:space="preserve">Valid assessment of this unit requires: </w:t>
            </w:r>
          </w:p>
          <w:p w:rsidR="00000000" w:rsidRPr="000F269D" w:rsidP="000F269D">
            <w:pPr>
              <w:pStyle w:val="ListBullet"/>
            </w:pPr>
            <w:r w:rsidRPr="000F269D">
              <w:t xml:space="preserve">a workplace environment or one that closely resembles normal work practice and </w:t>
            </w:r>
            <w:r w:rsidRPr="000F269D">
              <w:t xml:space="preserve">replicates the range of conditions likely to be encountered when managing fraud/corruption risk assessment </w:t>
            </w:r>
            <w:r w:rsidRPr="000F269D">
              <w:t>and action plans, including coping with difficulties, irregularities and breakdowns in routine</w:t>
            </w:r>
          </w:p>
          <w:p w:rsidR="00000000" w:rsidRPr="000F269D" w:rsidP="000F269D">
            <w:pPr>
              <w:pStyle w:val="ListBullet"/>
            </w:pPr>
            <w:r w:rsidRPr="000F269D">
              <w:t>management of fraud/corruption risk assessment and act</w:t>
            </w:r>
            <w:r w:rsidRPr="000F269D">
              <w:t>ion plan in a range of (2 or more) contexts (or occasions, over time)</w:t>
            </w:r>
          </w:p>
          <w:p w:rsidR="00000000" w:rsidRPr="000F269D" w:rsidP="000F269D">
            <w:pPr>
              <w:pStyle w:val="BodyText"/>
            </w:pPr>
            <w:r w:rsidRPr="000F269D">
              <w:t>Assessment methods should reflect workplace demands, such as literacy, and the needs of particular groups, such as:</w:t>
            </w:r>
          </w:p>
          <w:p w:rsidR="00000000" w:rsidRPr="000F269D" w:rsidP="000F269D">
            <w:pPr>
              <w:pStyle w:val="ListBullet"/>
            </w:pPr>
            <w:r w:rsidRPr="000F269D">
              <w:t>people with disabilities</w:t>
            </w:r>
          </w:p>
          <w:p w:rsidR="00000000" w:rsidRPr="000F269D" w:rsidP="000F269D">
            <w:pPr>
              <w:pStyle w:val="ListBullet"/>
            </w:pPr>
            <w:r w:rsidRPr="000F269D">
              <w:t>people from culturally and linguistically di</w:t>
            </w:r>
            <w:r w:rsidRPr="000F269D">
              <w:t>verse backgrounds</w:t>
            </w:r>
          </w:p>
          <w:p w:rsidR="00000000" w:rsidRPr="000F269D" w:rsidP="000F269D">
            <w:pPr>
              <w:pStyle w:val="ListBullet"/>
            </w:pPr>
            <w:r w:rsidRPr="000F269D">
              <w:t>Aboriginal and Torres Strait Islander people</w:t>
            </w:r>
          </w:p>
          <w:p w:rsidR="00000000" w:rsidRPr="000F269D" w:rsidP="000F269D">
            <w:pPr>
              <w:pStyle w:val="ListBullet"/>
            </w:pPr>
            <w:r w:rsidRPr="000F269D">
              <w:t>women</w:t>
            </w:r>
          </w:p>
          <w:p w:rsidR="00000000" w:rsidRPr="000F269D" w:rsidP="000F269D">
            <w:pPr>
              <w:pStyle w:val="ListBullet"/>
            </w:pPr>
            <w:r w:rsidRPr="000F269D">
              <w:t>young people</w:t>
            </w:r>
          </w:p>
          <w:p w:rsidR="00000000" w:rsidRPr="000F269D" w:rsidP="000F269D">
            <w:pPr>
              <w:pStyle w:val="ListBullet"/>
            </w:pPr>
            <w:r w:rsidRPr="000F269D">
              <w:t>older people</w:t>
            </w:r>
          </w:p>
          <w:p w:rsidR="00000000" w:rsidRPr="000F269D" w:rsidP="000F269D">
            <w:pPr>
              <w:pStyle w:val="ListBullet"/>
            </w:pPr>
            <w:r w:rsidRPr="000F269D">
              <w:t>people in rural and remote locations</w:t>
            </w:r>
          </w:p>
          <w:p w:rsidR="00000000" w:rsidRPr="000F269D" w:rsidP="000F269D">
            <w:pPr>
              <w:pStyle w:val="BodyText"/>
            </w:pPr>
            <w:r w:rsidRPr="000F269D">
              <w:t>Assessment methods suitable for valid and reliable assessment of this competency may include, but are not limited to, a comb</w:t>
            </w:r>
            <w:r w:rsidRPr="000F269D">
              <w:t xml:space="preserve">ination of 2 or more of: </w:t>
            </w:r>
          </w:p>
          <w:p w:rsidR="00000000" w:rsidRPr="000F269D" w:rsidP="000F269D">
            <w:pPr>
              <w:pStyle w:val="ListBullet"/>
            </w:pPr>
            <w:r w:rsidRPr="000F269D">
              <w:t>case studies</w:t>
            </w:r>
          </w:p>
          <w:p w:rsidR="00000000" w:rsidRPr="000F269D" w:rsidP="000F269D">
            <w:pPr>
              <w:pStyle w:val="ListBullet"/>
            </w:pPr>
            <w:r w:rsidRPr="000F269D">
              <w:t xml:space="preserve">portfolios </w:t>
            </w:r>
          </w:p>
          <w:p w:rsidR="00000000" w:rsidRPr="000F269D" w:rsidP="000F269D">
            <w:pPr>
              <w:pStyle w:val="ListBullet"/>
            </w:pPr>
            <w:r w:rsidRPr="000F269D">
              <w:t>projects</w:t>
            </w:r>
          </w:p>
          <w:p w:rsidR="00000000" w:rsidRPr="000F269D" w:rsidP="000F269D">
            <w:pPr>
              <w:pStyle w:val="ListBullet"/>
            </w:pPr>
            <w:r w:rsidRPr="000F269D">
              <w:t>questioning</w:t>
            </w:r>
          </w:p>
          <w:p w:rsidR="00000000" w:rsidRPr="000F269D" w:rsidP="000F269D">
            <w:pPr>
              <w:pStyle w:val="ListBullet"/>
            </w:pPr>
            <w:r w:rsidRPr="000F269D">
              <w:t>scenarios</w:t>
            </w:r>
          </w:p>
          <w:p w:rsidR="00000000" w:rsidP="000F269D">
            <w:pPr>
              <w:pStyle w:val="ListBullet"/>
              <w:rPr>
                <w:lang w:val="en-NZ"/>
              </w:rPr>
            </w:pPr>
            <w:r w:rsidRPr="000F269D">
              <w:t xml:space="preserve">authenticated evidence from the workplace and/or training courses   </w:t>
            </w:r>
          </w:p>
        </w:tc>
      </w:tr>
      <w:tr w:rsidTr="0036314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269D">
            <w:pPr>
              <w:pStyle w:val="BodyText"/>
              <w:rPr>
                <w:lang w:val="en-NZ"/>
              </w:rPr>
            </w:pPr>
            <w:r w:rsidRPr="000F269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F269D" w:rsidP="000F269D">
            <w:pPr>
              <w:pStyle w:val="BodyText"/>
            </w:pPr>
            <w:r w:rsidRPr="000F269D">
              <w:t>Evidence must be gathered over time in a range of contexts to ensure the person can achieve the unit outcome and apply the competency in different situations or environments</w:t>
            </w:r>
          </w:p>
        </w:tc>
      </w:tr>
    </w:tbl>
    <w:p w:rsidR="00000000" w:rsidRPr="000F269D" w:rsidP="000F269D">
      <w:pPr>
        <w:pStyle w:val="BodyText"/>
      </w:pPr>
    </w:p>
    <w:p w:rsidR="00000000" w:rsidRPr="000F269D" w:rsidP="000F269D">
      <w:pPr>
        <w:pStyle w:val="AllowPageBreak"/>
      </w:pPr>
    </w:p>
    <w:p w:rsidR="00000000" w:rsidRPr="000F269D" w:rsidP="000F269D">
      <w:pPr>
        <w:pStyle w:val="Heading1"/>
      </w:pPr>
      <w:bookmarkStart w:id="11" w:name="O_495172"/>
      <w:bookmarkEnd w:id="11"/>
      <w:r w:rsidRPr="000F269D">
        <w:t>Range Statement</w:t>
      </w:r>
    </w:p>
    <w:tbl>
      <w:tblPr>
        <w:tblW w:w="9322" w:type="dxa"/>
        <w:tblLayout w:type="fixed"/>
        <w:tblCellMar>
          <w:left w:w="62" w:type="dxa"/>
          <w:right w:w="62" w:type="dxa"/>
        </w:tblCellMar>
        <w:tblLook w:val="0000"/>
      </w:tblPr>
      <w:tblGrid>
        <w:gridCol w:w="2660"/>
        <w:gridCol w:w="6662"/>
      </w:tblGrid>
      <w:tr w:rsidTr="00363140">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t xml:space="preserve">The Range Statement provides information about </w:t>
            </w:r>
            <w:r w:rsidRPr="000F269D">
              <w:t>the context in which the unit of competency is carried out. The variables cater for differences between States and Territories and the Commonwealth, and between organisations and workplaces. They allow for different work requirements, work practices and kn</w:t>
            </w:r>
            <w:r w:rsidRPr="000F269D">
              <w:t xml:space="preserve">owledge. The Range Statement also provides a focus for assessment. It relates to the unit as a whole. Text in </w:t>
            </w:r>
            <w:r w:rsidRPr="000F269D">
              <w:rPr>
                <w:rStyle w:val="BoldandItalics"/>
              </w:rPr>
              <w:t>bold italics</w:t>
            </w:r>
            <w:r w:rsidRPr="000F269D">
              <w:t xml:space="preserve"> in the Performance Criteria is explained here.</w:t>
            </w:r>
          </w:p>
        </w:tc>
      </w:tr>
      <w:tr w:rsidTr="0036314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rPr>
                <w:rStyle w:val="BoldandItalics"/>
              </w:rPr>
              <w:t xml:space="preserve">Stakeholders </w:t>
            </w:r>
            <w:r w:rsidRPr="000F269D">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69D" w:rsidP="000F269D">
            <w:pPr>
              <w:pStyle w:val="ListBullet"/>
            </w:pPr>
            <w:r w:rsidRPr="000F269D">
              <w:t>agency staff and senior management</w:t>
            </w:r>
          </w:p>
          <w:p w:rsidR="00000000" w:rsidRPr="000F269D" w:rsidP="000F269D">
            <w:pPr>
              <w:pStyle w:val="ListBullet"/>
            </w:pPr>
            <w:r w:rsidRPr="000F269D">
              <w:t>agency clients</w:t>
            </w:r>
          </w:p>
          <w:p w:rsidR="00000000" w:rsidRPr="000F269D" w:rsidP="000F269D">
            <w:pPr>
              <w:pStyle w:val="ListBullet"/>
            </w:pPr>
            <w:r w:rsidRPr="000F269D">
              <w:t>contractors and consultants</w:t>
            </w:r>
          </w:p>
          <w:p w:rsidR="00000000" w:rsidRPr="000F269D" w:rsidP="000F269D">
            <w:pPr>
              <w:pStyle w:val="ListBullet"/>
            </w:pPr>
            <w:r w:rsidRPr="000F269D">
              <w:t>industry associations</w:t>
            </w:r>
          </w:p>
          <w:p w:rsidR="00000000" w:rsidRPr="000F269D" w:rsidP="000F269D">
            <w:pPr>
              <w:pStyle w:val="ListBullet"/>
            </w:pPr>
            <w:r w:rsidRPr="000F269D">
              <w:t>internal/external audit personnel</w:t>
            </w:r>
          </w:p>
          <w:p w:rsidR="00000000" w:rsidP="000F269D">
            <w:pPr>
              <w:pStyle w:val="ListBullet"/>
              <w:rPr>
                <w:lang w:val="en-NZ"/>
              </w:rPr>
            </w:pPr>
            <w:r w:rsidRPr="000F269D">
              <w:t>standards-setting organisations</w:t>
            </w:r>
          </w:p>
        </w:tc>
      </w:tr>
      <w:tr w:rsidTr="0036314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rPr>
                <w:rStyle w:val="BoldandItalics"/>
              </w:rPr>
              <w:t>Risk assessment</w:t>
            </w:r>
            <w:r w:rsidRPr="000F269D">
              <w:rPr>
                <w:rStyle w:val="SpecialBold"/>
              </w:rPr>
              <w:t xml:space="preserve"> </w:t>
            </w:r>
            <w:r w:rsidRPr="000F269D">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69D" w:rsidP="000F269D">
            <w:pPr>
              <w:pStyle w:val="ListBullet"/>
            </w:pPr>
            <w:r w:rsidRPr="000F269D">
              <w:t>fraud/corruption risks identified in isolation or as part of a broader risk management strategy</w:t>
            </w:r>
          </w:p>
          <w:p w:rsidR="00000000" w:rsidRPr="000F269D" w:rsidP="000F269D">
            <w:pPr>
              <w:pStyle w:val="ListBullet"/>
            </w:pPr>
            <w:r w:rsidRPr="000F269D">
              <w:t>assessments c</w:t>
            </w:r>
            <w:r w:rsidRPr="000F269D">
              <w:t>onducted across the agency as a whole and may include recent changes to the structure and nature of the service delivered by the agency</w:t>
            </w:r>
          </w:p>
          <w:p w:rsidR="00000000" w:rsidP="000F269D">
            <w:pPr>
              <w:pStyle w:val="ListBullet"/>
              <w:rPr>
                <w:lang w:val="en-NZ"/>
              </w:rPr>
            </w:pPr>
            <w:r w:rsidRPr="000F269D">
              <w:t>a single process assessing all functions and areas of an agency at the same time, a process that samples a number of age</w:t>
            </w:r>
            <w:r w:rsidRPr="000F269D">
              <w:t>ncy functions or areas (rather than assessing them all), or a rolling program where all areas or functions are assessed sequentially rather than at the same time</w:t>
            </w:r>
          </w:p>
        </w:tc>
      </w:tr>
      <w:tr w:rsidTr="0036314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rPr>
                <w:rStyle w:val="BoldandItalics"/>
              </w:rPr>
              <w:t>Factors affecting fraud/corruption risk management</w:t>
            </w:r>
            <w:r w:rsidRPr="000F269D">
              <w:rPr>
                <w:rStyle w:val="SpecialBold"/>
              </w:rPr>
              <w:t xml:space="preserve"> </w:t>
            </w:r>
            <w:r w:rsidRPr="000F269D">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69D" w:rsidP="000F269D">
            <w:pPr>
              <w:pStyle w:val="ListBullet"/>
            </w:pPr>
            <w:r w:rsidRPr="000F269D">
              <w:t>agency size</w:t>
            </w:r>
          </w:p>
          <w:p w:rsidR="00000000" w:rsidRPr="000F269D" w:rsidP="000F269D">
            <w:pPr>
              <w:pStyle w:val="ListBullet"/>
            </w:pPr>
            <w:r w:rsidRPr="000F269D">
              <w:t>program type and</w:t>
            </w:r>
            <w:r w:rsidRPr="000F269D">
              <w:t xml:space="preserve"> size</w:t>
            </w:r>
          </w:p>
          <w:p w:rsidR="00000000" w:rsidRPr="000F269D" w:rsidP="000F269D">
            <w:pPr>
              <w:pStyle w:val="ListBullet"/>
            </w:pPr>
            <w:r w:rsidRPr="000F269D">
              <w:t>outsourcing</w:t>
            </w:r>
          </w:p>
          <w:p w:rsidR="00000000" w:rsidRPr="000F269D" w:rsidP="000F269D">
            <w:pPr>
              <w:pStyle w:val="ListBullet"/>
            </w:pPr>
            <w:r w:rsidRPr="000F269D">
              <w:t>program and service changes</w:t>
            </w:r>
          </w:p>
          <w:p w:rsidR="00000000" w:rsidRPr="000F269D" w:rsidP="000F269D">
            <w:pPr>
              <w:pStyle w:val="ListBullet"/>
            </w:pPr>
            <w:r w:rsidRPr="000F269D">
              <w:t>statutory and policy changes</w:t>
            </w:r>
          </w:p>
          <w:p w:rsidR="00000000" w:rsidP="000F269D">
            <w:pPr>
              <w:pStyle w:val="ListBullet"/>
              <w:rPr>
                <w:lang w:val="en-NZ"/>
              </w:rPr>
            </w:pPr>
            <w:r w:rsidRPr="000F269D">
              <w:t>data exchange</w:t>
            </w:r>
          </w:p>
        </w:tc>
      </w:tr>
      <w:tr w:rsidTr="0036314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69D">
            <w:pPr>
              <w:pStyle w:val="BodyText"/>
              <w:rPr>
                <w:lang w:val="en-NZ"/>
              </w:rPr>
            </w:pPr>
            <w:r w:rsidRPr="000F269D">
              <w:rPr>
                <w:rStyle w:val="BoldandItalics"/>
              </w:rPr>
              <w:t>Australian standard for risk management</w:t>
            </w:r>
            <w:r w:rsidRPr="000F269D">
              <w:rPr>
                <w:rStyle w:val="SpecialBold"/>
              </w:rPr>
              <w:t xml:space="preserve"> </w:t>
            </w:r>
            <w:r w:rsidRPr="000F269D">
              <w:t>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69D" w:rsidP="000F269D">
            <w:pPr>
              <w:pStyle w:val="ListBullet"/>
            </w:pPr>
            <w:r w:rsidRPr="000F269D">
              <w:t>AS/NZS 4360:1999 or as revised</w:t>
            </w:r>
          </w:p>
        </w:tc>
      </w:tr>
    </w:tbl>
    <w:p w:rsidR="00363140" w:rsidP="000F269D">
      <w:pPr>
        <w:pStyle w:val="BodyText"/>
      </w:pPr>
    </w:p>
    <w:p w:rsidR="00363140" w:rsidP="000F269D">
      <w:pPr>
        <w:pStyle w:val="BodyText"/>
      </w:pPr>
    </w:p>
    <w:p w:rsidR="00000000" w:rsidRPr="000F269D" w:rsidP="000F269D">
      <w:pPr>
        <w:pStyle w:val="Heading1"/>
      </w:pPr>
      <w:bookmarkStart w:id="12" w:name="O_495169"/>
      <w:bookmarkEnd w:id="12"/>
      <w:r w:rsidRPr="000F269D">
        <w:t>Unit Sector(s)</w:t>
      </w:r>
    </w:p>
    <w:p w:rsidR="00000000" w:rsidRPr="000F269D" w:rsidP="000F269D">
      <w:pPr>
        <w:pStyle w:val="BodyText"/>
      </w:pPr>
      <w:r w:rsidRPr="000F269D">
        <w:t>Not applicable.</w:t>
      </w:r>
    </w:p>
    <w:p w:rsidR="00000000" w:rsidRPr="000F269D" w:rsidP="000F269D">
      <w:pPr>
        <w:pStyle w:val="AllowPageBreak"/>
      </w:pPr>
    </w:p>
    <w:p w:rsidR="00000000" w:rsidRPr="000F269D" w:rsidP="000F269D">
      <w:pPr>
        <w:pStyle w:val="Heading1"/>
      </w:pPr>
      <w:bookmarkStart w:id="13" w:name="O_495177"/>
      <w:bookmarkEnd w:id="13"/>
      <w:r w:rsidRPr="000F269D">
        <w:t>Competency field</w:t>
      </w:r>
    </w:p>
    <w:p w:rsidR="00000000" w:rsidRPr="000F269D" w:rsidP="000F269D">
      <w:pPr>
        <w:pStyle w:val="BodyText"/>
      </w:pPr>
      <w:r w:rsidRPr="000F269D">
        <w:t>Fraud Control.</w:t>
      </w:r>
    </w:p>
    <w:p w:rsidR="00000000" w:rsidRPr="000F269D" w:rsidP="000F269D"/>
    <w:sectPr w:rsidSect="000F2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140" w:rsidP="00363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140" w:rsidP="000F2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3140" w:rsidP="000F26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63140" w:rsidP="000F26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9D" w:rsidRPr="00363140" w:rsidP="003631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140" w:rsidRPr="002D2AF8" w:rsidP="000F269D">
    <w:pPr>
      <w:pStyle w:val="Header"/>
      <w:framePr w:wrap="around"/>
    </w:pPr>
    <w:r>
      <w:fldChar w:fldCharType="begin"/>
    </w:r>
    <w:r>
      <w:instrText xml:space="preserve"> TITLE   \* MERGEFORMAT </w:instrText>
    </w:r>
    <w:r>
      <w:fldChar w:fldCharType="separate"/>
    </w:r>
    <w:r>
      <w:t>PSPFRAU602B Manage fraud risk assessment and action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63140" w:rsidP="000F2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C1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049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887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69D"/>
    <w:pPr>
      <w:spacing w:before="360" w:after="60"/>
      <w:outlineLvl w:val="0"/>
    </w:pPr>
    <w:rPr>
      <w:sz w:val="32"/>
    </w:rPr>
  </w:style>
  <w:style w:type="paragraph" w:styleId="Heading2">
    <w:name w:val="heading 2"/>
    <w:basedOn w:val="HeadingBase"/>
    <w:next w:val="BodyText"/>
    <w:link w:val="Heading2Char"/>
    <w:qFormat/>
    <w:rsid w:val="000F269D"/>
    <w:pPr>
      <w:keepLines/>
      <w:spacing w:before="240" w:after="120"/>
      <w:outlineLvl w:val="1"/>
    </w:pPr>
    <w:rPr>
      <w:sz w:val="28"/>
      <w:szCs w:val="40"/>
    </w:rPr>
  </w:style>
  <w:style w:type="paragraph" w:styleId="Heading3">
    <w:name w:val="heading 3"/>
    <w:basedOn w:val="HeadingBase"/>
    <w:next w:val="BodyText"/>
    <w:link w:val="Heading3Char"/>
    <w:qFormat/>
    <w:rsid w:val="000F269D"/>
    <w:pPr>
      <w:spacing w:before="180" w:after="120"/>
      <w:outlineLvl w:val="2"/>
    </w:pPr>
    <w:rPr>
      <w:spacing w:val="-10"/>
      <w:kern w:val="32"/>
    </w:rPr>
  </w:style>
  <w:style w:type="paragraph" w:styleId="Heading4">
    <w:name w:val="heading 4"/>
    <w:basedOn w:val="HeadingBase"/>
    <w:next w:val="BodyText"/>
    <w:link w:val="Heading4Char"/>
    <w:qFormat/>
    <w:rsid w:val="000F269D"/>
    <w:pPr>
      <w:spacing w:before="160" w:after="120"/>
      <w:outlineLvl w:val="3"/>
    </w:pPr>
    <w:rPr>
      <w:sz w:val="22"/>
    </w:rPr>
  </w:style>
  <w:style w:type="paragraph" w:styleId="Heading5">
    <w:name w:val="heading 5"/>
    <w:basedOn w:val="HeadingBase"/>
    <w:next w:val="Normal"/>
    <w:link w:val="Heading5Char"/>
    <w:qFormat/>
    <w:rsid w:val="000F269D"/>
    <w:pPr>
      <w:spacing w:before="80"/>
      <w:outlineLvl w:val="4"/>
    </w:pPr>
    <w:rPr>
      <w:color w:val="918585"/>
      <w:sz w:val="20"/>
    </w:rPr>
  </w:style>
  <w:style w:type="paragraph" w:styleId="Heading6">
    <w:name w:val="heading 6"/>
    <w:basedOn w:val="HeadingBase"/>
    <w:next w:val="Normal"/>
    <w:link w:val="Heading6Char"/>
    <w:qFormat/>
    <w:rsid w:val="000F269D"/>
    <w:pPr>
      <w:spacing w:before="60"/>
      <w:outlineLvl w:val="5"/>
    </w:pPr>
    <w:rPr>
      <w:color w:val="918585"/>
      <w:sz w:val="20"/>
    </w:rPr>
  </w:style>
  <w:style w:type="paragraph" w:styleId="Heading7">
    <w:name w:val="heading 7"/>
    <w:basedOn w:val="Normal"/>
    <w:next w:val="Normal"/>
    <w:link w:val="Heading7Char"/>
    <w:qFormat/>
    <w:rsid w:val="000F269D"/>
    <w:pPr>
      <w:ind w:left="720"/>
      <w:outlineLvl w:val="6"/>
    </w:pPr>
    <w:rPr>
      <w:i/>
    </w:rPr>
  </w:style>
  <w:style w:type="paragraph" w:styleId="Heading8">
    <w:name w:val="heading 8"/>
    <w:basedOn w:val="Normal"/>
    <w:next w:val="Normal"/>
    <w:link w:val="Heading8Char"/>
    <w:qFormat/>
    <w:rsid w:val="000F269D"/>
    <w:pPr>
      <w:ind w:left="720"/>
      <w:outlineLvl w:val="7"/>
    </w:pPr>
    <w:rPr>
      <w:i/>
    </w:rPr>
  </w:style>
  <w:style w:type="paragraph" w:styleId="Heading9">
    <w:name w:val="heading 9"/>
    <w:basedOn w:val="Normal"/>
    <w:next w:val="Normal"/>
    <w:link w:val="Heading9Char"/>
    <w:qFormat/>
    <w:rsid w:val="000F269D"/>
    <w:pPr>
      <w:ind w:left="720"/>
      <w:outlineLvl w:val="8"/>
    </w:pPr>
    <w:rPr>
      <w:i/>
    </w:rPr>
  </w:style>
  <w:style w:type="character" w:default="1" w:styleId="DefaultParagraphFont">
    <w:name w:val="Default Paragraph Font"/>
    <w:uiPriority w:val="1"/>
    <w:unhideWhenUsed/>
    <w:rsid w:val="000F2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69D"/>
  </w:style>
  <w:style w:type="character" w:customStyle="1" w:styleId="Heading1Char">
    <w:name w:val="Heading 1 Char"/>
    <w:basedOn w:val="DefaultParagraphFont"/>
    <w:link w:val="Heading1"/>
    <w:rsid w:val="000F269D"/>
    <w:rPr>
      <w:rFonts w:ascii="Times New Roman" w:eastAsia="Times New Roman" w:hAnsi="Times New Roman" w:cs="Times New Roman"/>
      <w:b/>
      <w:sz w:val="32"/>
      <w:szCs w:val="20"/>
      <w:lang w:eastAsia="en-US"/>
    </w:rPr>
  </w:style>
  <w:style w:type="paragraph" w:styleId="BodyText">
    <w:name w:val="Body Text"/>
    <w:basedOn w:val="Normal"/>
    <w:link w:val="BodyTextChar"/>
    <w:rsid w:val="000F2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69D"/>
    <w:rPr>
      <w:rFonts w:ascii="Times New Roman" w:eastAsia="Times New Roman" w:hAnsi="Times New Roman" w:cs="Times New Roman"/>
      <w:sz w:val="24"/>
      <w:lang w:eastAsia="en-US"/>
    </w:rPr>
  </w:style>
  <w:style w:type="paragraph" w:styleId="Footer">
    <w:name w:val="footer"/>
    <w:basedOn w:val="Normal"/>
    <w:link w:val="FooterChar"/>
    <w:rsid w:val="000F2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69D"/>
    <w:rPr>
      <w:rFonts w:ascii="Times New Roman" w:eastAsia="Times New Roman" w:hAnsi="Times New Roman" w:cs="Times New Roman"/>
      <w:sz w:val="16"/>
      <w:lang w:eastAsia="en-US"/>
    </w:rPr>
  </w:style>
  <w:style w:type="paragraph" w:styleId="List">
    <w:name w:val="List"/>
    <w:basedOn w:val="BodyText"/>
    <w:next w:val="BodyText"/>
    <w:rsid w:val="000F269D"/>
    <w:pPr>
      <w:tabs>
        <w:tab w:val="left" w:pos="340"/>
      </w:tabs>
      <w:spacing w:before="60" w:after="60"/>
      <w:ind w:left="340" w:hanging="340"/>
    </w:pPr>
  </w:style>
  <w:style w:type="paragraph" w:styleId="ListBullet">
    <w:name w:val="List Bullet"/>
    <w:basedOn w:val="List"/>
    <w:rsid w:val="000F269D"/>
    <w:pPr>
      <w:numPr>
        <w:numId w:val="13"/>
      </w:numPr>
      <w:tabs>
        <w:tab w:val="clear" w:pos="340"/>
      </w:tabs>
      <w:spacing w:before="40" w:after="40"/>
    </w:pPr>
  </w:style>
  <w:style w:type="character" w:customStyle="1" w:styleId="SpecialBold">
    <w:name w:val="Special Bold"/>
    <w:basedOn w:val="DefaultParagraphFont"/>
    <w:rsid w:val="000F269D"/>
    <w:rPr>
      <w:b/>
      <w:spacing w:val="0"/>
    </w:rPr>
  </w:style>
  <w:style w:type="paragraph" w:styleId="ListBullet2">
    <w:name w:val="List Bullet 2"/>
    <w:basedOn w:val="List2"/>
    <w:rsid w:val="000F269D"/>
    <w:pPr>
      <w:numPr>
        <w:numId w:val="14"/>
      </w:numPr>
      <w:tabs>
        <w:tab w:val="clear" w:pos="680"/>
      </w:tabs>
    </w:pPr>
  </w:style>
  <w:style w:type="character" w:styleId="Emphasis">
    <w:name w:val="Emphasis"/>
    <w:basedOn w:val="DefaultParagraphFont"/>
    <w:qFormat/>
    <w:rsid w:val="000F269D"/>
    <w:rPr>
      <w:i/>
    </w:rPr>
  </w:style>
  <w:style w:type="paragraph" w:customStyle="1" w:styleId="SuperHeading">
    <w:name w:val="SuperHeading"/>
    <w:basedOn w:val="Normal"/>
    <w:rsid w:val="000F269D"/>
    <w:pPr>
      <w:spacing w:before="240" w:after="120"/>
      <w:outlineLvl w:val="0"/>
    </w:pPr>
    <w:rPr>
      <w:rFonts w:ascii="Times New Roman" w:hAnsi="Times New Roman"/>
      <w:b/>
      <w:sz w:val="28"/>
    </w:rPr>
  </w:style>
  <w:style w:type="paragraph" w:customStyle="1" w:styleId="AllowPageBreak">
    <w:name w:val="AllowPageBreak"/>
    <w:rsid w:val="000F2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F269D"/>
    <w:rPr>
      <w:u w:val="single"/>
    </w:rPr>
  </w:style>
  <w:style w:type="character" w:customStyle="1" w:styleId="BoldandItalics">
    <w:name w:val="Bold and Italics"/>
    <w:qFormat/>
    <w:rsid w:val="000F269D"/>
    <w:rPr>
      <w:b/>
      <w:i/>
      <w:u w:val="none"/>
    </w:rPr>
  </w:style>
  <w:style w:type="character" w:customStyle="1" w:styleId="Heading2Char">
    <w:name w:val="Heading 2 Char"/>
    <w:basedOn w:val="DefaultParagraphFont"/>
    <w:link w:val="Heading2"/>
    <w:rsid w:val="000F2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69D"/>
    <w:rPr>
      <w:rFonts w:ascii="Courier New" w:eastAsia="Times New Roman" w:hAnsi="Courier New" w:cs="Times New Roman"/>
      <w:i/>
      <w:szCs w:val="20"/>
      <w:lang w:eastAsia="en-US"/>
    </w:rPr>
  </w:style>
  <w:style w:type="paragraph" w:customStyle="1" w:styleId="HeadingBase">
    <w:name w:val="Heading Base"/>
    <w:rsid w:val="000F2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69D"/>
    <w:pPr>
      <w:tabs>
        <w:tab w:val="right" w:leader="dot" w:pos="9072"/>
      </w:tabs>
      <w:ind w:left="567"/>
    </w:pPr>
    <w:rPr>
      <w:szCs w:val="22"/>
    </w:rPr>
  </w:style>
  <w:style w:type="paragraph" w:customStyle="1" w:styleId="TOCBase">
    <w:name w:val="TOC Base"/>
    <w:rsid w:val="000F2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69D"/>
    <w:pPr>
      <w:tabs>
        <w:tab w:val="right" w:leader="dot" w:pos="9072"/>
      </w:tabs>
      <w:spacing w:before="40" w:after="40"/>
      <w:ind w:left="284"/>
    </w:pPr>
    <w:rPr>
      <w:rFonts w:ascii="Times New Roman" w:hAnsi="Times New Roman"/>
    </w:rPr>
  </w:style>
  <w:style w:type="paragraph" w:styleId="TOC1">
    <w:name w:val="toc 1"/>
    <w:basedOn w:val="TOCBase"/>
    <w:next w:val="Normal"/>
    <w:rsid w:val="000F26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269D"/>
    <w:pPr>
      <w:spacing w:before="5040"/>
      <w:jc w:val="center"/>
    </w:pPr>
    <w:rPr>
      <w:sz w:val="48"/>
      <w:szCs w:val="72"/>
      <w:lang w:val="en-US"/>
    </w:rPr>
  </w:style>
  <w:style w:type="character" w:customStyle="1" w:styleId="TitleChar">
    <w:name w:val="Title Char"/>
    <w:basedOn w:val="DefaultParagraphFont"/>
    <w:link w:val="Title"/>
    <w:rsid w:val="000F2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69D"/>
    <w:pPr>
      <w:tabs>
        <w:tab w:val="left" w:pos="3600"/>
        <w:tab w:val="left" w:pos="3958"/>
      </w:tabs>
    </w:pPr>
  </w:style>
  <w:style w:type="paragraph" w:customStyle="1" w:styleId="Note">
    <w:name w:val="Note"/>
    <w:basedOn w:val="BodyText"/>
    <w:rsid w:val="000F2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69D"/>
    <w:pPr>
      <w:framePr w:wrap="auto" w:hAnchor="text" w:y="6049"/>
    </w:pPr>
    <w:rPr>
      <w:color w:val="000000"/>
      <w:sz w:val="40"/>
    </w:rPr>
  </w:style>
  <w:style w:type="paragraph" w:customStyle="1" w:styleId="TOCTitle">
    <w:name w:val="TOCTitle"/>
    <w:basedOn w:val="Heading1"/>
    <w:rsid w:val="000F269D"/>
    <w:pPr>
      <w:spacing w:after="240"/>
      <w:jc w:val="center"/>
      <w:outlineLvl w:val="9"/>
    </w:pPr>
    <w:rPr>
      <w:caps/>
    </w:rPr>
  </w:style>
  <w:style w:type="paragraph" w:customStyle="1" w:styleId="Version">
    <w:name w:val="Version"/>
    <w:rsid w:val="000F26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69D"/>
    <w:pPr>
      <w:keepNext w:val="0"/>
      <w:tabs>
        <w:tab w:val="right" w:pos="4176"/>
      </w:tabs>
      <w:ind w:left="198" w:hanging="198"/>
    </w:pPr>
    <w:rPr>
      <w:rFonts w:ascii="Garamond" w:hAnsi="Garamond"/>
    </w:rPr>
  </w:style>
  <w:style w:type="paragraph" w:styleId="IndexHeading">
    <w:name w:val="index heading"/>
    <w:basedOn w:val="Normal"/>
    <w:next w:val="Index1"/>
    <w:semiHidden/>
    <w:rsid w:val="000F269D"/>
    <w:pPr>
      <w:spacing w:before="120" w:after="120"/>
    </w:pPr>
    <w:rPr>
      <w:rFonts w:ascii="Arial" w:hAnsi="Arial"/>
      <w:b/>
      <w:color w:val="918585"/>
      <w:sz w:val="24"/>
    </w:rPr>
  </w:style>
  <w:style w:type="paragraph" w:styleId="Header">
    <w:name w:val="header"/>
    <w:basedOn w:val="Normal"/>
    <w:link w:val="HeaderChar"/>
    <w:rsid w:val="000F2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69D"/>
    <w:rPr>
      <w:rFonts w:ascii="Times New Roman" w:eastAsia="Times New Roman" w:hAnsi="Times New Roman" w:cs="Times New Roman"/>
      <w:sz w:val="16"/>
      <w:szCs w:val="20"/>
      <w:lang w:val="en-GB" w:eastAsia="en-US"/>
    </w:rPr>
  </w:style>
  <w:style w:type="paragraph" w:customStyle="1" w:styleId="Chapter">
    <w:name w:val="Chapter"/>
    <w:basedOn w:val="Normal"/>
    <w:rsid w:val="000F269D"/>
    <w:pPr>
      <w:spacing w:before="240"/>
    </w:pPr>
    <w:rPr>
      <w:rFonts w:ascii="Times New Roman" w:hAnsi="Times New Roman"/>
      <w:smallCaps/>
      <w:spacing w:val="80"/>
      <w:sz w:val="28"/>
    </w:rPr>
  </w:style>
  <w:style w:type="paragraph" w:customStyle="1" w:styleId="InChapter">
    <w:name w:val="InChapter"/>
    <w:basedOn w:val="Heading3"/>
    <w:rsid w:val="000F269D"/>
    <w:pPr>
      <w:spacing w:after="240"/>
      <w:outlineLvl w:val="9"/>
    </w:pPr>
    <w:rPr>
      <w:noProof/>
    </w:rPr>
  </w:style>
  <w:style w:type="paragraph" w:styleId="Index2">
    <w:name w:val="index 2"/>
    <w:basedOn w:val="Normal"/>
    <w:next w:val="Normal"/>
    <w:semiHidden/>
    <w:rsid w:val="000F269D"/>
    <w:pPr>
      <w:tabs>
        <w:tab w:val="right" w:pos="4176"/>
      </w:tabs>
      <w:ind w:left="568" w:hanging="284"/>
    </w:pPr>
    <w:rPr>
      <w:rFonts w:ascii="Garamond" w:hAnsi="Garamond"/>
    </w:rPr>
  </w:style>
  <w:style w:type="paragraph" w:customStyle="1" w:styleId="Byline">
    <w:name w:val="Byline"/>
    <w:rsid w:val="000F2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69D"/>
    <w:pPr>
      <w:tabs>
        <w:tab w:val="clear" w:pos="3600"/>
        <w:tab w:val="clear" w:pos="3958"/>
      </w:tabs>
      <w:jc w:val="right"/>
    </w:pPr>
  </w:style>
  <w:style w:type="paragraph" w:styleId="Caption">
    <w:name w:val="caption"/>
    <w:basedOn w:val="BodyText"/>
    <w:next w:val="Normal"/>
    <w:qFormat/>
    <w:rsid w:val="000F269D"/>
    <w:pPr>
      <w:framePr w:w="2268" w:hSpace="181" w:vSpace="181" w:wrap="around" w:vAnchor="text" w:hAnchor="page" w:x="1135" w:y="285" w:anchorLock="1"/>
    </w:pPr>
    <w:rPr>
      <w:i/>
    </w:rPr>
  </w:style>
  <w:style w:type="paragraph" w:customStyle="1" w:styleId="MiniTOCTitle">
    <w:name w:val="MiniTOCTitle"/>
    <w:basedOn w:val="Heading4"/>
    <w:rsid w:val="000F269D"/>
    <w:pPr>
      <w:spacing w:before="240"/>
      <w:outlineLvl w:val="9"/>
    </w:pPr>
    <w:rPr>
      <w:noProof/>
      <w:sz w:val="24"/>
    </w:rPr>
  </w:style>
  <w:style w:type="paragraph" w:customStyle="1" w:styleId="MiniTOCItem">
    <w:name w:val="MiniTOCItem"/>
    <w:basedOn w:val="ListBullet"/>
    <w:rsid w:val="000F269D"/>
    <w:pPr>
      <w:numPr>
        <w:numId w:val="0"/>
      </w:numPr>
      <w:tabs>
        <w:tab w:val="right" w:leader="dot" w:pos="6521"/>
      </w:tabs>
      <w:spacing w:before="0" w:after="0"/>
    </w:pPr>
  </w:style>
  <w:style w:type="paragraph" w:customStyle="1" w:styleId="TOFTitle">
    <w:name w:val="TOFTitle"/>
    <w:basedOn w:val="TOCTitle"/>
    <w:rsid w:val="000F269D"/>
  </w:style>
  <w:style w:type="paragraph" w:styleId="TableofFigures">
    <w:name w:val="table of figures"/>
    <w:basedOn w:val="Normal"/>
    <w:next w:val="Normal"/>
    <w:semiHidden/>
    <w:rsid w:val="000F269D"/>
    <w:pPr>
      <w:tabs>
        <w:tab w:val="right" w:leader="dot" w:pos="9072"/>
      </w:tabs>
      <w:ind w:left="970" w:hanging="403"/>
    </w:pPr>
    <w:rPr>
      <w:rFonts w:ascii="Times New Roman" w:hAnsi="Times New Roman"/>
      <w:b/>
    </w:rPr>
  </w:style>
  <w:style w:type="paragraph" w:styleId="ListNumber">
    <w:name w:val="List Number"/>
    <w:basedOn w:val="List"/>
    <w:rsid w:val="000F269D"/>
    <w:pPr>
      <w:numPr>
        <w:numId w:val="11"/>
      </w:numPr>
    </w:pPr>
  </w:style>
  <w:style w:type="character" w:customStyle="1" w:styleId="WingdingSymbols">
    <w:name w:val="Wingding Symbols"/>
    <w:rsid w:val="000F269D"/>
    <w:rPr>
      <w:rFonts w:ascii="Wingdings" w:hAnsi="Wingdings"/>
    </w:rPr>
  </w:style>
  <w:style w:type="paragraph" w:customStyle="1" w:styleId="TableHeading">
    <w:name w:val="Table Heading"/>
    <w:basedOn w:val="HeadingBase"/>
    <w:rsid w:val="000F269D"/>
    <w:pPr>
      <w:keepLines/>
      <w:pBdr>
        <w:bottom w:val="single" w:sz="6" w:space="1" w:color="918585"/>
      </w:pBdr>
      <w:spacing w:before="240"/>
    </w:pPr>
  </w:style>
  <w:style w:type="character" w:customStyle="1" w:styleId="HotSpot">
    <w:name w:val="HotSpot"/>
    <w:rsid w:val="000F269D"/>
    <w:rPr>
      <w:color w:val="0033CC"/>
      <w:u w:val="none"/>
    </w:rPr>
  </w:style>
  <w:style w:type="paragraph" w:customStyle="1" w:styleId="BodyTextRight">
    <w:name w:val="Body Text Right"/>
    <w:basedOn w:val="BodyText"/>
    <w:rsid w:val="000F269D"/>
    <w:pPr>
      <w:spacing w:before="0" w:after="0"/>
      <w:jc w:val="right"/>
    </w:pPr>
  </w:style>
  <w:style w:type="paragraph" w:styleId="Index3">
    <w:name w:val="index 3"/>
    <w:basedOn w:val="ListNumber2"/>
    <w:next w:val="Normal"/>
    <w:semiHidden/>
    <w:rsid w:val="000F269D"/>
    <w:pPr>
      <w:numPr>
        <w:numId w:val="0"/>
      </w:numPr>
      <w:tabs>
        <w:tab w:val="right" w:leader="dot" w:pos="4176"/>
      </w:tabs>
    </w:pPr>
  </w:style>
  <w:style w:type="paragraph" w:styleId="ListNumber2">
    <w:name w:val="List Number 2"/>
    <w:basedOn w:val="List2"/>
    <w:rsid w:val="000F269D"/>
    <w:pPr>
      <w:numPr>
        <w:numId w:val="10"/>
      </w:numPr>
      <w:tabs>
        <w:tab w:val="clear" w:pos="1060"/>
      </w:tabs>
    </w:pPr>
  </w:style>
  <w:style w:type="paragraph" w:customStyle="1" w:styleId="MarginNote">
    <w:name w:val="Margin Note"/>
    <w:basedOn w:val="BodyText"/>
    <w:rsid w:val="000F2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69D"/>
    <w:rPr>
      <w:sz w:val="32"/>
    </w:rPr>
  </w:style>
  <w:style w:type="paragraph" w:customStyle="1" w:styleId="HeadingProcedure">
    <w:name w:val="Heading Procedure"/>
    <w:basedOn w:val="HeadingBase"/>
    <w:next w:val="Normal"/>
    <w:rsid w:val="000F269D"/>
    <w:pPr>
      <w:tabs>
        <w:tab w:val="left" w:pos="0"/>
      </w:tabs>
      <w:spacing w:before="120" w:after="60"/>
    </w:pPr>
    <w:rPr>
      <w:i/>
      <w:color w:val="918585"/>
      <w:sz w:val="22"/>
    </w:rPr>
  </w:style>
  <w:style w:type="paragraph" w:customStyle="1" w:styleId="TableBodyText">
    <w:name w:val="Table Body Text"/>
    <w:basedOn w:val="BodyText"/>
    <w:rsid w:val="000F269D"/>
    <w:pPr>
      <w:spacing w:before="60" w:after="60"/>
    </w:pPr>
  </w:style>
  <w:style w:type="paragraph" w:styleId="ListContinue">
    <w:name w:val="List Continue"/>
    <w:basedOn w:val="List"/>
    <w:rsid w:val="000F269D"/>
    <w:pPr>
      <w:ind w:firstLine="0"/>
    </w:pPr>
  </w:style>
  <w:style w:type="paragraph" w:customStyle="1" w:styleId="ListNote">
    <w:name w:val="List Note"/>
    <w:basedOn w:val="List"/>
    <w:rsid w:val="000F269D"/>
    <w:pPr>
      <w:pBdr>
        <w:top w:val="single" w:sz="6" w:space="2" w:color="918585"/>
        <w:bottom w:val="single" w:sz="6" w:space="2" w:color="918585"/>
      </w:pBdr>
      <w:tabs>
        <w:tab w:val="left" w:pos="1021"/>
      </w:tabs>
      <w:ind w:firstLine="0"/>
    </w:pPr>
  </w:style>
  <w:style w:type="paragraph" w:customStyle="1" w:styleId="Warning">
    <w:name w:val="Warning"/>
    <w:basedOn w:val="BodyText"/>
    <w:rsid w:val="000F269D"/>
    <w:pPr>
      <w:shd w:val="clear" w:color="auto" w:fill="D9D9D9"/>
      <w:tabs>
        <w:tab w:val="left" w:pos="992"/>
      </w:tabs>
      <w:ind w:left="119" w:right="119"/>
    </w:pPr>
    <w:rPr>
      <w:sz w:val="20"/>
    </w:rPr>
  </w:style>
  <w:style w:type="paragraph" w:customStyle="1" w:styleId="MarginIcons">
    <w:name w:val="Margin Icons"/>
    <w:basedOn w:val="BodyText"/>
    <w:rsid w:val="000F2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69D"/>
    <w:rPr>
      <w:rFonts w:ascii="Courier New" w:hAnsi="Courier New"/>
    </w:rPr>
  </w:style>
  <w:style w:type="paragraph" w:customStyle="1" w:styleId="NoteBullet">
    <w:name w:val="Note Bullet"/>
    <w:basedOn w:val="Note"/>
    <w:rsid w:val="000F269D"/>
    <w:pPr>
      <w:tabs>
        <w:tab w:val="clear" w:pos="680"/>
      </w:tabs>
      <w:spacing w:before="60" w:after="60"/>
    </w:pPr>
  </w:style>
  <w:style w:type="paragraph" w:customStyle="1" w:styleId="SubHeading2">
    <w:name w:val="SubHeading2"/>
    <w:basedOn w:val="HeadingBase"/>
    <w:rsid w:val="000F269D"/>
    <w:pPr>
      <w:spacing w:before="240" w:after="60"/>
    </w:pPr>
    <w:rPr>
      <w:sz w:val="20"/>
    </w:rPr>
  </w:style>
  <w:style w:type="paragraph" w:customStyle="1" w:styleId="SubHeading1">
    <w:name w:val="SubHeading1"/>
    <w:basedOn w:val="HeadingBase"/>
    <w:rsid w:val="000F269D"/>
    <w:pPr>
      <w:spacing w:before="240" w:after="60"/>
    </w:pPr>
    <w:rPr>
      <w:color w:val="918585"/>
      <w:sz w:val="22"/>
    </w:rPr>
  </w:style>
  <w:style w:type="paragraph" w:customStyle="1" w:styleId="SideHeading">
    <w:name w:val="Side Heading"/>
    <w:basedOn w:val="HeadingBase"/>
    <w:rsid w:val="000F2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69D"/>
    <w:pPr>
      <w:numPr>
        <w:numId w:val="12"/>
      </w:numPr>
    </w:pPr>
  </w:style>
  <w:style w:type="paragraph" w:styleId="PlainText">
    <w:name w:val="Plain Text"/>
    <w:basedOn w:val="Normal"/>
    <w:link w:val="PlainTextChar"/>
    <w:rsid w:val="000F269D"/>
    <w:rPr>
      <w:sz w:val="20"/>
    </w:rPr>
  </w:style>
  <w:style w:type="character" w:customStyle="1" w:styleId="PlainTextChar">
    <w:name w:val="Plain Text Char"/>
    <w:basedOn w:val="DefaultParagraphFont"/>
    <w:link w:val="PlainText"/>
    <w:rsid w:val="000F269D"/>
    <w:rPr>
      <w:rFonts w:ascii="Courier New" w:eastAsia="Times New Roman" w:hAnsi="Courier New" w:cs="Times New Roman"/>
      <w:sz w:val="20"/>
      <w:szCs w:val="20"/>
      <w:lang w:eastAsia="en-US"/>
    </w:rPr>
  </w:style>
  <w:style w:type="character" w:customStyle="1" w:styleId="MenuOption">
    <w:name w:val="Menu Option"/>
    <w:basedOn w:val="DefaultParagraphFont"/>
    <w:rsid w:val="000F269D"/>
    <w:rPr>
      <w:b/>
      <w:smallCaps/>
    </w:rPr>
  </w:style>
  <w:style w:type="paragraph" w:customStyle="1" w:styleId="TableListNumber">
    <w:name w:val="Table List Number"/>
    <w:basedOn w:val="ListNumber"/>
    <w:rsid w:val="000F269D"/>
    <w:pPr>
      <w:numPr>
        <w:numId w:val="0"/>
      </w:numPr>
    </w:pPr>
  </w:style>
  <w:style w:type="paragraph" w:styleId="TOC4">
    <w:name w:val="toc 4"/>
    <w:basedOn w:val="TOCBase"/>
    <w:next w:val="Normal"/>
    <w:semiHidden/>
    <w:rsid w:val="000F269D"/>
    <w:pPr>
      <w:tabs>
        <w:tab w:val="right" w:leader="dot" w:pos="9071"/>
      </w:tabs>
      <w:ind w:left="1701"/>
    </w:pPr>
  </w:style>
  <w:style w:type="paragraph" w:customStyle="1" w:styleId="ListAlpha">
    <w:name w:val="List Alpha"/>
    <w:basedOn w:val="List"/>
    <w:rsid w:val="000F269D"/>
    <w:pPr>
      <w:numPr>
        <w:numId w:val="9"/>
      </w:numPr>
    </w:pPr>
  </w:style>
  <w:style w:type="paragraph" w:customStyle="1" w:styleId="ListAlpha2">
    <w:name w:val="List Alpha 2"/>
    <w:basedOn w:val="List2"/>
    <w:rsid w:val="000F269D"/>
    <w:pPr>
      <w:numPr>
        <w:numId w:val="8"/>
      </w:numPr>
    </w:pPr>
  </w:style>
  <w:style w:type="paragraph" w:styleId="List2">
    <w:name w:val="List 2"/>
    <w:basedOn w:val="BodyText"/>
    <w:rsid w:val="000F269D"/>
    <w:pPr>
      <w:tabs>
        <w:tab w:val="left" w:pos="680"/>
      </w:tabs>
      <w:spacing w:before="60" w:after="60"/>
      <w:ind w:left="680" w:hanging="340"/>
    </w:pPr>
  </w:style>
  <w:style w:type="paragraph" w:styleId="List3">
    <w:name w:val="List 3"/>
    <w:basedOn w:val="BodyText"/>
    <w:rsid w:val="000F269D"/>
    <w:pPr>
      <w:tabs>
        <w:tab w:val="left" w:pos="1021"/>
      </w:tabs>
      <w:spacing w:before="60" w:after="60"/>
      <w:ind w:left="1020" w:hanging="340"/>
    </w:pPr>
  </w:style>
  <w:style w:type="paragraph" w:styleId="List4">
    <w:name w:val="List 4"/>
    <w:basedOn w:val="BodyText"/>
    <w:rsid w:val="000F269D"/>
    <w:pPr>
      <w:tabs>
        <w:tab w:val="left" w:pos="1361"/>
      </w:tabs>
      <w:spacing w:before="60" w:after="60"/>
      <w:ind w:left="1361" w:hanging="340"/>
    </w:pPr>
  </w:style>
  <w:style w:type="paragraph" w:styleId="List5">
    <w:name w:val="List 5"/>
    <w:basedOn w:val="BodyText"/>
    <w:rsid w:val="000F269D"/>
    <w:pPr>
      <w:tabs>
        <w:tab w:val="left" w:pos="1701"/>
      </w:tabs>
      <w:spacing w:before="60" w:after="60"/>
      <w:ind w:left="1701" w:hanging="340"/>
    </w:pPr>
  </w:style>
  <w:style w:type="paragraph" w:styleId="ListBullet3">
    <w:name w:val="List Bullet 3"/>
    <w:basedOn w:val="List3"/>
    <w:rsid w:val="000F269D"/>
    <w:pPr>
      <w:numPr>
        <w:numId w:val="15"/>
      </w:numPr>
      <w:tabs>
        <w:tab w:val="clear" w:pos="1021"/>
      </w:tabs>
      <w:ind w:left="1037" w:hanging="357"/>
    </w:pPr>
  </w:style>
  <w:style w:type="paragraph" w:styleId="ListBullet4">
    <w:name w:val="List Bullet 4"/>
    <w:basedOn w:val="List4"/>
    <w:rsid w:val="000F269D"/>
    <w:pPr>
      <w:numPr>
        <w:numId w:val="3"/>
      </w:numPr>
    </w:pPr>
  </w:style>
  <w:style w:type="paragraph" w:styleId="ListBullet5">
    <w:name w:val="List Bullet 5"/>
    <w:basedOn w:val="List5"/>
    <w:rsid w:val="000F269D"/>
    <w:pPr>
      <w:numPr>
        <w:numId w:val="4"/>
      </w:numPr>
    </w:pPr>
  </w:style>
  <w:style w:type="paragraph" w:styleId="ListContinue2">
    <w:name w:val="List Continue 2"/>
    <w:basedOn w:val="List2"/>
    <w:rsid w:val="000F269D"/>
    <w:pPr>
      <w:ind w:firstLine="0"/>
    </w:pPr>
  </w:style>
  <w:style w:type="paragraph" w:styleId="ListContinue3">
    <w:name w:val="List Continue 3"/>
    <w:basedOn w:val="List3"/>
    <w:rsid w:val="000F269D"/>
    <w:pPr>
      <w:ind w:left="1021" w:firstLine="0"/>
    </w:pPr>
  </w:style>
  <w:style w:type="paragraph" w:styleId="ListContinue4">
    <w:name w:val="List Continue 4"/>
    <w:basedOn w:val="List4"/>
    <w:rsid w:val="000F269D"/>
    <w:pPr>
      <w:ind w:firstLine="0"/>
    </w:pPr>
  </w:style>
  <w:style w:type="paragraph" w:styleId="ListContinue5">
    <w:name w:val="List Continue 5"/>
    <w:basedOn w:val="List5"/>
    <w:rsid w:val="000F269D"/>
    <w:pPr>
      <w:ind w:firstLine="0"/>
    </w:pPr>
  </w:style>
  <w:style w:type="paragraph" w:styleId="ListNumber3">
    <w:name w:val="List Number 3"/>
    <w:basedOn w:val="List3"/>
    <w:rsid w:val="000F269D"/>
    <w:pPr>
      <w:numPr>
        <w:numId w:val="5"/>
      </w:numPr>
    </w:pPr>
  </w:style>
  <w:style w:type="paragraph" w:styleId="ListNumber4">
    <w:name w:val="List Number 4"/>
    <w:basedOn w:val="List4"/>
    <w:rsid w:val="000F269D"/>
    <w:pPr>
      <w:numPr>
        <w:numId w:val="6"/>
      </w:numPr>
    </w:pPr>
  </w:style>
  <w:style w:type="paragraph" w:styleId="ListNumber5">
    <w:name w:val="List Number 5"/>
    <w:basedOn w:val="List5"/>
    <w:rsid w:val="000F269D"/>
    <w:pPr>
      <w:numPr>
        <w:numId w:val="7"/>
      </w:numPr>
    </w:pPr>
  </w:style>
  <w:style w:type="paragraph" w:styleId="BlockText">
    <w:name w:val="Block Text"/>
    <w:basedOn w:val="Normal"/>
    <w:rsid w:val="000F269D"/>
    <w:pPr>
      <w:spacing w:after="120"/>
      <w:ind w:left="1440" w:right="1440"/>
    </w:pPr>
  </w:style>
  <w:style w:type="character" w:customStyle="1" w:styleId="Subscript">
    <w:name w:val="Subscript"/>
    <w:basedOn w:val="DefaultParagraphFont"/>
    <w:rsid w:val="000F269D"/>
    <w:rPr>
      <w:sz w:val="16"/>
      <w:vertAlign w:val="subscript"/>
    </w:rPr>
  </w:style>
  <w:style w:type="character" w:customStyle="1" w:styleId="Superscript">
    <w:name w:val="Superscript"/>
    <w:basedOn w:val="DefaultParagraphFont"/>
    <w:rsid w:val="000F269D"/>
    <w:rPr>
      <w:sz w:val="16"/>
      <w:vertAlign w:val="superscript"/>
    </w:rPr>
  </w:style>
  <w:style w:type="character" w:customStyle="1" w:styleId="Symbols">
    <w:name w:val="Symbols"/>
    <w:basedOn w:val="DefaultParagraphFont"/>
    <w:rsid w:val="000F269D"/>
    <w:rPr>
      <w:rFonts w:ascii="Symbol" w:hAnsi="Symbol"/>
    </w:rPr>
  </w:style>
  <w:style w:type="character" w:customStyle="1" w:styleId="MenuOptions">
    <w:name w:val="Menu Options"/>
    <w:basedOn w:val="DefaultParagraphFont"/>
    <w:rsid w:val="000F269D"/>
    <w:rPr>
      <w:rFonts w:ascii="Arial Narrow" w:hAnsi="Arial Narrow"/>
      <w:smallCaps/>
    </w:rPr>
  </w:style>
  <w:style w:type="character" w:customStyle="1" w:styleId="Buttons">
    <w:name w:val="Buttons"/>
    <w:basedOn w:val="DefaultParagraphFont"/>
    <w:rsid w:val="000F269D"/>
    <w:rPr>
      <w:b/>
    </w:rPr>
  </w:style>
  <w:style w:type="character" w:customStyle="1" w:styleId="Underlined">
    <w:name w:val="Underlined"/>
    <w:basedOn w:val="DefaultParagraphFont"/>
    <w:rsid w:val="000F269D"/>
    <w:rPr>
      <w:u w:val="single"/>
    </w:rPr>
  </w:style>
  <w:style w:type="paragraph" w:customStyle="1" w:styleId="TableBodyTextRight">
    <w:name w:val="Table Body Text Right"/>
    <w:basedOn w:val="TableBodyText"/>
    <w:rsid w:val="000F269D"/>
    <w:pPr>
      <w:widowControl w:val="0"/>
      <w:autoSpaceDE w:val="0"/>
      <w:autoSpaceDN w:val="0"/>
      <w:adjustRightInd w:val="0"/>
      <w:jc w:val="right"/>
    </w:pPr>
    <w:rPr>
      <w:rFonts w:cs="Arial"/>
      <w:szCs w:val="18"/>
    </w:rPr>
  </w:style>
  <w:style w:type="paragraph" w:customStyle="1" w:styleId="CopyrightText">
    <w:name w:val="Copyright Text"/>
    <w:basedOn w:val="BodyText"/>
    <w:rsid w:val="000F269D"/>
    <w:rPr>
      <w:sz w:val="18"/>
    </w:rPr>
  </w:style>
  <w:style w:type="paragraph" w:customStyle="1" w:styleId="BodySmallRight">
    <w:name w:val="Body Small Right"/>
    <w:basedOn w:val="BodyTextRight"/>
    <w:rsid w:val="000F269D"/>
    <w:rPr>
      <w:sz w:val="18"/>
      <w:szCs w:val="18"/>
    </w:rPr>
  </w:style>
  <w:style w:type="paragraph" w:customStyle="1" w:styleId="MarginEdition">
    <w:name w:val="Margin Edition"/>
    <w:basedOn w:val="MarginNote"/>
    <w:rsid w:val="000F269D"/>
    <w:pPr>
      <w:spacing w:before="0" w:after="0"/>
    </w:pPr>
    <w:rPr>
      <w:rFonts w:ascii="Times New Roman" w:hAnsi="Times New Roman"/>
      <w:color w:val="999999"/>
    </w:rPr>
  </w:style>
  <w:style w:type="paragraph" w:customStyle="1" w:styleId="Spacer">
    <w:name w:val="Spacer"/>
    <w:basedOn w:val="Normal"/>
    <w:rsid w:val="000F269D"/>
    <w:rPr>
      <w:sz w:val="2"/>
      <w:szCs w:val="2"/>
    </w:rPr>
  </w:style>
  <w:style w:type="character" w:customStyle="1" w:styleId="Small">
    <w:name w:val="Small"/>
    <w:basedOn w:val="DefaultParagraphFont"/>
    <w:rsid w:val="000F269D"/>
    <w:rPr>
      <w:sz w:val="16"/>
    </w:rPr>
  </w:style>
  <w:style w:type="paragraph" w:customStyle="1" w:styleId="WideTable">
    <w:name w:val="Wide Table"/>
    <w:basedOn w:val="Normal"/>
    <w:rsid w:val="000F269D"/>
    <w:pPr>
      <w:ind w:left="-1418"/>
    </w:pPr>
    <w:rPr>
      <w:sz w:val="2"/>
      <w:szCs w:val="2"/>
    </w:rPr>
  </w:style>
  <w:style w:type="character" w:styleId="PageNumber">
    <w:name w:val="page number"/>
    <w:basedOn w:val="DefaultParagraphFont"/>
    <w:rsid w:val="000F269D"/>
  </w:style>
  <w:style w:type="paragraph" w:styleId="Quote">
    <w:name w:val="Quote"/>
    <w:basedOn w:val="Heading1"/>
    <w:link w:val="QuoteChar"/>
    <w:qFormat/>
    <w:rsid w:val="000F269D"/>
    <w:rPr>
      <w:b w:val="0"/>
      <w:sz w:val="72"/>
      <w:szCs w:val="72"/>
      <w:lang w:val="en-NZ"/>
    </w:rPr>
  </w:style>
  <w:style w:type="character" w:customStyle="1" w:styleId="QuoteChar">
    <w:name w:val="Quote Char"/>
    <w:basedOn w:val="DefaultParagraphFont"/>
    <w:link w:val="Quote"/>
    <w:rsid w:val="000F2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69D"/>
    <w:pPr>
      <w:pageBreakBefore/>
    </w:pPr>
  </w:style>
  <w:style w:type="paragraph" w:customStyle="1" w:styleId="Border">
    <w:name w:val="Border"/>
    <w:basedOn w:val="Normal"/>
    <w:qFormat/>
    <w:rsid w:val="000F2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69D"/>
    <w:rPr>
      <w:b/>
      <w:bCs/>
      <w:i/>
      <w:iCs/>
      <w:color w:val="auto"/>
    </w:rPr>
  </w:style>
  <w:style w:type="paragraph" w:styleId="IntenseQuote">
    <w:name w:val="Intense Quote"/>
    <w:basedOn w:val="Normal"/>
    <w:next w:val="Normal"/>
    <w:link w:val="IntenseQuoteChar"/>
    <w:uiPriority w:val="30"/>
    <w:qFormat/>
    <w:rsid w:val="000F2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69D"/>
    <w:rPr>
      <w:smallCaps/>
      <w:color w:val="auto"/>
      <w:u w:val="single"/>
    </w:rPr>
  </w:style>
  <w:style w:type="character" w:styleId="IntenseReference">
    <w:name w:val="Intense Reference"/>
    <w:basedOn w:val="DefaultParagraphFont"/>
    <w:uiPriority w:val="32"/>
    <w:qFormat/>
    <w:rsid w:val="000F269D"/>
    <w:rPr>
      <w:b/>
      <w:bCs/>
      <w:smallCaps/>
      <w:color w:val="auto"/>
      <w:spacing w:val="5"/>
      <w:u w:val="single"/>
    </w:rPr>
  </w:style>
  <w:style w:type="paragraph" w:customStyle="1" w:styleId="2ColumnHeading">
    <w:name w:val="2Column Heading"/>
    <w:basedOn w:val="BodyText"/>
    <w:qFormat/>
    <w:rsid w:val="000F269D"/>
    <w:pPr>
      <w:spacing w:after="60"/>
      <w:ind w:left="-2268"/>
    </w:pPr>
    <w:rPr>
      <w:b/>
    </w:rPr>
  </w:style>
  <w:style w:type="paragraph" w:customStyle="1" w:styleId="Heading1TOC">
    <w:name w:val="Heading1 TOC"/>
    <w:basedOn w:val="Normal"/>
    <w:qFormat/>
    <w:rsid w:val="000F269D"/>
    <w:pPr>
      <w:spacing w:before="240" w:after="120"/>
    </w:pPr>
    <w:rPr>
      <w:rFonts w:ascii="Times New Roman" w:hAnsi="Times New Roman"/>
      <w:b/>
      <w:sz w:val="32"/>
    </w:rPr>
  </w:style>
  <w:style w:type="paragraph" w:customStyle="1" w:styleId="Heading2TOC">
    <w:name w:val="Heading2 TOC"/>
    <w:basedOn w:val="Normal"/>
    <w:qFormat/>
    <w:rsid w:val="000F269D"/>
    <w:pPr>
      <w:spacing w:before="240" w:after="60"/>
    </w:pPr>
    <w:rPr>
      <w:rFonts w:ascii="Times New Roman" w:hAnsi="Times New Roman"/>
      <w:b/>
      <w:sz w:val="28"/>
    </w:rPr>
  </w:style>
  <w:style w:type="paragraph" w:styleId="BalloonText">
    <w:name w:val="Balloon Text"/>
    <w:basedOn w:val="Normal"/>
    <w:link w:val="BalloonTextChar"/>
    <w:rsid w:val="000F269D"/>
    <w:rPr>
      <w:rFonts w:ascii="Tahoma" w:hAnsi="Tahoma" w:cs="Tahoma"/>
      <w:sz w:val="16"/>
      <w:szCs w:val="16"/>
    </w:rPr>
  </w:style>
  <w:style w:type="character" w:customStyle="1" w:styleId="BalloonTextChar">
    <w:name w:val="Balloon Text Char"/>
    <w:basedOn w:val="DefaultParagraphFont"/>
    <w:link w:val="BalloonText"/>
    <w:rsid w:val="000F2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69D"/>
    <w:rPr>
      <w:b/>
      <w:color w:val="660033"/>
      <w:spacing w:val="0"/>
    </w:rPr>
  </w:style>
  <w:style w:type="paragraph" w:customStyle="1" w:styleId="Nameditemlist">
    <w:name w:val="Named item list"/>
    <w:basedOn w:val="BodyText"/>
    <w:qFormat/>
    <w:rsid w:val="000F26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1266</Words>
  <Characters>7926</Characters>
  <Application>Microsoft Office Word</Application>
  <DocSecurity>0</DocSecurity>
  <Lines>252</Lines>
  <Paragraphs>138</Paragraphs>
  <ScaleCrop>false</ScaleCrop>
  <Company>Author-it Software Corporation Ltd.</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PSPFRAU602B Manage fraud risk assessment and action plan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2012-11-01T02:56:00Z</dcterms:created>
  <dcterms:modified xsi:type="dcterms:W3CDTF">2012-11-01T02:56:00Z</dcterms:modified>
</cp:coreProperties>
</file>