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CC8" w:rsidP="00DE6CC8">
      <w:pPr>
        <w:pStyle w:val="Title"/>
      </w:pPr>
      <w:r>
        <w:fldChar w:fldCharType="begin"/>
      </w:r>
      <w:r>
        <w:instrText xml:space="preserve"> TITLE   \* MERGEFORMAT </w:instrText>
      </w:r>
      <w:r>
        <w:fldChar w:fldCharType="separate"/>
      </w:r>
      <w:r>
        <w:t>PSPFRAU505B Develop fraud control plans</w:t>
      </w:r>
      <w:r>
        <w:fldChar w:fldCharType="end"/>
      </w:r>
    </w:p>
    <w:p w:rsidR="00DE6CC8" w:rsidP="00DE6CC8">
      <w:pPr>
        <w:pStyle w:val="Version"/>
        <w:sectPr w:rsidSect="008169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169C1" w:rsidP="008169C1">
      <w:pPr>
        <w:pStyle w:val="SuperHeading"/>
      </w:pPr>
      <w:r w:rsidRPr="008169C1">
        <w:t>PSPFRAU505B Develop fraud control plans</w:t>
      </w:r>
    </w:p>
    <w:p w:rsidR="00000000" w:rsidRPr="008169C1" w:rsidP="008169C1">
      <w:pPr>
        <w:pStyle w:val="SuperHeading"/>
      </w:pPr>
    </w:p>
    <w:p w:rsidR="00000000" w:rsidRPr="008169C1" w:rsidP="008169C1">
      <w:pPr>
        <w:pStyle w:val="Heading1"/>
      </w:pPr>
      <w:bookmarkStart w:id="1" w:name="O_495111"/>
      <w:bookmarkEnd w:id="1"/>
      <w:r w:rsidRPr="008169C1">
        <w:t>Modification History</w:t>
      </w:r>
    </w:p>
    <w:tbl>
      <w:tblPr>
        <w:tblW w:w="0" w:type="auto"/>
        <w:tblLayout w:type="fixed"/>
        <w:tblCellMar>
          <w:left w:w="62" w:type="dxa"/>
          <w:right w:w="62" w:type="dxa"/>
        </w:tblCellMar>
        <w:tblLook w:val="0000"/>
      </w:tblPr>
      <w:tblGrid>
        <w:gridCol w:w="3052"/>
        <w:gridCol w:w="3052"/>
        <w:gridCol w:w="3052"/>
      </w:tblGrid>
      <w:tr w:rsidTr="00DE6CC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9C1" w:rsidP="008169C1">
            <w:pPr>
              <w:pStyle w:val="BodyText"/>
            </w:pPr>
            <w:r w:rsidRPr="008169C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9C1" w:rsidP="008169C1">
            <w:pPr>
              <w:pStyle w:val="BodyText"/>
            </w:pPr>
            <w:r w:rsidRPr="008169C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9C1">
            <w:pPr>
              <w:pStyle w:val="BodyText"/>
              <w:rPr>
                <w:lang w:val="en-NZ"/>
              </w:rPr>
            </w:pPr>
            <w:r w:rsidRPr="008169C1">
              <w:rPr>
                <w:rStyle w:val="SpecialBold"/>
              </w:rPr>
              <w:t>Comments</w:t>
            </w:r>
          </w:p>
        </w:tc>
      </w:tr>
      <w:tr w:rsidTr="00DE6CC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9C1">
            <w:pPr>
              <w:pStyle w:val="BodyText"/>
              <w:rPr>
                <w:lang w:val="en-NZ"/>
              </w:rPr>
            </w:pPr>
            <w:r w:rsidRPr="008169C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9C1">
            <w:pPr>
              <w:pStyle w:val="BodyText"/>
              <w:rPr>
                <w:lang w:val="en-NZ"/>
              </w:rPr>
            </w:pPr>
            <w:r w:rsidRPr="008169C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9C1">
            <w:pPr>
              <w:pStyle w:val="BodyText"/>
              <w:rPr>
                <w:lang w:val="en-NZ"/>
              </w:rPr>
            </w:pPr>
            <w:r w:rsidRPr="008169C1">
              <w:t xml:space="preserve">Unit descriptor edited. </w:t>
            </w:r>
          </w:p>
        </w:tc>
      </w:tr>
      <w:tr w:rsidTr="00DE6CC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9C1">
            <w:pPr>
              <w:pStyle w:val="BodyText"/>
              <w:rPr>
                <w:lang w:val="en-NZ"/>
              </w:rPr>
            </w:pPr>
            <w:r w:rsidRPr="008169C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9C1">
            <w:pPr>
              <w:pStyle w:val="BodyText"/>
              <w:rPr>
                <w:lang w:val="en-NZ"/>
              </w:rPr>
            </w:pPr>
            <w:r w:rsidRPr="008169C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9C1">
            <w:pPr>
              <w:pStyle w:val="BodyText"/>
              <w:rPr>
                <w:lang w:val="en-NZ"/>
              </w:rPr>
            </w:pPr>
            <w:r w:rsidRPr="008169C1">
              <w:t>Layout adjusted. No changes to content.</w:t>
            </w:r>
          </w:p>
        </w:tc>
      </w:tr>
      <w:tr w:rsidTr="00DE6CC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9C1">
            <w:pPr>
              <w:pStyle w:val="BodyText"/>
              <w:rPr>
                <w:lang w:val="en-NZ"/>
              </w:rPr>
            </w:pPr>
            <w:r w:rsidRPr="008169C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9C1">
            <w:pPr>
              <w:pStyle w:val="BodyText"/>
              <w:rPr>
                <w:lang w:val="en-NZ"/>
              </w:rPr>
            </w:pPr>
            <w:r w:rsidRPr="008169C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9C1" w:rsidP="008169C1">
            <w:pPr>
              <w:pStyle w:val="BodyText"/>
            </w:pPr>
            <w:r w:rsidRPr="008169C1">
              <w:t>Primary release.</w:t>
            </w:r>
          </w:p>
        </w:tc>
      </w:tr>
    </w:tbl>
    <w:p w:rsidR="00DE6CC8" w:rsidP="008169C1">
      <w:pPr>
        <w:pStyle w:val="BodyText"/>
      </w:pPr>
    </w:p>
    <w:p w:rsidR="00DE6CC8" w:rsidP="008169C1">
      <w:pPr>
        <w:pStyle w:val="BodyText"/>
      </w:pPr>
    </w:p>
    <w:p w:rsidR="00000000" w:rsidRPr="008169C1" w:rsidP="008169C1">
      <w:pPr>
        <w:pStyle w:val="Heading1"/>
      </w:pPr>
      <w:bookmarkStart w:id="2" w:name="O_495112"/>
      <w:bookmarkEnd w:id="2"/>
      <w:r w:rsidRPr="008169C1">
        <w:t>Unit Descriptor</w:t>
      </w:r>
    </w:p>
    <w:p w:rsidR="00000000" w:rsidRPr="008169C1" w:rsidP="008169C1">
      <w:pPr>
        <w:pStyle w:val="BodyText"/>
      </w:pPr>
      <w:r w:rsidRPr="008169C1">
        <w:t>This unit covers planning actions in response to the organisation's fraud/corruption control strategy, either the preparation of a specific fraud/</w:t>
      </w:r>
      <w:r w:rsidRPr="008169C1">
        <w:t xml:space="preserve">corruption control plan based on a risk assessment or as an extension of the organisation's documentation of its fraud/corruption control strategy. The unit includes identifying areas for action, gaining commitment to the plan, identifying qualitative and </w:t>
      </w:r>
      <w:r w:rsidRPr="008169C1">
        <w:t>quantitative performance indicators, and documenting and disseminating the fraud/corruption control plan.</w:t>
      </w:r>
    </w:p>
    <w:p w:rsidR="00000000" w:rsidRPr="008169C1" w:rsidP="008169C1">
      <w:pPr>
        <w:pStyle w:val="BodyText"/>
      </w:pPr>
      <w:r w:rsidRPr="008169C1">
        <w:rPr>
          <w:rStyle w:val="Emphasis"/>
        </w:rPr>
        <w:t>Fraud</w:t>
      </w:r>
      <w:r w:rsidRPr="008169C1">
        <w:t xml:space="preserve"> in the unit title incorporates both </w:t>
      </w:r>
      <w:r w:rsidRPr="008169C1">
        <w:rPr>
          <w:rStyle w:val="Emphasis"/>
        </w:rPr>
        <w:t>fraud and corruption</w:t>
      </w:r>
      <w:r w:rsidRPr="008169C1">
        <w:t xml:space="preserve">. </w:t>
      </w:r>
    </w:p>
    <w:p w:rsidR="00000000" w:rsidRPr="008169C1" w:rsidP="008169C1">
      <w:pPr>
        <w:pStyle w:val="BodyText"/>
      </w:pPr>
      <w:r w:rsidRPr="008169C1">
        <w:t>In practice, developing fraud control plans may overlap with other generalist or spec</w:t>
      </w:r>
      <w:r w:rsidRPr="008169C1">
        <w:t>ialist public sector workplace activities such as acting ethically, promoting compliance with legislation, delivering client services, anticipating fraud activity, conducting fraud risk assessments, etc.</w:t>
      </w:r>
    </w:p>
    <w:p w:rsidR="00000000" w:rsidRPr="008169C1" w:rsidP="008169C1">
      <w:pPr>
        <w:pStyle w:val="BodyText"/>
      </w:pPr>
      <w:r w:rsidRPr="008169C1">
        <w:t xml:space="preserve">This unit replaces and is equivalent to </w:t>
      </w:r>
      <w:r w:rsidRPr="008169C1">
        <w:rPr>
          <w:rStyle w:val="Emphasis"/>
        </w:rPr>
        <w:t xml:space="preserve">PSPFRAU505A </w:t>
      </w:r>
      <w:r w:rsidRPr="008169C1">
        <w:rPr>
          <w:rStyle w:val="Emphasis"/>
        </w:rPr>
        <w:t>Develop fraud control plan</w:t>
      </w:r>
      <w:r w:rsidRPr="008169C1">
        <w:t>.</w:t>
      </w:r>
    </w:p>
    <w:p w:rsidR="00000000" w:rsidRPr="008169C1" w:rsidP="008169C1">
      <w:pPr>
        <w:pStyle w:val="BodyText"/>
      </w:pPr>
      <w:r w:rsidRPr="008169C1">
        <w:t>No licensing, legislative, regulatory or certification requirements apply to this unit at the time of publication</w:t>
      </w:r>
    </w:p>
    <w:p w:rsidR="00000000" w:rsidRPr="008169C1" w:rsidP="008169C1">
      <w:pPr>
        <w:pStyle w:val="AllowPageBreak"/>
      </w:pPr>
    </w:p>
    <w:p w:rsidR="00000000" w:rsidRPr="008169C1" w:rsidP="008169C1">
      <w:pPr>
        <w:pStyle w:val="Heading1"/>
      </w:pPr>
      <w:bookmarkStart w:id="3" w:name="O_495118"/>
      <w:bookmarkEnd w:id="3"/>
      <w:r w:rsidRPr="008169C1">
        <w:t>Application of the Unit</w:t>
      </w:r>
    </w:p>
    <w:p w:rsidR="00000000" w:rsidRPr="008169C1" w:rsidP="008169C1">
      <w:pPr>
        <w:pStyle w:val="BodyText"/>
      </w:pPr>
      <w:r w:rsidRPr="008169C1">
        <w:t>Not applicable.</w:t>
      </w:r>
    </w:p>
    <w:p w:rsidR="00000000" w:rsidRPr="008169C1" w:rsidP="008169C1">
      <w:pPr>
        <w:pStyle w:val="AllowPageBreak"/>
      </w:pPr>
    </w:p>
    <w:p w:rsidR="00000000" w:rsidRPr="008169C1" w:rsidP="008169C1">
      <w:pPr>
        <w:pStyle w:val="Heading1"/>
      </w:pPr>
      <w:bookmarkStart w:id="4" w:name="O_495113"/>
      <w:bookmarkEnd w:id="4"/>
      <w:r w:rsidRPr="008169C1">
        <w:t>Licensing/Regulatory Information</w:t>
      </w:r>
    </w:p>
    <w:p w:rsidR="00000000" w:rsidRPr="008169C1" w:rsidP="008169C1">
      <w:pPr>
        <w:pStyle w:val="BodyText"/>
      </w:pPr>
      <w:r w:rsidRPr="008169C1">
        <w:t>Not applicable.</w:t>
      </w:r>
    </w:p>
    <w:p w:rsidR="00000000" w:rsidRPr="008169C1" w:rsidP="008169C1">
      <w:pPr>
        <w:pStyle w:val="AllowPageBreak"/>
      </w:pPr>
    </w:p>
    <w:p w:rsidR="00000000" w:rsidRPr="008169C1" w:rsidP="008169C1">
      <w:pPr>
        <w:pStyle w:val="Heading1"/>
      </w:pPr>
      <w:bookmarkStart w:id="5" w:name="O_495108"/>
      <w:bookmarkEnd w:id="5"/>
      <w:r w:rsidRPr="008169C1">
        <w:t>Pre-Requisites</w:t>
      </w:r>
    </w:p>
    <w:p w:rsidR="00000000" w:rsidRPr="008169C1" w:rsidP="008169C1">
      <w:pPr>
        <w:pStyle w:val="BodyText"/>
      </w:pPr>
      <w:r w:rsidRPr="008169C1">
        <w:t>Not applicable.</w:t>
      </w:r>
    </w:p>
    <w:p w:rsidR="00000000" w:rsidRPr="008169C1" w:rsidP="008169C1">
      <w:pPr>
        <w:pStyle w:val="AllowPageBreak"/>
      </w:pPr>
    </w:p>
    <w:p w:rsidR="00000000" w:rsidRPr="008169C1" w:rsidP="008169C1">
      <w:pPr>
        <w:pStyle w:val="Heading1"/>
      </w:pPr>
      <w:bookmarkStart w:id="6" w:name="O_495115"/>
      <w:bookmarkEnd w:id="6"/>
      <w:r w:rsidRPr="008169C1">
        <w:t>Employability Skills Information</w:t>
      </w:r>
    </w:p>
    <w:p w:rsidR="00000000" w:rsidRPr="008169C1" w:rsidP="008169C1">
      <w:pPr>
        <w:pStyle w:val="BodyText"/>
      </w:pPr>
      <w:r w:rsidRPr="008169C1">
        <w:t>This unit contains employability skills.</w:t>
      </w:r>
    </w:p>
    <w:p w:rsidR="00000000" w:rsidRPr="008169C1" w:rsidP="008169C1">
      <w:pPr>
        <w:pStyle w:val="AllowPageBreak"/>
      </w:pPr>
    </w:p>
    <w:p w:rsidR="00000000" w:rsidRPr="008169C1" w:rsidP="008169C1">
      <w:pPr>
        <w:pStyle w:val="Heading1"/>
      </w:pPr>
      <w:bookmarkStart w:id="7" w:name="O_495114"/>
      <w:bookmarkEnd w:id="7"/>
      <w:r w:rsidRPr="008169C1">
        <w:t>Elements and Performance Criteria Pre-Content</w:t>
      </w:r>
    </w:p>
    <w:tbl>
      <w:tblPr>
        <w:tblW w:w="9322" w:type="dxa"/>
        <w:tblLayout w:type="fixed"/>
        <w:tblCellMar>
          <w:left w:w="62" w:type="dxa"/>
          <w:right w:w="62" w:type="dxa"/>
        </w:tblCellMar>
        <w:tblLook w:val="0000"/>
      </w:tblPr>
      <w:tblGrid>
        <w:gridCol w:w="2660"/>
        <w:gridCol w:w="6662"/>
      </w:tblGrid>
      <w:tr w:rsidTr="00DE6C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9C1">
            <w:pPr>
              <w:pStyle w:val="BodyText"/>
              <w:rPr>
                <w:lang w:val="en-NZ"/>
              </w:rPr>
            </w:pPr>
            <w:r w:rsidRPr="008169C1">
              <w:t>Elements are the essential outcomes of</w:t>
            </w:r>
            <w:r w:rsidRPr="008169C1">
              <w:t xml:space="preserve"> the unit of competency.</w:t>
            </w:r>
          </w:p>
        </w:tc>
        <w:tc>
          <w:tcPr>
            <w:tcW w:w="6662" w:type="dxa"/>
            <w:tcBorders>
              <w:top w:val="nil"/>
              <w:left w:val="nil"/>
              <w:bottom w:val="nil"/>
              <w:right w:val="nil"/>
            </w:tcBorders>
            <w:tcMar>
              <w:top w:w="0" w:type="dxa"/>
              <w:left w:w="62" w:type="dxa"/>
              <w:bottom w:w="0" w:type="dxa"/>
              <w:right w:w="62" w:type="dxa"/>
            </w:tcMar>
          </w:tcPr>
          <w:p w:rsidR="00000000" w:rsidRPr="008169C1" w:rsidP="008169C1">
            <w:pPr>
              <w:pStyle w:val="BodyText"/>
            </w:pPr>
            <w:r w:rsidRPr="008169C1">
              <w:t xml:space="preserve">Together, performance criteria specify the requirements for competent performance. Text in </w:t>
            </w:r>
            <w:r w:rsidRPr="008169C1">
              <w:rPr>
                <w:rStyle w:val="BoldandItalics"/>
              </w:rPr>
              <w:t>bold italics</w:t>
            </w:r>
            <w:r w:rsidRPr="008169C1">
              <w:t xml:space="preserve">  is explained in the Range Statement following.</w:t>
            </w:r>
          </w:p>
        </w:tc>
      </w:tr>
    </w:tbl>
    <w:p w:rsidR="00000000" w:rsidRPr="008169C1" w:rsidP="008169C1">
      <w:pPr>
        <w:pStyle w:val="BodyText"/>
      </w:pPr>
    </w:p>
    <w:p w:rsidR="00000000" w:rsidRPr="008169C1" w:rsidP="008169C1">
      <w:pPr>
        <w:pStyle w:val="AllowPageBreak"/>
      </w:pPr>
    </w:p>
    <w:p w:rsidR="00000000" w:rsidRPr="008169C1" w:rsidP="008169C1">
      <w:pPr>
        <w:pStyle w:val="Heading1"/>
      </w:pPr>
      <w:bookmarkStart w:id="8" w:name="O_495116"/>
      <w:bookmarkEnd w:id="8"/>
      <w:r w:rsidRPr="008169C1">
        <w:t>Elements and Performance Criteria</w:t>
      </w:r>
    </w:p>
    <w:tbl>
      <w:tblPr>
        <w:tblW w:w="9322" w:type="dxa"/>
        <w:tblLayout w:type="fixed"/>
        <w:tblCellMar>
          <w:left w:w="62" w:type="dxa"/>
          <w:right w:w="62" w:type="dxa"/>
        </w:tblCellMar>
        <w:tblLook w:val="0000"/>
      </w:tblPr>
      <w:tblGrid>
        <w:gridCol w:w="2660"/>
        <w:gridCol w:w="6662"/>
      </w:tblGrid>
      <w:tr w:rsidTr="00DE6CC8">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8169C1" w:rsidP="008169C1">
            <w:pPr>
              <w:pStyle w:val="BodyText"/>
            </w:pPr>
            <w:r w:rsidRPr="008169C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169C1">
            <w:pPr>
              <w:pStyle w:val="BodyText"/>
              <w:rPr>
                <w:lang w:val="en-NZ"/>
              </w:rPr>
            </w:pPr>
            <w:r w:rsidRPr="008169C1">
              <w:rPr>
                <w:rStyle w:val="SpecialBold"/>
              </w:rPr>
              <w:t>PERFORMANCE CRITERIA</w:t>
            </w:r>
          </w:p>
        </w:tc>
      </w:tr>
      <w:tr w:rsidTr="00DE6C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9C1">
            <w:pPr>
              <w:pStyle w:val="List"/>
              <w:rPr>
                <w:lang w:val="en-NZ"/>
              </w:rPr>
            </w:pPr>
            <w:r w:rsidRPr="008169C1">
              <w:rPr>
                <w:rStyle w:val="SpecialBold"/>
              </w:rPr>
              <w:t>1</w:t>
            </w:r>
            <w:r w:rsidRPr="008169C1">
              <w:t xml:space="preserve">.  </w:t>
            </w:r>
            <w:r w:rsidRPr="008169C1">
              <w:tab/>
            </w:r>
            <w:r w:rsidRPr="008169C1">
              <w:rPr>
                <w:rStyle w:val="SpecialBold"/>
              </w:rPr>
              <w:t>Identify areas for action</w:t>
            </w:r>
          </w:p>
        </w:tc>
        <w:tc>
          <w:tcPr>
            <w:tcW w:w="6662" w:type="dxa"/>
            <w:tcBorders>
              <w:top w:val="nil"/>
              <w:left w:val="nil"/>
              <w:bottom w:val="nil"/>
              <w:right w:val="nil"/>
            </w:tcBorders>
            <w:tcMar>
              <w:top w:w="0" w:type="dxa"/>
              <w:left w:w="62" w:type="dxa"/>
              <w:bottom w:w="0" w:type="dxa"/>
              <w:right w:w="62" w:type="dxa"/>
            </w:tcMar>
          </w:tcPr>
          <w:p w:rsidR="00000000" w:rsidRPr="008169C1" w:rsidP="008169C1">
            <w:pPr>
              <w:pStyle w:val="List"/>
            </w:pPr>
            <w:r w:rsidRPr="008169C1">
              <w:t>1.1</w:t>
            </w:r>
            <w:r w:rsidRPr="008169C1">
              <w:tab/>
              <w:t>Processes are established to identify fraud and corruption risks and vulnerability.</w:t>
            </w:r>
          </w:p>
          <w:p w:rsidR="00000000" w:rsidRPr="008169C1" w:rsidP="008169C1">
            <w:pPr>
              <w:pStyle w:val="List"/>
            </w:pPr>
            <w:r w:rsidRPr="008169C1">
              <w:t>1.2</w:t>
            </w:r>
            <w:r w:rsidRPr="008169C1">
              <w:tab/>
              <w:t xml:space="preserve">Areas are </w:t>
            </w:r>
            <w:r w:rsidRPr="008169C1">
              <w:rPr>
                <w:rStyle w:val="BoldandItalics"/>
              </w:rPr>
              <w:t xml:space="preserve">identified </w:t>
            </w:r>
            <w:r w:rsidRPr="008169C1">
              <w:t xml:space="preserve">for action through the fraud/corruption risk assessment process or some other process for </w:t>
            </w:r>
            <w:r w:rsidRPr="008169C1">
              <w:t>identifying fraud and corruption vulnerability.</w:t>
            </w:r>
          </w:p>
          <w:p w:rsidR="00000000" w:rsidRPr="008169C1" w:rsidP="008169C1">
            <w:pPr>
              <w:pStyle w:val="List"/>
            </w:pPr>
            <w:r w:rsidRPr="008169C1">
              <w:t>1.3</w:t>
            </w:r>
            <w:r w:rsidRPr="008169C1">
              <w:tab/>
              <w:t>Initiatives are developed in consultation with appropriate staff to control identified vulnerabilities.</w:t>
            </w:r>
          </w:p>
          <w:p w:rsidR="00000000" w:rsidRPr="008169C1" w:rsidP="008169C1">
            <w:pPr>
              <w:pStyle w:val="List"/>
            </w:pPr>
            <w:r w:rsidRPr="008169C1">
              <w:t>1.4</w:t>
            </w:r>
            <w:r w:rsidRPr="008169C1">
              <w:tab/>
              <w:t>Areas within the organisation responsible for fraud and corruption minimisation actions are iden</w:t>
            </w:r>
            <w:r w:rsidRPr="008169C1">
              <w:t>tified.</w:t>
            </w:r>
          </w:p>
          <w:p w:rsidR="00000000" w:rsidRPr="008169C1" w:rsidP="008169C1">
            <w:pPr>
              <w:pStyle w:val="List"/>
            </w:pPr>
            <w:r w:rsidRPr="008169C1">
              <w:t>1.5</w:t>
            </w:r>
            <w:r w:rsidRPr="008169C1">
              <w:tab/>
              <w:t xml:space="preserve">Consultation with </w:t>
            </w:r>
            <w:r w:rsidRPr="008169C1">
              <w:rPr>
                <w:rStyle w:val="BoldandItalics"/>
              </w:rPr>
              <w:t xml:space="preserve">stakeholders </w:t>
            </w:r>
            <w:r w:rsidRPr="008169C1">
              <w:t>is undertaken to develop a shared understanding of responsibilities.</w:t>
            </w:r>
          </w:p>
          <w:p w:rsidR="00000000" w:rsidP="008169C1">
            <w:pPr>
              <w:pStyle w:val="List"/>
              <w:rPr>
                <w:lang w:val="en-NZ"/>
              </w:rPr>
            </w:pPr>
            <w:r w:rsidRPr="008169C1">
              <w:t>1.6</w:t>
            </w:r>
            <w:r w:rsidRPr="008169C1">
              <w:tab/>
              <w:t>Timeframe for implementation of actions is specified based upon an understanding of the nature of risk and resource ramifications.</w:t>
            </w:r>
          </w:p>
        </w:tc>
      </w:tr>
      <w:tr w:rsidTr="00DE6C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9C1">
            <w:pPr>
              <w:pStyle w:val="List"/>
              <w:rPr>
                <w:lang w:val="en-NZ"/>
              </w:rPr>
            </w:pPr>
            <w:r w:rsidRPr="008169C1">
              <w:rPr>
                <w:rStyle w:val="SpecialBold"/>
              </w:rPr>
              <w:t>2</w:t>
            </w:r>
            <w:r w:rsidRPr="008169C1">
              <w:t xml:space="preserve">.  </w:t>
            </w:r>
            <w:r w:rsidRPr="008169C1">
              <w:tab/>
            </w:r>
            <w:r w:rsidRPr="008169C1">
              <w:rPr>
                <w:rStyle w:val="SpecialBold"/>
              </w:rPr>
              <w:t>Gai</w:t>
            </w:r>
            <w:r w:rsidRPr="008169C1">
              <w:rPr>
                <w:rStyle w:val="SpecialBold"/>
              </w:rPr>
              <w:t>n commitment to fraud</w:t>
            </w:r>
            <w:r w:rsidRPr="008169C1">
              <w:t>/</w:t>
            </w:r>
            <w:r w:rsidRPr="008169C1">
              <w:rPr>
                <w:rStyle w:val="SpecialBold"/>
              </w:rPr>
              <w:t>corruption control plan</w:t>
            </w:r>
          </w:p>
        </w:tc>
        <w:tc>
          <w:tcPr>
            <w:tcW w:w="6662" w:type="dxa"/>
            <w:tcBorders>
              <w:top w:val="nil"/>
              <w:left w:val="nil"/>
              <w:bottom w:val="nil"/>
              <w:right w:val="nil"/>
            </w:tcBorders>
            <w:tcMar>
              <w:top w:w="0" w:type="dxa"/>
              <w:left w:w="62" w:type="dxa"/>
              <w:bottom w:w="0" w:type="dxa"/>
              <w:right w:w="62" w:type="dxa"/>
            </w:tcMar>
          </w:tcPr>
          <w:p w:rsidR="00000000" w:rsidRPr="008169C1" w:rsidP="008169C1">
            <w:pPr>
              <w:pStyle w:val="List"/>
            </w:pPr>
            <w:r w:rsidRPr="008169C1">
              <w:t>2.1</w:t>
            </w:r>
            <w:r w:rsidRPr="008169C1">
              <w:tab/>
              <w:t>Professional development awareness and information programs are initiated in consultation with responsible staff.</w:t>
            </w:r>
          </w:p>
          <w:p w:rsidR="00000000" w:rsidP="008169C1">
            <w:pPr>
              <w:pStyle w:val="List"/>
              <w:rPr>
                <w:lang w:val="en-NZ"/>
              </w:rPr>
            </w:pPr>
            <w:r w:rsidRPr="008169C1">
              <w:t>2.2</w:t>
            </w:r>
            <w:r w:rsidRPr="008169C1">
              <w:tab/>
              <w:t>Fraud/corruption prevention initiatives are tailored to the organisational culture, core</w:t>
            </w:r>
            <w:r w:rsidRPr="008169C1">
              <w:t xml:space="preserve"> business and client groups.</w:t>
            </w:r>
          </w:p>
        </w:tc>
      </w:tr>
      <w:tr w:rsidTr="00DE6C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9C1">
            <w:pPr>
              <w:pStyle w:val="List"/>
              <w:rPr>
                <w:lang w:val="en-NZ"/>
              </w:rPr>
            </w:pPr>
            <w:r w:rsidRPr="008169C1">
              <w:rPr>
                <w:rStyle w:val="SpecialBold"/>
              </w:rPr>
              <w:t>3</w:t>
            </w:r>
            <w:r w:rsidRPr="008169C1">
              <w:t xml:space="preserve">.  </w:t>
            </w:r>
            <w:r w:rsidRPr="008169C1">
              <w:tab/>
            </w:r>
            <w:r w:rsidRPr="008169C1">
              <w:rPr>
                <w:rStyle w:val="SpecialBold"/>
              </w:rPr>
              <w:t>Identify qualitative and quantitative performance indicators</w:t>
            </w:r>
          </w:p>
        </w:tc>
        <w:tc>
          <w:tcPr>
            <w:tcW w:w="6662" w:type="dxa"/>
            <w:tcBorders>
              <w:top w:val="nil"/>
              <w:left w:val="nil"/>
              <w:bottom w:val="nil"/>
              <w:right w:val="nil"/>
            </w:tcBorders>
            <w:tcMar>
              <w:top w:w="0" w:type="dxa"/>
              <w:left w:w="62" w:type="dxa"/>
              <w:bottom w:w="0" w:type="dxa"/>
              <w:right w:w="62" w:type="dxa"/>
            </w:tcMar>
          </w:tcPr>
          <w:p w:rsidR="00000000" w:rsidRPr="008169C1" w:rsidP="008169C1">
            <w:pPr>
              <w:pStyle w:val="List"/>
            </w:pPr>
            <w:r w:rsidRPr="008169C1">
              <w:t>3.1</w:t>
            </w:r>
            <w:r w:rsidRPr="008169C1">
              <w:tab/>
              <w:t xml:space="preserve">Advice is sought from internal and external </w:t>
            </w:r>
            <w:r w:rsidRPr="008169C1">
              <w:rPr>
                <w:rStyle w:val="BoldandItalics"/>
              </w:rPr>
              <w:t>specialist personnel</w:t>
            </w:r>
            <w:r w:rsidRPr="008169C1">
              <w:rPr>
                <w:rStyle w:val="Emphasis"/>
              </w:rPr>
              <w:t>.</w:t>
            </w:r>
          </w:p>
          <w:p w:rsidR="00000000" w:rsidRPr="008169C1" w:rsidP="008169C1">
            <w:pPr>
              <w:pStyle w:val="List"/>
            </w:pPr>
            <w:r w:rsidRPr="008169C1">
              <w:t>3.2</w:t>
            </w:r>
            <w:r w:rsidRPr="008169C1">
              <w:tab/>
              <w:t>Stakeholders are involved in the development of performance indicators.</w:t>
            </w:r>
          </w:p>
          <w:p w:rsidR="00000000" w:rsidRPr="008169C1" w:rsidP="008169C1">
            <w:pPr>
              <w:pStyle w:val="List"/>
            </w:pPr>
            <w:r w:rsidRPr="008169C1">
              <w:t>3.3</w:t>
            </w:r>
            <w:r w:rsidRPr="008169C1">
              <w:tab/>
            </w:r>
            <w:r w:rsidRPr="008169C1">
              <w:t>Performance indicators are developed that relate to the objectives of the program and enable an assessment of the extent to which fraud and corruption control objectives are being achieved.</w:t>
            </w:r>
          </w:p>
          <w:p w:rsidR="00000000" w:rsidP="008169C1">
            <w:pPr>
              <w:pStyle w:val="List"/>
              <w:rPr>
                <w:lang w:val="en-NZ"/>
              </w:rPr>
            </w:pPr>
            <w:r w:rsidRPr="008169C1">
              <w:t>3.4</w:t>
            </w:r>
            <w:r w:rsidRPr="008169C1">
              <w:tab/>
              <w:t>Feedback mechanisms are established to ensure that  performanc</w:t>
            </w:r>
            <w:r w:rsidRPr="008169C1">
              <w:t>e data informs improvements to</w:t>
            </w:r>
            <w:r w:rsidRPr="008169C1">
              <w:rPr>
                <w:rStyle w:val="BoldandItalics"/>
              </w:rPr>
              <w:t xml:space="preserve"> fraud/corruption control strategies and activities</w:t>
            </w:r>
            <w:r w:rsidRPr="008169C1">
              <w:rPr>
                <w:rStyle w:val="Emphasis"/>
              </w:rPr>
              <w:t>.</w:t>
            </w:r>
          </w:p>
        </w:tc>
      </w:tr>
      <w:tr w:rsidTr="00DE6C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9C1">
            <w:pPr>
              <w:pStyle w:val="List"/>
              <w:rPr>
                <w:lang w:val="en-NZ"/>
              </w:rPr>
            </w:pPr>
            <w:r w:rsidRPr="008169C1">
              <w:rPr>
                <w:rStyle w:val="SpecialBold"/>
              </w:rPr>
              <w:t>4</w:t>
            </w:r>
            <w:r w:rsidRPr="008169C1">
              <w:t xml:space="preserve">.  </w:t>
            </w:r>
            <w:r w:rsidRPr="008169C1">
              <w:tab/>
            </w:r>
            <w:r w:rsidRPr="008169C1">
              <w:rPr>
                <w:rStyle w:val="SpecialBold"/>
              </w:rPr>
              <w:t>Document fraud</w:t>
            </w:r>
            <w:r w:rsidRPr="008169C1">
              <w:t>/</w:t>
            </w:r>
            <w:r w:rsidRPr="008169C1">
              <w:rPr>
                <w:rStyle w:val="SpecialBold"/>
              </w:rPr>
              <w:t>corruption control plan</w:t>
            </w:r>
          </w:p>
        </w:tc>
        <w:tc>
          <w:tcPr>
            <w:tcW w:w="6662" w:type="dxa"/>
            <w:tcBorders>
              <w:top w:val="nil"/>
              <w:left w:val="nil"/>
              <w:bottom w:val="nil"/>
              <w:right w:val="nil"/>
            </w:tcBorders>
            <w:tcMar>
              <w:top w:w="0" w:type="dxa"/>
              <w:left w:w="62" w:type="dxa"/>
              <w:bottom w:w="0" w:type="dxa"/>
              <w:right w:w="62" w:type="dxa"/>
            </w:tcMar>
          </w:tcPr>
          <w:p w:rsidR="00000000" w:rsidRPr="008169C1" w:rsidP="008169C1">
            <w:pPr>
              <w:pStyle w:val="List"/>
            </w:pPr>
            <w:r w:rsidRPr="008169C1">
              <w:t>4.1</w:t>
            </w:r>
            <w:r w:rsidRPr="008169C1">
              <w:rPr>
                <w:rStyle w:val="BoldandItalics"/>
              </w:rPr>
              <w:tab/>
              <w:t>Control plan i</w:t>
            </w:r>
            <w:r w:rsidRPr="008169C1">
              <w:t>s documented using concise language and structure tailored to the intended audience/s.</w:t>
            </w:r>
          </w:p>
          <w:p w:rsidR="00000000" w:rsidRPr="008169C1" w:rsidP="008169C1">
            <w:pPr>
              <w:pStyle w:val="List"/>
            </w:pPr>
            <w:r w:rsidRPr="008169C1">
              <w:t>4.2</w:t>
            </w:r>
            <w:r w:rsidRPr="008169C1">
              <w:tab/>
              <w:t>The responsibilitie</w:t>
            </w:r>
            <w:r w:rsidRPr="008169C1">
              <w:t>s for fraud and corruption control of each area in the organisation are clearly articulated in the plan.</w:t>
            </w:r>
          </w:p>
          <w:p w:rsidR="00000000" w:rsidRPr="008169C1" w:rsidP="008169C1">
            <w:pPr>
              <w:pStyle w:val="List"/>
            </w:pPr>
            <w:r w:rsidRPr="008169C1">
              <w:t>4.3</w:t>
            </w:r>
            <w:r w:rsidRPr="008169C1">
              <w:tab/>
              <w:t>Risks targeted by the risk assessment process are used to identify areas for action.</w:t>
            </w:r>
          </w:p>
          <w:p w:rsidR="00000000" w:rsidRPr="008169C1" w:rsidP="008169C1">
            <w:pPr>
              <w:pStyle w:val="List"/>
            </w:pPr>
            <w:r w:rsidRPr="008169C1">
              <w:t>4.4</w:t>
            </w:r>
            <w:r w:rsidRPr="008169C1">
              <w:tab/>
              <w:t xml:space="preserve">A comprehensive fraud/corruption control strategy for the </w:t>
            </w:r>
            <w:r w:rsidRPr="008169C1">
              <w:t>organisation is reflected in the plan.</w:t>
            </w:r>
          </w:p>
          <w:p w:rsidR="00000000" w:rsidRPr="008169C1" w:rsidP="008169C1">
            <w:pPr>
              <w:pStyle w:val="List"/>
            </w:pPr>
            <w:r w:rsidRPr="008169C1">
              <w:t>4.5</w:t>
            </w:r>
            <w:r w:rsidRPr="008169C1">
              <w:tab/>
              <w:t>The plan is linked to internal audit to reduce overlap or duplication.</w:t>
            </w:r>
          </w:p>
          <w:p w:rsidR="00000000" w:rsidP="008169C1">
            <w:pPr>
              <w:pStyle w:val="List"/>
              <w:rPr>
                <w:lang w:val="en-NZ"/>
              </w:rPr>
            </w:pPr>
            <w:r w:rsidRPr="008169C1">
              <w:t>4.6</w:t>
            </w:r>
            <w:r w:rsidRPr="008169C1">
              <w:tab/>
              <w:t xml:space="preserve">The requirements of any jurisdictional fraud and corruption </w:t>
            </w:r>
            <w:r w:rsidRPr="008169C1">
              <w:t xml:space="preserve">control </w:t>
            </w:r>
            <w:r w:rsidRPr="008169C1">
              <w:rPr>
                <w:rStyle w:val="BoldandItalics"/>
              </w:rPr>
              <w:t xml:space="preserve">legislation and guidelines </w:t>
            </w:r>
            <w:r w:rsidRPr="008169C1">
              <w:t>are addressed in the plan.</w:t>
            </w:r>
          </w:p>
        </w:tc>
      </w:tr>
      <w:tr w:rsidTr="00DE6C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9C1">
            <w:pPr>
              <w:pStyle w:val="List"/>
              <w:rPr>
                <w:lang w:val="en-NZ"/>
              </w:rPr>
            </w:pPr>
            <w:r w:rsidRPr="008169C1">
              <w:rPr>
                <w:rStyle w:val="SpecialBold"/>
              </w:rPr>
              <w:t>5</w:t>
            </w:r>
            <w:r w:rsidRPr="008169C1">
              <w:t xml:space="preserve">.  </w:t>
            </w:r>
            <w:r w:rsidRPr="008169C1">
              <w:tab/>
            </w:r>
            <w:r w:rsidRPr="008169C1">
              <w:rPr>
                <w:rStyle w:val="SpecialBold"/>
              </w:rPr>
              <w:t>Disseminate fraud</w:t>
            </w:r>
            <w:r w:rsidRPr="008169C1">
              <w:t>/</w:t>
            </w:r>
            <w:r w:rsidRPr="008169C1">
              <w:rPr>
                <w:rStyle w:val="SpecialBold"/>
              </w:rPr>
              <w:t>corruption control plan</w:t>
            </w:r>
          </w:p>
        </w:tc>
        <w:tc>
          <w:tcPr>
            <w:tcW w:w="6662" w:type="dxa"/>
            <w:tcBorders>
              <w:top w:val="nil"/>
              <w:left w:val="nil"/>
              <w:bottom w:val="nil"/>
              <w:right w:val="nil"/>
            </w:tcBorders>
            <w:tcMar>
              <w:top w:w="0" w:type="dxa"/>
              <w:left w:w="62" w:type="dxa"/>
              <w:bottom w:w="0" w:type="dxa"/>
              <w:right w:w="62" w:type="dxa"/>
            </w:tcMar>
          </w:tcPr>
          <w:p w:rsidR="00000000" w:rsidRPr="008169C1" w:rsidP="008169C1">
            <w:pPr>
              <w:pStyle w:val="List"/>
            </w:pPr>
            <w:r w:rsidRPr="008169C1">
              <w:t>5.1</w:t>
            </w:r>
            <w:r w:rsidRPr="008169C1">
              <w:tab/>
              <w:t>Non-confidential components of the fraud/corruption control plan are made accessible to staff, the Minister and clients of the organisation.</w:t>
            </w:r>
          </w:p>
          <w:p w:rsidR="00000000" w:rsidRPr="008169C1" w:rsidP="008169C1">
            <w:pPr>
              <w:pStyle w:val="List"/>
            </w:pPr>
            <w:r w:rsidRPr="008169C1">
              <w:t>5.2</w:t>
            </w:r>
            <w:r w:rsidRPr="008169C1">
              <w:tab/>
              <w:t>Confidential components are documented and stored appropriately.</w:t>
            </w:r>
          </w:p>
          <w:p w:rsidR="00000000" w:rsidRPr="008169C1" w:rsidP="008169C1">
            <w:pPr>
              <w:pStyle w:val="List"/>
            </w:pPr>
            <w:r w:rsidRPr="008169C1">
              <w:t>5.3</w:t>
            </w:r>
            <w:r w:rsidRPr="008169C1">
              <w:tab/>
              <w:t>Review of the plan is conducted in accordance with organisational and jurisdictional needs and requirements.</w:t>
            </w:r>
          </w:p>
        </w:tc>
      </w:tr>
    </w:tbl>
    <w:p w:rsidR="00000000" w:rsidRPr="008169C1" w:rsidP="008169C1">
      <w:pPr>
        <w:pStyle w:val="BodyText"/>
      </w:pPr>
    </w:p>
    <w:p w:rsidR="00000000" w:rsidRPr="008169C1" w:rsidP="008169C1">
      <w:pPr>
        <w:pStyle w:val="AllowPageBreak"/>
      </w:pPr>
    </w:p>
    <w:p w:rsidR="00000000" w:rsidRPr="008169C1" w:rsidP="008169C1">
      <w:pPr>
        <w:pStyle w:val="Heading1"/>
      </w:pPr>
      <w:bookmarkStart w:id="9" w:name="O_495106"/>
      <w:bookmarkEnd w:id="9"/>
      <w:r w:rsidRPr="008169C1">
        <w:t>Required Skills and Knowledge</w:t>
      </w:r>
    </w:p>
    <w:tbl>
      <w:tblPr>
        <w:tblW w:w="0" w:type="auto"/>
        <w:tblLayout w:type="fixed"/>
        <w:tblCellMar>
          <w:left w:w="62" w:type="dxa"/>
          <w:right w:w="62" w:type="dxa"/>
        </w:tblCellMar>
        <w:tblLook w:val="0000"/>
      </w:tblPr>
      <w:tblGrid>
        <w:gridCol w:w="8514"/>
      </w:tblGrid>
      <w:tr w:rsidTr="00DE6CC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8169C1">
            <w:pPr>
              <w:pStyle w:val="BodyText"/>
              <w:rPr>
                <w:lang w:val="en-NZ"/>
              </w:rPr>
            </w:pPr>
            <w:r w:rsidRPr="008169C1">
              <w:t>This section describes the essential skills and knowledge and their</w:t>
            </w:r>
            <w:r w:rsidRPr="008169C1">
              <w:t xml:space="preserve"> level, required for this unit.</w:t>
            </w:r>
          </w:p>
        </w:tc>
      </w:tr>
      <w:tr w:rsidTr="00DE6CC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8169C1" w:rsidP="008169C1">
            <w:pPr>
              <w:pStyle w:val="BodyText"/>
            </w:pPr>
            <w:r w:rsidRPr="008169C1">
              <w:rPr>
                <w:rStyle w:val="SpecialBold"/>
              </w:rPr>
              <w:t>Skill requirements</w:t>
            </w:r>
          </w:p>
          <w:p w:rsidR="00000000" w:rsidRPr="008169C1" w:rsidP="008169C1">
            <w:pPr>
              <w:pStyle w:val="BodyText"/>
            </w:pPr>
            <w:r w:rsidRPr="008169C1">
              <w:t>Look for evidence that confirms skills in:</w:t>
            </w:r>
          </w:p>
          <w:p w:rsidR="00000000" w:rsidRPr="008169C1" w:rsidP="008169C1">
            <w:pPr>
              <w:pStyle w:val="ListBullet"/>
            </w:pPr>
            <w:r w:rsidRPr="008169C1">
              <w:t>identifying areas for action based upon an analysis and synthesis of objectives and information from the fraud/corruption control strategy, the processes establ</w:t>
            </w:r>
            <w:r w:rsidRPr="008169C1">
              <w:t>ished to identify fraud and corruption vulnerability, and agency corporate plans</w:t>
            </w:r>
          </w:p>
          <w:p w:rsidR="00000000" w:rsidRPr="008169C1" w:rsidP="008169C1">
            <w:pPr>
              <w:pStyle w:val="ListBullet"/>
            </w:pPr>
            <w:r w:rsidRPr="008169C1">
              <w:t>planning, analysis and evaluation relating to fraud and corruption risk control</w:t>
            </w:r>
          </w:p>
          <w:p w:rsidR="00000000" w:rsidRPr="008169C1" w:rsidP="008169C1">
            <w:pPr>
              <w:pStyle w:val="ListBullet"/>
            </w:pPr>
            <w:r w:rsidRPr="008169C1">
              <w:t>using a range of communication, consultation and negotiation styles to suit different audiences</w:t>
            </w:r>
            <w:r w:rsidRPr="008169C1">
              <w:t xml:space="preserve"> and purposes</w:t>
            </w:r>
          </w:p>
          <w:p w:rsidR="00000000" w:rsidRPr="008169C1" w:rsidP="008169C1">
            <w:pPr>
              <w:pStyle w:val="ListBullet"/>
            </w:pPr>
            <w:r w:rsidRPr="008169C1">
              <w:t xml:space="preserve">applying complex documents such as legislation, guidelines and standards </w:t>
            </w:r>
          </w:p>
          <w:p w:rsidR="00000000" w:rsidRPr="008169C1" w:rsidP="008169C1">
            <w:pPr>
              <w:pStyle w:val="ListBullet"/>
            </w:pPr>
            <w:r w:rsidRPr="008169C1">
              <w:t>managing contractors if the fraud/corruption risk assessment is outsourced</w:t>
            </w:r>
          </w:p>
          <w:p w:rsidR="00000000" w:rsidRPr="008169C1" w:rsidP="008169C1">
            <w:pPr>
              <w:pStyle w:val="ListBullet"/>
            </w:pPr>
            <w:r w:rsidRPr="008169C1">
              <w:t>responding to diversity, including gender and disability</w:t>
            </w:r>
          </w:p>
          <w:p w:rsidR="00000000" w:rsidP="008169C1">
            <w:pPr>
              <w:pStyle w:val="ListBullet"/>
              <w:rPr>
                <w:lang w:val="en-NZ"/>
              </w:rPr>
            </w:pPr>
            <w:r w:rsidRPr="008169C1">
              <w:t>applying occupational health and saf</w:t>
            </w:r>
            <w:r w:rsidRPr="008169C1">
              <w:t>ety and environmental procedures in the context of fraud and corruption control</w:t>
            </w:r>
          </w:p>
        </w:tc>
      </w:tr>
      <w:tr w:rsidTr="00DE6CC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8169C1" w:rsidP="008169C1">
            <w:pPr>
              <w:pStyle w:val="BodyText"/>
            </w:pPr>
            <w:r w:rsidRPr="008169C1">
              <w:rPr>
                <w:rStyle w:val="SpecialBold"/>
              </w:rPr>
              <w:t>Knowledge requirements</w:t>
            </w:r>
          </w:p>
          <w:p w:rsidR="00000000" w:rsidRPr="008169C1" w:rsidP="008169C1">
            <w:pPr>
              <w:pStyle w:val="BodyText"/>
            </w:pPr>
            <w:r w:rsidRPr="008169C1">
              <w:t>Look for evidence that confirms knowledge and understanding of:</w:t>
            </w:r>
          </w:p>
          <w:p w:rsidR="00000000" w:rsidRPr="008169C1" w:rsidP="008169C1">
            <w:pPr>
              <w:pStyle w:val="ListBullet"/>
            </w:pPr>
            <w:r w:rsidRPr="008169C1">
              <w:t>jurisdictional fraud and corruption control requirements</w:t>
            </w:r>
          </w:p>
          <w:p w:rsidR="00000000" w:rsidRPr="008169C1" w:rsidP="008169C1">
            <w:pPr>
              <w:pStyle w:val="ListBullet"/>
            </w:pPr>
            <w:r w:rsidRPr="008169C1">
              <w:t>agency fraud and corruption control strategy and agency processes to measure fraud and corruption vulnerability</w:t>
            </w:r>
          </w:p>
          <w:p w:rsidR="00000000" w:rsidRPr="008169C1" w:rsidP="008169C1">
            <w:pPr>
              <w:pStyle w:val="ListBullet"/>
            </w:pPr>
            <w:r w:rsidRPr="008169C1">
              <w:t>agency structure and core business activities</w:t>
            </w:r>
          </w:p>
          <w:p w:rsidR="00000000" w:rsidRPr="008169C1" w:rsidP="008169C1">
            <w:pPr>
              <w:pStyle w:val="ListBullet"/>
            </w:pPr>
            <w:r w:rsidRPr="008169C1">
              <w:t>fraud and corruption risk factors in the organisation, agency clients, and any history of fraud an</w:t>
            </w:r>
            <w:r w:rsidRPr="008169C1">
              <w:t>d corruption in or against the agency</w:t>
            </w:r>
          </w:p>
          <w:p w:rsidR="00000000" w:rsidRPr="008169C1" w:rsidP="008169C1">
            <w:pPr>
              <w:pStyle w:val="ListBullet"/>
            </w:pPr>
            <w:r w:rsidRPr="008169C1">
              <w:t>the processes established to identify fraud and corruption vulnerability and agency corporate plans</w:t>
            </w:r>
          </w:p>
          <w:p w:rsidR="00000000" w:rsidRPr="008169C1" w:rsidP="008169C1">
            <w:pPr>
              <w:pStyle w:val="ListBullet"/>
            </w:pPr>
            <w:r w:rsidRPr="008169C1">
              <w:t>anti-discrimination and diversity legislation</w:t>
            </w:r>
          </w:p>
          <w:p w:rsidR="00000000" w:rsidRPr="008169C1" w:rsidP="008169C1">
            <w:pPr>
              <w:pStyle w:val="ListBullet"/>
            </w:pPr>
            <w:r w:rsidRPr="008169C1">
              <w:t>legislation, policies and procedures relating to fraud and corruption co</w:t>
            </w:r>
            <w:r w:rsidRPr="008169C1">
              <w:t>ntrol</w:t>
            </w:r>
          </w:p>
        </w:tc>
      </w:tr>
    </w:tbl>
    <w:p w:rsidR="00000000" w:rsidRPr="008169C1" w:rsidP="008169C1">
      <w:pPr>
        <w:pStyle w:val="BodyText"/>
      </w:pPr>
    </w:p>
    <w:p w:rsidR="00000000" w:rsidRPr="008169C1" w:rsidP="008169C1">
      <w:pPr>
        <w:pStyle w:val="AllowPageBreak"/>
      </w:pPr>
    </w:p>
    <w:p w:rsidR="00000000" w:rsidRPr="008169C1" w:rsidP="008169C1">
      <w:pPr>
        <w:pStyle w:val="Heading1"/>
      </w:pPr>
      <w:bookmarkStart w:id="10" w:name="O_495110"/>
      <w:bookmarkEnd w:id="10"/>
      <w:r w:rsidRPr="008169C1">
        <w:t>Evidence Guide</w:t>
      </w:r>
    </w:p>
    <w:tbl>
      <w:tblPr>
        <w:tblW w:w="9322" w:type="dxa"/>
        <w:tblLayout w:type="fixed"/>
        <w:tblCellMar>
          <w:left w:w="62" w:type="dxa"/>
          <w:right w:w="62" w:type="dxa"/>
        </w:tblCellMar>
        <w:tblLook w:val="0000"/>
      </w:tblPr>
      <w:tblGrid>
        <w:gridCol w:w="2660"/>
        <w:gridCol w:w="6662"/>
      </w:tblGrid>
      <w:tr w:rsidTr="00DE6CC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169C1">
            <w:pPr>
              <w:pStyle w:val="BodyText"/>
              <w:rPr>
                <w:lang w:val="en-NZ"/>
              </w:rPr>
            </w:pPr>
            <w:r w:rsidRPr="008169C1">
              <w:t>The Evidence Guide specifies the evidence required to demonstrate achievement in the unit of competency as a whole. It must be read in conjunction with the Unit descriptor, Performance Criteria, the Range Statement a</w:t>
            </w:r>
            <w:r w:rsidRPr="008169C1">
              <w:t>nd the Assessment Guidelines for the Public Sector Training Package.</w:t>
            </w:r>
          </w:p>
        </w:tc>
      </w:tr>
      <w:tr w:rsidTr="00DE6C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8169C1" w:rsidP="008169C1">
            <w:pPr>
              <w:pStyle w:val="BodyText"/>
            </w:pPr>
            <w:r w:rsidRPr="008169C1">
              <w:rPr>
                <w:rStyle w:val="SpecialBold"/>
              </w:rPr>
              <w:t>Units to be assessed together</w:t>
            </w:r>
            <w:r w:rsidRPr="008169C1">
              <w:t xml:space="preserve"> </w:t>
            </w:r>
          </w:p>
        </w:tc>
        <w:tc>
          <w:tcPr>
            <w:tcW w:w="6662" w:type="dxa"/>
            <w:tcBorders>
              <w:top w:val="nil"/>
              <w:left w:val="nil"/>
              <w:bottom w:val="nil"/>
              <w:right w:val="nil"/>
            </w:tcBorders>
            <w:tcMar>
              <w:top w:w="0" w:type="dxa"/>
              <w:left w:w="62" w:type="dxa"/>
              <w:bottom w:w="0" w:type="dxa"/>
              <w:right w:w="62" w:type="dxa"/>
            </w:tcMar>
          </w:tcPr>
          <w:p w:rsidR="00000000" w:rsidRPr="008169C1" w:rsidP="008169C1">
            <w:pPr>
              <w:pStyle w:val="ListBullet"/>
            </w:pPr>
            <w:r w:rsidRPr="008169C1">
              <w:rPr>
                <w:rStyle w:val="Emphasis"/>
              </w:rPr>
              <w:t>Pre</w:t>
            </w:r>
            <w:r w:rsidRPr="008169C1">
              <w:t>-</w:t>
            </w:r>
            <w:r w:rsidRPr="008169C1">
              <w:rPr>
                <w:rStyle w:val="Emphasis"/>
              </w:rPr>
              <w:t>requisite</w:t>
            </w:r>
            <w:r w:rsidRPr="008169C1">
              <w:t xml:space="preserve"> units that </w:t>
            </w:r>
            <w:r w:rsidRPr="008169C1">
              <w:rPr>
                <w:rStyle w:val="Underline"/>
              </w:rPr>
              <w:t>must</w:t>
            </w:r>
            <w:r w:rsidRPr="008169C1">
              <w:t xml:space="preserve"> be achieved </w:t>
            </w:r>
            <w:r w:rsidRPr="008169C1">
              <w:rPr>
                <w:rStyle w:val="Underline"/>
              </w:rPr>
              <w:t>prior</w:t>
            </w:r>
            <w:r w:rsidRPr="008169C1">
              <w:t xml:space="preserve"> to this unit:</w:t>
            </w:r>
            <w:r w:rsidRPr="008169C1">
              <w:rPr>
                <w:rStyle w:val="Emphasis"/>
              </w:rPr>
              <w:t>Nil</w:t>
            </w:r>
          </w:p>
          <w:p w:rsidR="00000000" w:rsidRPr="008169C1" w:rsidP="008169C1">
            <w:pPr>
              <w:pStyle w:val="ListBullet"/>
            </w:pPr>
            <w:r w:rsidRPr="008169C1">
              <w:rPr>
                <w:rStyle w:val="Emphasis"/>
              </w:rPr>
              <w:t>Co</w:t>
            </w:r>
            <w:r w:rsidRPr="008169C1">
              <w:t>-</w:t>
            </w:r>
            <w:r w:rsidRPr="008169C1">
              <w:rPr>
                <w:rStyle w:val="Emphasis"/>
              </w:rPr>
              <w:t>requisite</w:t>
            </w:r>
            <w:r w:rsidRPr="008169C1">
              <w:t xml:space="preserve"> units that </w:t>
            </w:r>
            <w:r w:rsidRPr="008169C1">
              <w:rPr>
                <w:rStyle w:val="Underline"/>
              </w:rPr>
              <w:t>must</w:t>
            </w:r>
            <w:r w:rsidRPr="008169C1">
              <w:t xml:space="preserve"> be assessed </w:t>
            </w:r>
            <w:r w:rsidRPr="008169C1">
              <w:rPr>
                <w:rStyle w:val="Underline"/>
              </w:rPr>
              <w:t>with</w:t>
            </w:r>
            <w:r w:rsidRPr="008169C1">
              <w:t xml:space="preserve"> this unit:</w:t>
            </w:r>
            <w:r w:rsidRPr="008169C1">
              <w:rPr>
                <w:rStyle w:val="Emphasis"/>
              </w:rPr>
              <w:t>Nil</w:t>
            </w:r>
          </w:p>
          <w:p w:rsidR="00000000" w:rsidRPr="008169C1" w:rsidP="008169C1">
            <w:pPr>
              <w:pStyle w:val="ListBullet"/>
            </w:pPr>
            <w:r w:rsidRPr="008169C1">
              <w:rPr>
                <w:rStyle w:val="Emphasis"/>
              </w:rPr>
              <w:t>Co</w:t>
            </w:r>
            <w:r w:rsidRPr="008169C1">
              <w:t>-</w:t>
            </w:r>
            <w:r w:rsidRPr="008169C1">
              <w:rPr>
                <w:rStyle w:val="Emphasis"/>
              </w:rPr>
              <w:t>assessed units</w:t>
            </w:r>
            <w:r w:rsidRPr="008169C1">
              <w:t xml:space="preserve"> that </w:t>
            </w:r>
            <w:r w:rsidRPr="008169C1">
              <w:rPr>
                <w:rStyle w:val="Underline"/>
              </w:rPr>
              <w:t>may</w:t>
            </w:r>
            <w:r w:rsidRPr="008169C1">
              <w:t xml:space="preserve"> be assessed with this unit to increase the efficiency and realism of the assessment process include, but are not limited to:</w:t>
            </w:r>
          </w:p>
          <w:p w:rsidR="00000000" w:rsidRPr="008169C1" w:rsidP="008169C1">
            <w:pPr>
              <w:pStyle w:val="ListBullet2"/>
            </w:pPr>
            <w:r w:rsidRPr="008169C1">
              <w:t>PSPETHC501B Promote the values and ethos of public service</w:t>
            </w:r>
          </w:p>
          <w:p w:rsidR="00000000" w:rsidRPr="008169C1" w:rsidP="008169C1">
            <w:pPr>
              <w:pStyle w:val="ListBullet2"/>
            </w:pPr>
            <w:r w:rsidRPr="008169C1">
              <w:t>PSPFRAU502B Anticipate and detect possible fraud activity</w:t>
            </w:r>
          </w:p>
          <w:p w:rsidR="00000000" w:rsidRPr="008169C1" w:rsidP="008169C1">
            <w:pPr>
              <w:pStyle w:val="ListBullet2"/>
            </w:pPr>
            <w:r w:rsidRPr="008169C1">
              <w:t>PSPFRAU504B Conduct fraud risk assessments</w:t>
            </w:r>
          </w:p>
          <w:p w:rsidR="00000000" w:rsidRPr="008169C1" w:rsidP="008169C1">
            <w:pPr>
              <w:pStyle w:val="ListBullet2"/>
            </w:pPr>
            <w:r w:rsidRPr="008169C1">
              <w:t>PSPGOV502B Develop client services</w:t>
            </w:r>
          </w:p>
          <w:p w:rsidR="00000000" w:rsidRPr="008169C1" w:rsidP="008169C1">
            <w:pPr>
              <w:pStyle w:val="ListBullet2"/>
            </w:pPr>
            <w:r w:rsidRPr="008169C1">
              <w:t>PSPGOV504B Undertake research and analysis</w:t>
            </w:r>
          </w:p>
          <w:p w:rsidR="00000000" w:rsidRPr="008169C1" w:rsidP="008169C1">
            <w:pPr>
              <w:pStyle w:val="ListBullet2"/>
            </w:pPr>
            <w:r w:rsidRPr="008169C1">
              <w:t>PSPGOV517A Coordinate risk management</w:t>
            </w:r>
          </w:p>
          <w:p w:rsidR="00000000" w:rsidP="008169C1">
            <w:pPr>
              <w:pStyle w:val="ListBullet2"/>
              <w:rPr>
                <w:lang w:val="en-NZ"/>
              </w:rPr>
            </w:pPr>
            <w:r w:rsidRPr="008169C1">
              <w:t>PSPLEGN501B Promote compliance with legislation in the public sector</w:t>
            </w:r>
          </w:p>
        </w:tc>
      </w:tr>
      <w:tr w:rsidTr="00DE6C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9C1">
            <w:pPr>
              <w:pStyle w:val="BodyText"/>
              <w:rPr>
                <w:lang w:val="en-NZ"/>
              </w:rPr>
            </w:pPr>
            <w:r w:rsidRPr="008169C1">
              <w:rPr>
                <w:rStyle w:val="SpecialBold"/>
              </w:rPr>
              <w:t>Overview of evidence requir</w:t>
            </w:r>
            <w:r w:rsidRPr="008169C1">
              <w:rPr>
                <w:rStyle w:val="SpecialBold"/>
              </w:rPr>
              <w:t>ements</w:t>
            </w:r>
          </w:p>
        </w:tc>
        <w:tc>
          <w:tcPr>
            <w:tcW w:w="6662" w:type="dxa"/>
            <w:tcBorders>
              <w:top w:val="nil"/>
              <w:left w:val="nil"/>
              <w:bottom w:val="nil"/>
              <w:right w:val="nil"/>
            </w:tcBorders>
            <w:tcMar>
              <w:top w:w="0" w:type="dxa"/>
              <w:left w:w="62" w:type="dxa"/>
              <w:bottom w:w="0" w:type="dxa"/>
              <w:right w:w="62" w:type="dxa"/>
            </w:tcMar>
          </w:tcPr>
          <w:p w:rsidR="00000000" w:rsidRPr="008169C1" w:rsidP="008169C1">
            <w:pPr>
              <w:pStyle w:val="BodyText"/>
            </w:pPr>
            <w:r w:rsidRPr="008169C1">
              <w:t>In addition to integrated demonstration of the elements and their related performance criteria, look for evidence that confirms:</w:t>
            </w:r>
          </w:p>
          <w:p w:rsidR="00000000" w:rsidRPr="008169C1" w:rsidP="008169C1">
            <w:pPr>
              <w:pStyle w:val="ListBullet"/>
            </w:pPr>
            <w:r w:rsidRPr="008169C1">
              <w:t xml:space="preserve">the knowledge requirements of this unit </w:t>
            </w:r>
          </w:p>
          <w:p w:rsidR="00000000" w:rsidRPr="008169C1" w:rsidP="008169C1">
            <w:pPr>
              <w:pStyle w:val="ListBullet"/>
            </w:pPr>
            <w:r w:rsidRPr="008169C1">
              <w:t>the skill requirements of this unit</w:t>
            </w:r>
          </w:p>
          <w:p w:rsidR="00000000" w:rsidRPr="008169C1" w:rsidP="008169C1">
            <w:pPr>
              <w:pStyle w:val="ListBullet"/>
            </w:pPr>
            <w:r w:rsidRPr="008169C1">
              <w:t>application of the Employability Skills as they relate to this unit (see Employability Summaries in Qualifications Framework)</w:t>
            </w:r>
          </w:p>
          <w:p w:rsidR="00000000" w:rsidP="008169C1">
            <w:pPr>
              <w:pStyle w:val="ListBullet"/>
              <w:rPr>
                <w:lang w:val="en-NZ"/>
              </w:rPr>
            </w:pPr>
            <w:r w:rsidRPr="008169C1">
              <w:t>development of fraud/corruption control plans in a range of (3 or more) contexts (or occasions, over time)</w:t>
            </w:r>
          </w:p>
        </w:tc>
      </w:tr>
      <w:tr w:rsidTr="00DE6C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9C1">
            <w:pPr>
              <w:pStyle w:val="BodyText"/>
              <w:rPr>
                <w:lang w:val="en-NZ"/>
              </w:rPr>
            </w:pPr>
            <w:r w:rsidRPr="008169C1">
              <w:rPr>
                <w:rStyle w:val="SpecialBold"/>
              </w:rPr>
              <w:t xml:space="preserve">Resources required to </w:t>
            </w:r>
            <w:r w:rsidRPr="008169C1">
              <w:rPr>
                <w:rStyle w:val="SpecialBold"/>
              </w:rPr>
              <w:t>carry out assessment</w:t>
            </w:r>
          </w:p>
        </w:tc>
        <w:tc>
          <w:tcPr>
            <w:tcW w:w="6662" w:type="dxa"/>
            <w:tcBorders>
              <w:top w:val="nil"/>
              <w:left w:val="nil"/>
              <w:bottom w:val="nil"/>
              <w:right w:val="nil"/>
            </w:tcBorders>
            <w:tcMar>
              <w:top w:w="0" w:type="dxa"/>
              <w:left w:w="62" w:type="dxa"/>
              <w:bottom w:w="0" w:type="dxa"/>
              <w:right w:w="62" w:type="dxa"/>
            </w:tcMar>
          </w:tcPr>
          <w:p w:rsidR="00000000" w:rsidRPr="008169C1" w:rsidP="008169C1">
            <w:pPr>
              <w:pStyle w:val="BodyText"/>
            </w:pPr>
            <w:r w:rsidRPr="008169C1">
              <w:t>These resources include:</w:t>
            </w:r>
          </w:p>
          <w:p w:rsidR="00000000" w:rsidRPr="008169C1" w:rsidP="008169C1">
            <w:pPr>
              <w:pStyle w:val="ListBullet"/>
            </w:pPr>
            <w:r w:rsidRPr="008169C1">
              <w:t>legislation, policy and procedures relating to fraud and corruption control</w:t>
            </w:r>
          </w:p>
          <w:p w:rsidR="00000000" w:rsidRPr="008169C1" w:rsidP="008169C1">
            <w:pPr>
              <w:pStyle w:val="ListBullet"/>
            </w:pPr>
            <w:r w:rsidRPr="008169C1">
              <w:t>fraud and corruption control guidelines and standards</w:t>
            </w:r>
          </w:p>
          <w:p w:rsidR="00000000" w:rsidRPr="008169C1" w:rsidP="008169C1">
            <w:pPr>
              <w:pStyle w:val="ListBullet"/>
            </w:pPr>
            <w:r w:rsidRPr="008169C1">
              <w:t>AS/NZS 4360:1999 or as revised</w:t>
            </w:r>
          </w:p>
          <w:p w:rsidR="00000000" w:rsidRPr="008169C1" w:rsidP="008169C1">
            <w:pPr>
              <w:pStyle w:val="ListBullet"/>
            </w:pPr>
            <w:r w:rsidRPr="008169C1">
              <w:t>public sector values and codes of conduct</w:t>
            </w:r>
          </w:p>
          <w:p w:rsidR="00000000" w:rsidP="008169C1">
            <w:pPr>
              <w:pStyle w:val="ListBullet"/>
              <w:rPr>
                <w:lang w:val="en-NZ"/>
              </w:rPr>
            </w:pPr>
            <w:r w:rsidRPr="008169C1">
              <w:t>case s</w:t>
            </w:r>
            <w:r w:rsidRPr="008169C1">
              <w:t>tudies and workplace scenarios to capture the range of fraud/corruption planning activities likely to be undertaken</w:t>
            </w:r>
          </w:p>
        </w:tc>
      </w:tr>
      <w:tr w:rsidTr="00DE6C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9C1">
            <w:pPr>
              <w:pStyle w:val="BodyText"/>
              <w:rPr>
                <w:lang w:val="en-NZ"/>
              </w:rPr>
            </w:pPr>
            <w:r w:rsidRPr="008169C1">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8169C1" w:rsidP="008169C1">
            <w:pPr>
              <w:pStyle w:val="BodyText"/>
            </w:pPr>
            <w:r w:rsidRPr="008169C1">
              <w:t xml:space="preserve">Valid assessment of this unit requires: </w:t>
            </w:r>
          </w:p>
          <w:p w:rsidR="00000000" w:rsidRPr="008169C1" w:rsidP="008169C1">
            <w:pPr>
              <w:pStyle w:val="ListBullet"/>
            </w:pPr>
            <w:r w:rsidRPr="008169C1">
              <w:t>a workplace environment or one that closely resembles normal wor</w:t>
            </w:r>
            <w:r w:rsidRPr="008169C1">
              <w:t>k practice and replicates the range of conditions likely to be encountered when developing fraud and corruption control plans, including coping with difficulties, irregularities and breakdowns in routine</w:t>
            </w:r>
          </w:p>
          <w:p w:rsidR="00000000" w:rsidRPr="008169C1" w:rsidP="008169C1">
            <w:pPr>
              <w:pStyle w:val="ListBullet"/>
            </w:pPr>
            <w:r w:rsidRPr="008169C1">
              <w:t>development of fraud/corruption control plans in a range of (3 or more) contexts (or occasions, over time)</w:t>
            </w:r>
          </w:p>
          <w:p w:rsidR="00000000" w:rsidRPr="008169C1" w:rsidP="008169C1">
            <w:pPr>
              <w:pStyle w:val="BodyText"/>
            </w:pPr>
            <w:r w:rsidRPr="008169C1">
              <w:t>Assessment methods should reflect workplace demands, such as literacy, and the needs of particular groups, such as:</w:t>
            </w:r>
          </w:p>
          <w:p w:rsidR="00000000" w:rsidRPr="008169C1" w:rsidP="008169C1">
            <w:pPr>
              <w:pStyle w:val="ListBullet"/>
            </w:pPr>
            <w:r w:rsidRPr="008169C1">
              <w:t>people with disabilities</w:t>
            </w:r>
          </w:p>
          <w:p w:rsidR="00000000" w:rsidRPr="008169C1" w:rsidP="008169C1">
            <w:pPr>
              <w:pStyle w:val="ListBullet"/>
            </w:pPr>
            <w:r w:rsidRPr="008169C1">
              <w:t xml:space="preserve">people </w:t>
            </w:r>
            <w:r w:rsidRPr="008169C1">
              <w:t>from culturally and linguistically diverse backgrounds</w:t>
            </w:r>
          </w:p>
          <w:p w:rsidR="00000000" w:rsidRPr="008169C1" w:rsidP="008169C1">
            <w:pPr>
              <w:pStyle w:val="ListBullet"/>
            </w:pPr>
            <w:r w:rsidRPr="008169C1">
              <w:t>Aboriginal and Torres Strait Islander people</w:t>
            </w:r>
          </w:p>
          <w:p w:rsidR="00000000" w:rsidRPr="008169C1" w:rsidP="008169C1">
            <w:pPr>
              <w:pStyle w:val="ListBullet"/>
            </w:pPr>
            <w:r w:rsidRPr="008169C1">
              <w:t>women</w:t>
            </w:r>
          </w:p>
          <w:p w:rsidR="00000000" w:rsidRPr="008169C1" w:rsidP="008169C1">
            <w:pPr>
              <w:pStyle w:val="ListBullet"/>
            </w:pPr>
            <w:r w:rsidRPr="008169C1">
              <w:t>young people</w:t>
            </w:r>
          </w:p>
          <w:p w:rsidR="00000000" w:rsidRPr="008169C1" w:rsidP="008169C1">
            <w:pPr>
              <w:pStyle w:val="ListBullet"/>
            </w:pPr>
            <w:r w:rsidRPr="008169C1">
              <w:t>older people</w:t>
            </w:r>
          </w:p>
          <w:p w:rsidR="00000000" w:rsidRPr="008169C1" w:rsidP="008169C1">
            <w:pPr>
              <w:pStyle w:val="ListBullet"/>
            </w:pPr>
            <w:r w:rsidRPr="008169C1">
              <w:t>people in rural and remote locations</w:t>
            </w:r>
          </w:p>
          <w:p w:rsidR="00000000" w:rsidRPr="008169C1" w:rsidP="008169C1">
            <w:pPr>
              <w:pStyle w:val="BodyText"/>
            </w:pPr>
            <w:r w:rsidRPr="008169C1">
              <w:t>Assessment methods suitable for valid and reliable assessment of this competency may in</w:t>
            </w:r>
            <w:r w:rsidRPr="008169C1">
              <w:t xml:space="preserve">clude, but are not limited to, a combination of 2 or more of: </w:t>
            </w:r>
          </w:p>
          <w:p w:rsidR="00000000" w:rsidRPr="008169C1" w:rsidP="008169C1">
            <w:pPr>
              <w:pStyle w:val="ListBullet"/>
            </w:pPr>
            <w:r w:rsidRPr="008169C1">
              <w:t>case studies</w:t>
            </w:r>
          </w:p>
          <w:p w:rsidR="00000000" w:rsidRPr="008169C1" w:rsidP="008169C1">
            <w:pPr>
              <w:pStyle w:val="ListBullet"/>
            </w:pPr>
            <w:r w:rsidRPr="008169C1">
              <w:t xml:space="preserve">portfolios </w:t>
            </w:r>
          </w:p>
          <w:p w:rsidR="00000000" w:rsidRPr="008169C1" w:rsidP="008169C1">
            <w:pPr>
              <w:pStyle w:val="ListBullet"/>
            </w:pPr>
            <w:r w:rsidRPr="008169C1">
              <w:t>projects</w:t>
            </w:r>
          </w:p>
          <w:p w:rsidR="00000000" w:rsidRPr="008169C1" w:rsidP="008169C1">
            <w:pPr>
              <w:pStyle w:val="ListBullet"/>
            </w:pPr>
            <w:r w:rsidRPr="008169C1">
              <w:t>questioning</w:t>
            </w:r>
          </w:p>
          <w:p w:rsidR="00000000" w:rsidRPr="008169C1" w:rsidP="008169C1">
            <w:pPr>
              <w:pStyle w:val="ListBullet"/>
            </w:pPr>
            <w:r w:rsidRPr="008169C1">
              <w:t>scenarios</w:t>
            </w:r>
          </w:p>
          <w:p w:rsidR="00000000" w:rsidP="008169C1">
            <w:pPr>
              <w:pStyle w:val="ListBullet"/>
              <w:rPr>
                <w:lang w:val="en-NZ"/>
              </w:rPr>
            </w:pPr>
            <w:r w:rsidRPr="008169C1">
              <w:t xml:space="preserve">authenticated evidence from the workplace and/or training courses  </w:t>
            </w:r>
          </w:p>
        </w:tc>
      </w:tr>
      <w:tr w:rsidTr="00DE6C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69C1">
            <w:pPr>
              <w:pStyle w:val="BodyText"/>
              <w:rPr>
                <w:lang w:val="en-NZ"/>
              </w:rPr>
            </w:pPr>
            <w:r w:rsidRPr="008169C1">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8169C1" w:rsidP="008169C1">
            <w:pPr>
              <w:pStyle w:val="BodyText"/>
            </w:pPr>
            <w:r w:rsidRPr="008169C1">
              <w:t>Evidence must be gathered over time in a range of contexts to ensure the person can achieve the unit outcome and apply the competency in different situations or environments</w:t>
            </w:r>
          </w:p>
        </w:tc>
      </w:tr>
    </w:tbl>
    <w:p w:rsidR="00000000" w:rsidRPr="008169C1" w:rsidP="008169C1">
      <w:pPr>
        <w:pStyle w:val="BodyText"/>
      </w:pPr>
    </w:p>
    <w:p w:rsidR="00000000" w:rsidRPr="008169C1" w:rsidP="008169C1">
      <w:pPr>
        <w:pStyle w:val="AllowPageBreak"/>
      </w:pPr>
    </w:p>
    <w:p w:rsidR="00000000" w:rsidRPr="008169C1" w:rsidP="008169C1">
      <w:pPr>
        <w:pStyle w:val="Heading1"/>
      </w:pPr>
      <w:bookmarkStart w:id="11" w:name="O_495109"/>
      <w:bookmarkEnd w:id="11"/>
      <w:r w:rsidRPr="008169C1">
        <w:t>Range Statement</w:t>
      </w:r>
    </w:p>
    <w:tbl>
      <w:tblPr>
        <w:tblW w:w="9322" w:type="dxa"/>
        <w:tblLayout w:type="fixed"/>
        <w:tblCellMar>
          <w:left w:w="62" w:type="dxa"/>
          <w:right w:w="62" w:type="dxa"/>
        </w:tblCellMar>
        <w:tblLook w:val="0000"/>
      </w:tblPr>
      <w:tblGrid>
        <w:gridCol w:w="2660"/>
        <w:gridCol w:w="6662"/>
      </w:tblGrid>
      <w:tr w:rsidTr="00DE6CC8">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9C1">
            <w:pPr>
              <w:pStyle w:val="BodyText"/>
              <w:rPr>
                <w:lang w:val="en-NZ"/>
              </w:rPr>
            </w:pPr>
            <w:r w:rsidRPr="008169C1">
              <w:t xml:space="preserve">The Range Statement provides information about </w:t>
            </w:r>
            <w:r w:rsidRPr="008169C1">
              <w:t>the context in which the unit of competency is carried out. The variables cater for differences between States and Territories and the Commonwealth, and between organisations and workplaces. They allow for different work requirements, work practices and kn</w:t>
            </w:r>
            <w:r w:rsidRPr="008169C1">
              <w:t xml:space="preserve">owledge. The Range Statement also provides a focus for assessment. It relates to the unit as a whole. Text in </w:t>
            </w:r>
            <w:r w:rsidRPr="008169C1">
              <w:rPr>
                <w:rStyle w:val="BoldandItalics"/>
              </w:rPr>
              <w:t>bold italics</w:t>
            </w:r>
            <w:r w:rsidRPr="008169C1">
              <w:t xml:space="preserve"> in the Performance Criteria is explained here.</w:t>
            </w:r>
          </w:p>
        </w:tc>
      </w:tr>
      <w:tr w:rsidTr="00DE6CC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9C1">
            <w:pPr>
              <w:pStyle w:val="BodyText"/>
              <w:rPr>
                <w:lang w:val="en-NZ"/>
              </w:rPr>
            </w:pPr>
            <w:r w:rsidRPr="008169C1">
              <w:rPr>
                <w:rStyle w:val="BoldandItalics"/>
              </w:rPr>
              <w:t>Identification of areas</w:t>
            </w:r>
            <w:r w:rsidRPr="008169C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9C1">
            <w:pPr>
              <w:pStyle w:val="ListBullet"/>
              <w:rPr>
                <w:lang w:val="en-NZ"/>
              </w:rPr>
            </w:pPr>
            <w:r w:rsidRPr="008169C1">
              <w:t>information from internal and external sources</w:t>
            </w:r>
          </w:p>
        </w:tc>
      </w:tr>
      <w:tr w:rsidTr="00DE6CC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9C1">
            <w:pPr>
              <w:pStyle w:val="BodyText"/>
              <w:rPr>
                <w:lang w:val="en-NZ"/>
              </w:rPr>
            </w:pPr>
            <w:r w:rsidRPr="008169C1">
              <w:rPr>
                <w:rStyle w:val="BoldandItalics"/>
              </w:rPr>
              <w:t xml:space="preserve">Stakeholders </w:t>
            </w:r>
            <w:r w:rsidRPr="008169C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9C1" w:rsidP="008169C1">
            <w:pPr>
              <w:pStyle w:val="ListBullet"/>
            </w:pPr>
            <w:r w:rsidRPr="008169C1">
              <w:t>agency staff and senior management</w:t>
            </w:r>
          </w:p>
          <w:p w:rsidR="00000000" w:rsidRPr="008169C1" w:rsidP="008169C1">
            <w:pPr>
              <w:pStyle w:val="ListBullet"/>
            </w:pPr>
            <w:r w:rsidRPr="008169C1">
              <w:t>contractors and consultants</w:t>
            </w:r>
          </w:p>
          <w:p w:rsidR="00000000" w:rsidP="008169C1">
            <w:pPr>
              <w:pStyle w:val="ListBullet"/>
              <w:rPr>
                <w:lang w:val="en-NZ"/>
              </w:rPr>
            </w:pPr>
            <w:r w:rsidRPr="008169C1">
              <w:t>standards-setting organisations</w:t>
            </w:r>
          </w:p>
        </w:tc>
      </w:tr>
      <w:tr w:rsidTr="00DE6CC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9C1">
            <w:pPr>
              <w:pStyle w:val="BodyText"/>
              <w:rPr>
                <w:lang w:val="en-NZ"/>
              </w:rPr>
            </w:pPr>
            <w:r w:rsidRPr="008169C1">
              <w:rPr>
                <w:rStyle w:val="BoldandItalics"/>
              </w:rPr>
              <w:t>Specialist personnel</w:t>
            </w:r>
            <w:r w:rsidRPr="008169C1">
              <w:rPr>
                <w:rStyle w:val="SpecialBold"/>
              </w:rPr>
              <w:t xml:space="preserve"> </w:t>
            </w:r>
            <w:r w:rsidRPr="008169C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9C1" w:rsidP="008169C1">
            <w:pPr>
              <w:pStyle w:val="ListBullet"/>
            </w:pPr>
            <w:r w:rsidRPr="008169C1">
              <w:t>consultants and contractors</w:t>
            </w:r>
          </w:p>
          <w:p w:rsidR="00000000" w:rsidRPr="008169C1" w:rsidP="008169C1">
            <w:pPr>
              <w:pStyle w:val="ListBullet"/>
            </w:pPr>
            <w:r w:rsidRPr="008169C1">
              <w:t>internal and external audit personnel</w:t>
            </w:r>
          </w:p>
          <w:p w:rsidR="00000000" w:rsidRPr="008169C1" w:rsidP="008169C1">
            <w:pPr>
              <w:pStyle w:val="ListBullet"/>
            </w:pPr>
            <w:r w:rsidRPr="008169C1">
              <w:t>personnel from law enforcement and prosecution agencies</w:t>
            </w:r>
          </w:p>
          <w:p w:rsidR="00000000" w:rsidP="008169C1">
            <w:pPr>
              <w:pStyle w:val="ListBullet"/>
              <w:rPr>
                <w:lang w:val="en-NZ"/>
              </w:rPr>
            </w:pPr>
            <w:r w:rsidRPr="008169C1">
              <w:t>personnel from standards-setting organisations</w:t>
            </w:r>
          </w:p>
        </w:tc>
      </w:tr>
      <w:tr w:rsidTr="00DE6CC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9C1">
            <w:pPr>
              <w:pStyle w:val="BodyText"/>
              <w:rPr>
                <w:lang w:val="en-NZ"/>
              </w:rPr>
            </w:pPr>
            <w:r w:rsidRPr="008169C1">
              <w:rPr>
                <w:rStyle w:val="BoldandItalics"/>
              </w:rPr>
              <w:t>Fraud/corruption control strategies and activities</w:t>
            </w:r>
            <w:r w:rsidRPr="008169C1">
              <w:rPr>
                <w:rStyle w:val="SpecialBold"/>
              </w:rPr>
              <w:t xml:space="preserve"> </w:t>
            </w:r>
            <w:r w:rsidRPr="008169C1">
              <w:t>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9C1" w:rsidP="008169C1">
            <w:pPr>
              <w:pStyle w:val="ListBullet"/>
            </w:pPr>
            <w:r w:rsidRPr="008169C1">
              <w:t>fraud/corruption control strategy</w:t>
            </w:r>
          </w:p>
          <w:p w:rsidR="00000000" w:rsidRPr="008169C1" w:rsidP="008169C1">
            <w:pPr>
              <w:pStyle w:val="ListBullet"/>
            </w:pPr>
            <w:r w:rsidRPr="008169C1">
              <w:t>process for identifying risks</w:t>
            </w:r>
          </w:p>
          <w:p w:rsidR="00000000" w:rsidRPr="008169C1" w:rsidP="008169C1">
            <w:pPr>
              <w:pStyle w:val="ListBullet"/>
            </w:pPr>
            <w:r w:rsidRPr="008169C1">
              <w:t>fraud/corruption vulnerability risk assessment methodology</w:t>
            </w:r>
          </w:p>
          <w:p w:rsidR="00000000" w:rsidP="008169C1">
            <w:pPr>
              <w:pStyle w:val="ListBullet"/>
              <w:rPr>
                <w:lang w:val="en-NZ"/>
              </w:rPr>
            </w:pPr>
            <w:r w:rsidRPr="008169C1">
              <w:t>fraud/corruption control plan</w:t>
            </w:r>
          </w:p>
        </w:tc>
      </w:tr>
      <w:tr w:rsidTr="00DE6CC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9C1">
            <w:pPr>
              <w:pStyle w:val="BodyText"/>
              <w:rPr>
                <w:lang w:val="en-NZ"/>
              </w:rPr>
            </w:pPr>
            <w:r w:rsidRPr="008169C1">
              <w:rPr>
                <w:rStyle w:val="BoldandItalics"/>
              </w:rPr>
              <w:t>Components of a fraud/corruption control plan</w:t>
            </w:r>
            <w:r w:rsidRPr="008169C1">
              <w:rPr>
                <w:rStyle w:val="SpecialBold"/>
              </w:rPr>
              <w:t xml:space="preserve"> </w:t>
            </w:r>
            <w:r w:rsidRPr="008169C1">
              <w:t>may include as a minimum: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9C1" w:rsidP="008169C1">
            <w:pPr>
              <w:pStyle w:val="ListBullet"/>
            </w:pPr>
            <w:r w:rsidRPr="008169C1">
              <w:t>overview of agency's attitude to fraud and corruption and the means by which it encourages et</w:t>
            </w:r>
            <w:r w:rsidRPr="008169C1">
              <w:t>hical behaviour</w:t>
            </w:r>
          </w:p>
          <w:p w:rsidR="00000000" w:rsidRPr="008169C1" w:rsidP="008169C1">
            <w:pPr>
              <w:pStyle w:val="ListBullet"/>
            </w:pPr>
            <w:r w:rsidRPr="008169C1">
              <w:t>responsibilities in relation to fraud and corruption control and the agency's relationships with other agencies</w:t>
            </w:r>
          </w:p>
          <w:p w:rsidR="00000000" w:rsidRPr="008169C1" w:rsidP="008169C1">
            <w:pPr>
              <w:pStyle w:val="ListBullet"/>
            </w:pPr>
            <w:r w:rsidRPr="008169C1">
              <w:t>outlines of how risks are identified and assessed</w:t>
            </w:r>
          </w:p>
          <w:p w:rsidR="00000000" w:rsidRPr="008169C1" w:rsidP="008169C1">
            <w:pPr>
              <w:pStyle w:val="ListBullet"/>
            </w:pPr>
            <w:r w:rsidRPr="008169C1">
              <w:t>descriptions of the processes which are vulnerable to fraud and corruption and</w:t>
            </w:r>
            <w:r w:rsidRPr="008169C1">
              <w:t xml:space="preserve"> actions proposed to overcome those vulnerabilities</w:t>
            </w:r>
          </w:p>
          <w:p w:rsidR="00000000" w:rsidRPr="008169C1" w:rsidP="008169C1">
            <w:pPr>
              <w:pStyle w:val="ListBullet"/>
            </w:pPr>
            <w:r w:rsidRPr="008169C1">
              <w:t>responsibilities within the agency for actions identified within the plan and an implementation timetable</w:t>
            </w:r>
          </w:p>
          <w:p w:rsidR="00000000" w:rsidRPr="008169C1" w:rsidP="008169C1">
            <w:pPr>
              <w:pStyle w:val="ListBullet"/>
            </w:pPr>
            <w:r w:rsidRPr="008169C1">
              <w:t>procedures for the preparation, maintenance and review of the agency's fraud/corruption control pl</w:t>
            </w:r>
            <w:r w:rsidRPr="008169C1">
              <w:t>ans</w:t>
            </w:r>
          </w:p>
          <w:p w:rsidR="00000000" w:rsidRPr="008169C1" w:rsidP="008169C1">
            <w:pPr>
              <w:pStyle w:val="ListBullet"/>
            </w:pPr>
            <w:r w:rsidRPr="008169C1">
              <w:t>agency fraud and corruption awareness and training strategy</w:t>
            </w:r>
          </w:p>
          <w:p w:rsidR="00000000" w:rsidRPr="008169C1" w:rsidP="008169C1">
            <w:pPr>
              <w:pStyle w:val="ListBullet"/>
            </w:pPr>
            <w:r w:rsidRPr="008169C1">
              <w:t>agency conduct and disciplinary standards</w:t>
            </w:r>
          </w:p>
          <w:p w:rsidR="00000000" w:rsidRPr="008169C1" w:rsidP="008169C1">
            <w:pPr>
              <w:pStyle w:val="ListBullet"/>
            </w:pPr>
            <w:r w:rsidRPr="008169C1">
              <w:t>statement on how the plan aligns with legislative and judicial requirements (such as reporting and confidentiality)</w:t>
            </w:r>
          </w:p>
          <w:p w:rsidR="00000000" w:rsidP="008169C1">
            <w:pPr>
              <w:pStyle w:val="ListBullet"/>
              <w:rPr>
                <w:lang w:val="en-NZ"/>
              </w:rPr>
            </w:pPr>
            <w:r w:rsidRPr="008169C1">
              <w:t>relevant contacts for further info</w:t>
            </w:r>
            <w:r w:rsidRPr="008169C1">
              <w:t>rmation (internal and external)</w:t>
            </w:r>
          </w:p>
        </w:tc>
      </w:tr>
      <w:tr w:rsidTr="00DE6CC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9C1">
            <w:pPr>
              <w:pStyle w:val="BodyText"/>
              <w:rPr>
                <w:lang w:val="en-NZ"/>
              </w:rPr>
            </w:pPr>
            <w:r w:rsidRPr="008169C1">
              <w:rPr>
                <w:rStyle w:val="BoldandItalics"/>
              </w:rPr>
              <w:t>Relevant legislation and guidelines</w:t>
            </w:r>
            <w:r w:rsidRPr="008169C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9C1" w:rsidP="008169C1">
            <w:pPr>
              <w:pStyle w:val="ListBullet"/>
            </w:pPr>
            <w:r w:rsidRPr="008169C1">
              <w:t>jurisdictional legislation covering agency responsibilities in fraud and corruption control</w:t>
            </w:r>
          </w:p>
          <w:p w:rsidR="00000000" w:rsidRPr="008169C1" w:rsidP="008169C1">
            <w:pPr>
              <w:pStyle w:val="ListBullet"/>
            </w:pPr>
            <w:r w:rsidRPr="008169C1">
              <w:t>guidelines such as:</w:t>
            </w:r>
          </w:p>
          <w:p w:rsidR="00000000" w:rsidRPr="008169C1" w:rsidP="008169C1">
            <w:pPr>
              <w:pStyle w:val="ListBullet2"/>
            </w:pPr>
            <w:r w:rsidRPr="008169C1">
              <w:t>Fraud control policy of the Commonwealth</w:t>
            </w:r>
          </w:p>
          <w:p w:rsidR="00000000" w:rsidRPr="008169C1" w:rsidP="008169C1">
            <w:pPr>
              <w:pStyle w:val="ListBullet2"/>
            </w:pPr>
            <w:r w:rsidRPr="008169C1">
              <w:t>Commonwealth fraud control guidelines</w:t>
            </w:r>
          </w:p>
          <w:p w:rsidR="00000000" w:rsidRPr="008169C1" w:rsidP="008169C1">
            <w:pPr>
              <w:pStyle w:val="ListBullet2"/>
            </w:pPr>
            <w:r w:rsidRPr="008169C1">
              <w:t>Fraud control: developing an effective strategy (NSW)</w:t>
            </w:r>
          </w:p>
          <w:p w:rsidR="00000000" w:rsidRPr="008169C1" w:rsidP="008169C1">
            <w:pPr>
              <w:pStyle w:val="ListBullet2"/>
            </w:pPr>
            <w:r w:rsidRPr="008169C1">
              <w:t>those released by standards-setting organisations such as Risk management, AS/NZS 4360:1999 or as revised</w:t>
            </w:r>
          </w:p>
        </w:tc>
      </w:tr>
    </w:tbl>
    <w:p w:rsidR="00DE6CC8" w:rsidP="008169C1">
      <w:pPr>
        <w:pStyle w:val="BodyText"/>
      </w:pPr>
    </w:p>
    <w:p w:rsidR="00DE6CC8" w:rsidP="008169C1">
      <w:pPr>
        <w:pStyle w:val="BodyText"/>
      </w:pPr>
    </w:p>
    <w:p w:rsidR="00000000" w:rsidRPr="008169C1" w:rsidP="008169C1">
      <w:pPr>
        <w:pStyle w:val="Heading1"/>
      </w:pPr>
      <w:bookmarkStart w:id="12" w:name="O_495105"/>
      <w:bookmarkEnd w:id="12"/>
      <w:r w:rsidRPr="008169C1">
        <w:t>Unit Sector(s)</w:t>
      </w:r>
    </w:p>
    <w:p w:rsidR="00000000" w:rsidRPr="008169C1" w:rsidP="008169C1">
      <w:pPr>
        <w:pStyle w:val="BodyText"/>
      </w:pPr>
      <w:r w:rsidRPr="008169C1">
        <w:t>Not applicable.</w:t>
      </w:r>
    </w:p>
    <w:p w:rsidR="00000000" w:rsidRPr="008169C1" w:rsidP="008169C1">
      <w:pPr>
        <w:pStyle w:val="AllowPageBreak"/>
      </w:pPr>
    </w:p>
    <w:p w:rsidR="00000000" w:rsidRPr="008169C1" w:rsidP="008169C1">
      <w:pPr>
        <w:pStyle w:val="Heading1"/>
      </w:pPr>
      <w:bookmarkStart w:id="13" w:name="O_495117"/>
      <w:bookmarkEnd w:id="13"/>
      <w:r w:rsidRPr="008169C1">
        <w:t>Competency field</w:t>
      </w:r>
    </w:p>
    <w:p w:rsidR="00000000" w:rsidRPr="008169C1" w:rsidP="008169C1">
      <w:pPr>
        <w:pStyle w:val="BodyText"/>
      </w:pPr>
      <w:r w:rsidRPr="008169C1">
        <w:t>Fraud Control.</w:t>
      </w:r>
    </w:p>
    <w:p w:rsidR="00000000" w:rsidRPr="008169C1" w:rsidP="008169C1"/>
    <w:sectPr w:rsidSect="008169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6CC8" w:rsidP="00DE6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C8" w:rsidP="008169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6CC8" w:rsidP="008169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E6CC8" w:rsidP="008169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C1" w:rsidRPr="00DE6CC8" w:rsidP="00DE6C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C8" w:rsidRPr="002D2AF8" w:rsidP="008169C1">
    <w:pPr>
      <w:pStyle w:val="Header"/>
      <w:framePr w:wrap="around"/>
    </w:pPr>
    <w:r>
      <w:fldChar w:fldCharType="begin"/>
    </w:r>
    <w:r>
      <w:instrText xml:space="preserve"> TITLE   \* MERGEFORMAT </w:instrText>
    </w:r>
    <w:r>
      <w:fldChar w:fldCharType="separate"/>
    </w:r>
    <w:r>
      <w:t>PSPFRAU505B Develop fraud control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DE6CC8" w:rsidP="008169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BEE1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4A1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6455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9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69C1"/>
    <w:pPr>
      <w:spacing w:before="360" w:after="60"/>
      <w:outlineLvl w:val="0"/>
    </w:pPr>
    <w:rPr>
      <w:sz w:val="32"/>
    </w:rPr>
  </w:style>
  <w:style w:type="paragraph" w:styleId="Heading2">
    <w:name w:val="heading 2"/>
    <w:basedOn w:val="HeadingBase"/>
    <w:next w:val="BodyText"/>
    <w:link w:val="Heading2Char"/>
    <w:qFormat/>
    <w:rsid w:val="008169C1"/>
    <w:pPr>
      <w:keepLines/>
      <w:spacing w:before="240" w:after="120"/>
      <w:outlineLvl w:val="1"/>
    </w:pPr>
    <w:rPr>
      <w:sz w:val="28"/>
      <w:szCs w:val="40"/>
    </w:rPr>
  </w:style>
  <w:style w:type="paragraph" w:styleId="Heading3">
    <w:name w:val="heading 3"/>
    <w:basedOn w:val="HeadingBase"/>
    <w:next w:val="BodyText"/>
    <w:link w:val="Heading3Char"/>
    <w:qFormat/>
    <w:rsid w:val="008169C1"/>
    <w:pPr>
      <w:spacing w:before="180" w:after="120"/>
      <w:outlineLvl w:val="2"/>
    </w:pPr>
    <w:rPr>
      <w:spacing w:val="-10"/>
      <w:kern w:val="32"/>
    </w:rPr>
  </w:style>
  <w:style w:type="paragraph" w:styleId="Heading4">
    <w:name w:val="heading 4"/>
    <w:basedOn w:val="HeadingBase"/>
    <w:next w:val="BodyText"/>
    <w:link w:val="Heading4Char"/>
    <w:qFormat/>
    <w:rsid w:val="008169C1"/>
    <w:pPr>
      <w:spacing w:before="160" w:after="120"/>
      <w:outlineLvl w:val="3"/>
    </w:pPr>
    <w:rPr>
      <w:sz w:val="22"/>
    </w:rPr>
  </w:style>
  <w:style w:type="paragraph" w:styleId="Heading5">
    <w:name w:val="heading 5"/>
    <w:basedOn w:val="HeadingBase"/>
    <w:next w:val="Normal"/>
    <w:link w:val="Heading5Char"/>
    <w:qFormat/>
    <w:rsid w:val="008169C1"/>
    <w:pPr>
      <w:spacing w:before="80"/>
      <w:outlineLvl w:val="4"/>
    </w:pPr>
    <w:rPr>
      <w:color w:val="918585"/>
      <w:sz w:val="20"/>
    </w:rPr>
  </w:style>
  <w:style w:type="paragraph" w:styleId="Heading6">
    <w:name w:val="heading 6"/>
    <w:basedOn w:val="HeadingBase"/>
    <w:next w:val="Normal"/>
    <w:link w:val="Heading6Char"/>
    <w:qFormat/>
    <w:rsid w:val="008169C1"/>
    <w:pPr>
      <w:spacing w:before="60"/>
      <w:outlineLvl w:val="5"/>
    </w:pPr>
    <w:rPr>
      <w:color w:val="918585"/>
      <w:sz w:val="20"/>
    </w:rPr>
  </w:style>
  <w:style w:type="paragraph" w:styleId="Heading7">
    <w:name w:val="heading 7"/>
    <w:basedOn w:val="Normal"/>
    <w:next w:val="Normal"/>
    <w:link w:val="Heading7Char"/>
    <w:qFormat/>
    <w:rsid w:val="008169C1"/>
    <w:pPr>
      <w:ind w:left="720"/>
      <w:outlineLvl w:val="6"/>
    </w:pPr>
    <w:rPr>
      <w:i/>
    </w:rPr>
  </w:style>
  <w:style w:type="paragraph" w:styleId="Heading8">
    <w:name w:val="heading 8"/>
    <w:basedOn w:val="Normal"/>
    <w:next w:val="Normal"/>
    <w:link w:val="Heading8Char"/>
    <w:qFormat/>
    <w:rsid w:val="008169C1"/>
    <w:pPr>
      <w:ind w:left="720"/>
      <w:outlineLvl w:val="7"/>
    </w:pPr>
    <w:rPr>
      <w:i/>
    </w:rPr>
  </w:style>
  <w:style w:type="paragraph" w:styleId="Heading9">
    <w:name w:val="heading 9"/>
    <w:basedOn w:val="Normal"/>
    <w:next w:val="Normal"/>
    <w:link w:val="Heading9Char"/>
    <w:qFormat/>
    <w:rsid w:val="008169C1"/>
    <w:pPr>
      <w:ind w:left="720"/>
      <w:outlineLvl w:val="8"/>
    </w:pPr>
    <w:rPr>
      <w:i/>
    </w:rPr>
  </w:style>
  <w:style w:type="character" w:default="1" w:styleId="DefaultParagraphFont">
    <w:name w:val="Default Paragraph Font"/>
    <w:uiPriority w:val="1"/>
    <w:unhideWhenUsed/>
    <w:rsid w:val="008169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9C1"/>
  </w:style>
  <w:style w:type="character" w:customStyle="1" w:styleId="Heading1Char">
    <w:name w:val="Heading 1 Char"/>
    <w:basedOn w:val="DefaultParagraphFont"/>
    <w:link w:val="Heading1"/>
    <w:rsid w:val="008169C1"/>
    <w:rPr>
      <w:rFonts w:ascii="Times New Roman" w:eastAsia="Times New Roman" w:hAnsi="Times New Roman" w:cs="Times New Roman"/>
      <w:b/>
      <w:sz w:val="32"/>
      <w:szCs w:val="20"/>
      <w:lang w:eastAsia="en-US"/>
    </w:rPr>
  </w:style>
  <w:style w:type="paragraph" w:styleId="BodyText">
    <w:name w:val="Body Text"/>
    <w:basedOn w:val="Normal"/>
    <w:link w:val="BodyTextChar"/>
    <w:rsid w:val="008169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69C1"/>
    <w:rPr>
      <w:rFonts w:ascii="Times New Roman" w:eastAsia="Times New Roman" w:hAnsi="Times New Roman" w:cs="Times New Roman"/>
      <w:sz w:val="24"/>
      <w:lang w:eastAsia="en-US"/>
    </w:rPr>
  </w:style>
  <w:style w:type="paragraph" w:styleId="Footer">
    <w:name w:val="footer"/>
    <w:basedOn w:val="Normal"/>
    <w:link w:val="FooterChar"/>
    <w:rsid w:val="008169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9C1"/>
    <w:rPr>
      <w:rFonts w:ascii="Times New Roman" w:eastAsia="Times New Roman" w:hAnsi="Times New Roman" w:cs="Times New Roman"/>
      <w:sz w:val="16"/>
      <w:lang w:eastAsia="en-US"/>
    </w:rPr>
  </w:style>
  <w:style w:type="paragraph" w:styleId="List">
    <w:name w:val="List"/>
    <w:basedOn w:val="BodyText"/>
    <w:next w:val="BodyText"/>
    <w:rsid w:val="008169C1"/>
    <w:pPr>
      <w:tabs>
        <w:tab w:val="left" w:pos="340"/>
      </w:tabs>
      <w:spacing w:before="60" w:after="60"/>
      <w:ind w:left="340" w:hanging="340"/>
    </w:pPr>
  </w:style>
  <w:style w:type="paragraph" w:styleId="ListBullet">
    <w:name w:val="List Bullet"/>
    <w:basedOn w:val="List"/>
    <w:rsid w:val="008169C1"/>
    <w:pPr>
      <w:numPr>
        <w:numId w:val="13"/>
      </w:numPr>
      <w:tabs>
        <w:tab w:val="clear" w:pos="340"/>
      </w:tabs>
      <w:spacing w:before="40" w:after="40"/>
    </w:pPr>
  </w:style>
  <w:style w:type="character" w:customStyle="1" w:styleId="SpecialBold">
    <w:name w:val="Special Bold"/>
    <w:basedOn w:val="DefaultParagraphFont"/>
    <w:rsid w:val="008169C1"/>
    <w:rPr>
      <w:b/>
      <w:spacing w:val="0"/>
    </w:rPr>
  </w:style>
  <w:style w:type="paragraph" w:styleId="ListBullet2">
    <w:name w:val="List Bullet 2"/>
    <w:basedOn w:val="List2"/>
    <w:rsid w:val="008169C1"/>
    <w:pPr>
      <w:numPr>
        <w:numId w:val="14"/>
      </w:numPr>
      <w:tabs>
        <w:tab w:val="clear" w:pos="680"/>
      </w:tabs>
    </w:pPr>
  </w:style>
  <w:style w:type="character" w:styleId="Emphasis">
    <w:name w:val="Emphasis"/>
    <w:basedOn w:val="DefaultParagraphFont"/>
    <w:qFormat/>
    <w:rsid w:val="008169C1"/>
    <w:rPr>
      <w:i/>
    </w:rPr>
  </w:style>
  <w:style w:type="paragraph" w:customStyle="1" w:styleId="SuperHeading">
    <w:name w:val="SuperHeading"/>
    <w:basedOn w:val="Normal"/>
    <w:rsid w:val="008169C1"/>
    <w:pPr>
      <w:spacing w:before="240" w:after="120"/>
      <w:outlineLvl w:val="0"/>
    </w:pPr>
    <w:rPr>
      <w:rFonts w:ascii="Times New Roman" w:hAnsi="Times New Roman"/>
      <w:b/>
      <w:sz w:val="28"/>
    </w:rPr>
  </w:style>
  <w:style w:type="paragraph" w:customStyle="1" w:styleId="AllowPageBreak">
    <w:name w:val="AllowPageBreak"/>
    <w:rsid w:val="008169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169C1"/>
    <w:rPr>
      <w:u w:val="single"/>
    </w:rPr>
  </w:style>
  <w:style w:type="character" w:customStyle="1" w:styleId="BoldandItalics">
    <w:name w:val="Bold and Italics"/>
    <w:qFormat/>
    <w:rsid w:val="008169C1"/>
    <w:rPr>
      <w:b/>
      <w:i/>
      <w:u w:val="none"/>
    </w:rPr>
  </w:style>
  <w:style w:type="character" w:customStyle="1" w:styleId="Heading2Char">
    <w:name w:val="Heading 2 Char"/>
    <w:basedOn w:val="DefaultParagraphFont"/>
    <w:link w:val="Heading2"/>
    <w:rsid w:val="008169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9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9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9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9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9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69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69C1"/>
    <w:rPr>
      <w:rFonts w:ascii="Courier New" w:eastAsia="Times New Roman" w:hAnsi="Courier New" w:cs="Times New Roman"/>
      <w:i/>
      <w:szCs w:val="20"/>
      <w:lang w:eastAsia="en-US"/>
    </w:rPr>
  </w:style>
  <w:style w:type="paragraph" w:customStyle="1" w:styleId="HeadingBase">
    <w:name w:val="Heading Base"/>
    <w:rsid w:val="008169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9C1"/>
    <w:pPr>
      <w:tabs>
        <w:tab w:val="right" w:leader="dot" w:pos="9072"/>
      </w:tabs>
      <w:ind w:left="567"/>
    </w:pPr>
    <w:rPr>
      <w:szCs w:val="22"/>
    </w:rPr>
  </w:style>
  <w:style w:type="paragraph" w:customStyle="1" w:styleId="TOCBase">
    <w:name w:val="TOC Base"/>
    <w:rsid w:val="008169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9C1"/>
    <w:pPr>
      <w:tabs>
        <w:tab w:val="right" w:leader="dot" w:pos="9072"/>
      </w:tabs>
      <w:spacing w:before="40" w:after="40"/>
      <w:ind w:left="284"/>
    </w:pPr>
    <w:rPr>
      <w:rFonts w:ascii="Times New Roman" w:hAnsi="Times New Roman"/>
    </w:rPr>
  </w:style>
  <w:style w:type="paragraph" w:styleId="TOC1">
    <w:name w:val="toc 1"/>
    <w:basedOn w:val="TOCBase"/>
    <w:next w:val="Normal"/>
    <w:rsid w:val="008169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69C1"/>
    <w:pPr>
      <w:spacing w:before="5040"/>
      <w:jc w:val="center"/>
    </w:pPr>
    <w:rPr>
      <w:sz w:val="48"/>
      <w:szCs w:val="72"/>
      <w:lang w:val="en-US"/>
    </w:rPr>
  </w:style>
  <w:style w:type="character" w:customStyle="1" w:styleId="TitleChar">
    <w:name w:val="Title Char"/>
    <w:basedOn w:val="DefaultParagraphFont"/>
    <w:link w:val="Title"/>
    <w:rsid w:val="008169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9C1"/>
    <w:pPr>
      <w:tabs>
        <w:tab w:val="left" w:pos="3600"/>
        <w:tab w:val="left" w:pos="3958"/>
      </w:tabs>
    </w:pPr>
  </w:style>
  <w:style w:type="paragraph" w:customStyle="1" w:styleId="Note">
    <w:name w:val="Note"/>
    <w:basedOn w:val="BodyText"/>
    <w:rsid w:val="008169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9C1"/>
    <w:pPr>
      <w:framePr w:wrap="auto" w:hAnchor="text" w:y="6049"/>
    </w:pPr>
    <w:rPr>
      <w:color w:val="000000"/>
      <w:sz w:val="40"/>
    </w:rPr>
  </w:style>
  <w:style w:type="paragraph" w:customStyle="1" w:styleId="TOCTitle">
    <w:name w:val="TOCTitle"/>
    <w:basedOn w:val="Heading1"/>
    <w:rsid w:val="008169C1"/>
    <w:pPr>
      <w:spacing w:after="240"/>
      <w:jc w:val="center"/>
      <w:outlineLvl w:val="9"/>
    </w:pPr>
    <w:rPr>
      <w:caps/>
    </w:rPr>
  </w:style>
  <w:style w:type="paragraph" w:customStyle="1" w:styleId="Version">
    <w:name w:val="Version"/>
    <w:rsid w:val="008169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9C1"/>
    <w:pPr>
      <w:keepNext w:val="0"/>
      <w:tabs>
        <w:tab w:val="right" w:pos="4176"/>
      </w:tabs>
      <w:ind w:left="198" w:hanging="198"/>
    </w:pPr>
    <w:rPr>
      <w:rFonts w:ascii="Garamond" w:hAnsi="Garamond"/>
    </w:rPr>
  </w:style>
  <w:style w:type="paragraph" w:styleId="IndexHeading">
    <w:name w:val="index heading"/>
    <w:basedOn w:val="Normal"/>
    <w:next w:val="Index1"/>
    <w:semiHidden/>
    <w:rsid w:val="008169C1"/>
    <w:pPr>
      <w:spacing w:before="120" w:after="120"/>
    </w:pPr>
    <w:rPr>
      <w:rFonts w:ascii="Arial" w:hAnsi="Arial"/>
      <w:b/>
      <w:color w:val="918585"/>
      <w:sz w:val="24"/>
    </w:rPr>
  </w:style>
  <w:style w:type="paragraph" w:styleId="Header">
    <w:name w:val="header"/>
    <w:basedOn w:val="Normal"/>
    <w:link w:val="HeaderChar"/>
    <w:rsid w:val="008169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9C1"/>
    <w:rPr>
      <w:rFonts w:ascii="Times New Roman" w:eastAsia="Times New Roman" w:hAnsi="Times New Roman" w:cs="Times New Roman"/>
      <w:sz w:val="16"/>
      <w:szCs w:val="20"/>
      <w:lang w:val="en-GB" w:eastAsia="en-US"/>
    </w:rPr>
  </w:style>
  <w:style w:type="paragraph" w:customStyle="1" w:styleId="Chapter">
    <w:name w:val="Chapter"/>
    <w:basedOn w:val="Normal"/>
    <w:rsid w:val="008169C1"/>
    <w:pPr>
      <w:spacing w:before="240"/>
    </w:pPr>
    <w:rPr>
      <w:rFonts w:ascii="Times New Roman" w:hAnsi="Times New Roman"/>
      <w:smallCaps/>
      <w:spacing w:val="80"/>
      <w:sz w:val="28"/>
    </w:rPr>
  </w:style>
  <w:style w:type="paragraph" w:customStyle="1" w:styleId="InChapter">
    <w:name w:val="InChapter"/>
    <w:basedOn w:val="Heading3"/>
    <w:rsid w:val="008169C1"/>
    <w:pPr>
      <w:spacing w:after="240"/>
      <w:outlineLvl w:val="9"/>
    </w:pPr>
    <w:rPr>
      <w:noProof/>
    </w:rPr>
  </w:style>
  <w:style w:type="paragraph" w:styleId="Index2">
    <w:name w:val="index 2"/>
    <w:basedOn w:val="Normal"/>
    <w:next w:val="Normal"/>
    <w:semiHidden/>
    <w:rsid w:val="008169C1"/>
    <w:pPr>
      <w:tabs>
        <w:tab w:val="right" w:pos="4176"/>
      </w:tabs>
      <w:ind w:left="568" w:hanging="284"/>
    </w:pPr>
    <w:rPr>
      <w:rFonts w:ascii="Garamond" w:hAnsi="Garamond"/>
    </w:rPr>
  </w:style>
  <w:style w:type="paragraph" w:customStyle="1" w:styleId="Byline">
    <w:name w:val="Byline"/>
    <w:rsid w:val="008169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9C1"/>
    <w:pPr>
      <w:tabs>
        <w:tab w:val="clear" w:pos="3600"/>
        <w:tab w:val="clear" w:pos="3958"/>
      </w:tabs>
      <w:jc w:val="right"/>
    </w:pPr>
  </w:style>
  <w:style w:type="paragraph" w:styleId="Caption">
    <w:name w:val="caption"/>
    <w:basedOn w:val="BodyText"/>
    <w:next w:val="Normal"/>
    <w:qFormat/>
    <w:rsid w:val="008169C1"/>
    <w:pPr>
      <w:framePr w:w="2268" w:hSpace="181" w:vSpace="181" w:wrap="around" w:vAnchor="text" w:hAnchor="page" w:x="1135" w:y="285" w:anchorLock="1"/>
    </w:pPr>
    <w:rPr>
      <w:i/>
    </w:rPr>
  </w:style>
  <w:style w:type="paragraph" w:customStyle="1" w:styleId="MiniTOCTitle">
    <w:name w:val="MiniTOCTitle"/>
    <w:basedOn w:val="Heading4"/>
    <w:rsid w:val="008169C1"/>
    <w:pPr>
      <w:spacing w:before="240"/>
      <w:outlineLvl w:val="9"/>
    </w:pPr>
    <w:rPr>
      <w:noProof/>
      <w:sz w:val="24"/>
    </w:rPr>
  </w:style>
  <w:style w:type="paragraph" w:customStyle="1" w:styleId="MiniTOCItem">
    <w:name w:val="MiniTOCItem"/>
    <w:basedOn w:val="ListBullet"/>
    <w:rsid w:val="008169C1"/>
    <w:pPr>
      <w:numPr>
        <w:numId w:val="0"/>
      </w:numPr>
      <w:tabs>
        <w:tab w:val="right" w:leader="dot" w:pos="6521"/>
      </w:tabs>
      <w:spacing w:before="0" w:after="0"/>
    </w:pPr>
  </w:style>
  <w:style w:type="paragraph" w:customStyle="1" w:styleId="TOFTitle">
    <w:name w:val="TOFTitle"/>
    <w:basedOn w:val="TOCTitle"/>
    <w:rsid w:val="008169C1"/>
  </w:style>
  <w:style w:type="paragraph" w:styleId="TableofFigures">
    <w:name w:val="table of figures"/>
    <w:basedOn w:val="Normal"/>
    <w:next w:val="Normal"/>
    <w:semiHidden/>
    <w:rsid w:val="008169C1"/>
    <w:pPr>
      <w:tabs>
        <w:tab w:val="right" w:leader="dot" w:pos="9072"/>
      </w:tabs>
      <w:ind w:left="970" w:hanging="403"/>
    </w:pPr>
    <w:rPr>
      <w:rFonts w:ascii="Times New Roman" w:hAnsi="Times New Roman"/>
      <w:b/>
    </w:rPr>
  </w:style>
  <w:style w:type="paragraph" w:styleId="ListNumber">
    <w:name w:val="List Number"/>
    <w:basedOn w:val="List"/>
    <w:rsid w:val="008169C1"/>
    <w:pPr>
      <w:numPr>
        <w:numId w:val="11"/>
      </w:numPr>
    </w:pPr>
  </w:style>
  <w:style w:type="character" w:customStyle="1" w:styleId="WingdingSymbols">
    <w:name w:val="Wingding Symbols"/>
    <w:rsid w:val="008169C1"/>
    <w:rPr>
      <w:rFonts w:ascii="Wingdings" w:hAnsi="Wingdings"/>
    </w:rPr>
  </w:style>
  <w:style w:type="paragraph" w:customStyle="1" w:styleId="TableHeading">
    <w:name w:val="Table Heading"/>
    <w:basedOn w:val="HeadingBase"/>
    <w:rsid w:val="008169C1"/>
    <w:pPr>
      <w:keepLines/>
      <w:pBdr>
        <w:bottom w:val="single" w:sz="6" w:space="1" w:color="918585"/>
      </w:pBdr>
      <w:spacing w:before="240"/>
    </w:pPr>
  </w:style>
  <w:style w:type="character" w:customStyle="1" w:styleId="HotSpot">
    <w:name w:val="HotSpot"/>
    <w:rsid w:val="008169C1"/>
    <w:rPr>
      <w:color w:val="0033CC"/>
      <w:u w:val="none"/>
    </w:rPr>
  </w:style>
  <w:style w:type="paragraph" w:customStyle="1" w:styleId="BodyTextRight">
    <w:name w:val="Body Text Right"/>
    <w:basedOn w:val="BodyText"/>
    <w:rsid w:val="008169C1"/>
    <w:pPr>
      <w:spacing w:before="0" w:after="0"/>
      <w:jc w:val="right"/>
    </w:pPr>
  </w:style>
  <w:style w:type="paragraph" w:styleId="Index3">
    <w:name w:val="index 3"/>
    <w:basedOn w:val="ListNumber2"/>
    <w:next w:val="Normal"/>
    <w:semiHidden/>
    <w:rsid w:val="008169C1"/>
    <w:pPr>
      <w:numPr>
        <w:numId w:val="0"/>
      </w:numPr>
      <w:tabs>
        <w:tab w:val="right" w:leader="dot" w:pos="4176"/>
      </w:tabs>
    </w:pPr>
  </w:style>
  <w:style w:type="paragraph" w:styleId="ListNumber2">
    <w:name w:val="List Number 2"/>
    <w:basedOn w:val="List2"/>
    <w:rsid w:val="008169C1"/>
    <w:pPr>
      <w:numPr>
        <w:numId w:val="10"/>
      </w:numPr>
      <w:tabs>
        <w:tab w:val="clear" w:pos="1060"/>
      </w:tabs>
    </w:pPr>
  </w:style>
  <w:style w:type="paragraph" w:customStyle="1" w:styleId="MarginNote">
    <w:name w:val="Margin Note"/>
    <w:basedOn w:val="BodyText"/>
    <w:rsid w:val="008169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9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9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69C1"/>
    <w:rPr>
      <w:sz w:val="32"/>
    </w:rPr>
  </w:style>
  <w:style w:type="paragraph" w:customStyle="1" w:styleId="HeadingProcedure">
    <w:name w:val="Heading Procedure"/>
    <w:basedOn w:val="HeadingBase"/>
    <w:next w:val="Normal"/>
    <w:rsid w:val="008169C1"/>
    <w:pPr>
      <w:tabs>
        <w:tab w:val="left" w:pos="0"/>
      </w:tabs>
      <w:spacing w:before="120" w:after="60"/>
    </w:pPr>
    <w:rPr>
      <w:i/>
      <w:color w:val="918585"/>
      <w:sz w:val="22"/>
    </w:rPr>
  </w:style>
  <w:style w:type="paragraph" w:customStyle="1" w:styleId="TableBodyText">
    <w:name w:val="Table Body Text"/>
    <w:basedOn w:val="BodyText"/>
    <w:rsid w:val="008169C1"/>
    <w:pPr>
      <w:spacing w:before="60" w:after="60"/>
    </w:pPr>
  </w:style>
  <w:style w:type="paragraph" w:styleId="ListContinue">
    <w:name w:val="List Continue"/>
    <w:basedOn w:val="List"/>
    <w:rsid w:val="008169C1"/>
    <w:pPr>
      <w:ind w:firstLine="0"/>
    </w:pPr>
  </w:style>
  <w:style w:type="paragraph" w:customStyle="1" w:styleId="ListNote">
    <w:name w:val="List Note"/>
    <w:basedOn w:val="List"/>
    <w:rsid w:val="008169C1"/>
    <w:pPr>
      <w:pBdr>
        <w:top w:val="single" w:sz="6" w:space="2" w:color="918585"/>
        <w:bottom w:val="single" w:sz="6" w:space="2" w:color="918585"/>
      </w:pBdr>
      <w:tabs>
        <w:tab w:val="left" w:pos="1021"/>
      </w:tabs>
      <w:ind w:firstLine="0"/>
    </w:pPr>
  </w:style>
  <w:style w:type="paragraph" w:customStyle="1" w:styleId="Warning">
    <w:name w:val="Warning"/>
    <w:basedOn w:val="BodyText"/>
    <w:rsid w:val="008169C1"/>
    <w:pPr>
      <w:shd w:val="clear" w:color="auto" w:fill="D9D9D9"/>
      <w:tabs>
        <w:tab w:val="left" w:pos="992"/>
      </w:tabs>
      <w:ind w:left="119" w:right="119"/>
    </w:pPr>
    <w:rPr>
      <w:sz w:val="20"/>
    </w:rPr>
  </w:style>
  <w:style w:type="paragraph" w:customStyle="1" w:styleId="MarginIcons">
    <w:name w:val="Margin Icons"/>
    <w:basedOn w:val="BodyText"/>
    <w:rsid w:val="008169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9C1"/>
    <w:rPr>
      <w:rFonts w:ascii="Courier New" w:hAnsi="Courier New"/>
    </w:rPr>
  </w:style>
  <w:style w:type="paragraph" w:customStyle="1" w:styleId="NoteBullet">
    <w:name w:val="Note Bullet"/>
    <w:basedOn w:val="Note"/>
    <w:rsid w:val="008169C1"/>
    <w:pPr>
      <w:tabs>
        <w:tab w:val="clear" w:pos="680"/>
      </w:tabs>
      <w:spacing w:before="60" w:after="60"/>
    </w:pPr>
  </w:style>
  <w:style w:type="paragraph" w:customStyle="1" w:styleId="SubHeading2">
    <w:name w:val="SubHeading2"/>
    <w:basedOn w:val="HeadingBase"/>
    <w:rsid w:val="008169C1"/>
    <w:pPr>
      <w:spacing w:before="240" w:after="60"/>
    </w:pPr>
    <w:rPr>
      <w:sz w:val="20"/>
    </w:rPr>
  </w:style>
  <w:style w:type="paragraph" w:customStyle="1" w:styleId="SubHeading1">
    <w:name w:val="SubHeading1"/>
    <w:basedOn w:val="HeadingBase"/>
    <w:rsid w:val="008169C1"/>
    <w:pPr>
      <w:spacing w:before="240" w:after="60"/>
    </w:pPr>
    <w:rPr>
      <w:color w:val="918585"/>
      <w:sz w:val="22"/>
    </w:rPr>
  </w:style>
  <w:style w:type="paragraph" w:customStyle="1" w:styleId="SideHeading">
    <w:name w:val="Side Heading"/>
    <w:basedOn w:val="HeadingBase"/>
    <w:rsid w:val="008169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9C1"/>
    <w:pPr>
      <w:numPr>
        <w:numId w:val="12"/>
      </w:numPr>
    </w:pPr>
  </w:style>
  <w:style w:type="paragraph" w:styleId="PlainText">
    <w:name w:val="Plain Text"/>
    <w:basedOn w:val="Normal"/>
    <w:link w:val="PlainTextChar"/>
    <w:rsid w:val="008169C1"/>
    <w:rPr>
      <w:sz w:val="20"/>
    </w:rPr>
  </w:style>
  <w:style w:type="character" w:customStyle="1" w:styleId="PlainTextChar">
    <w:name w:val="Plain Text Char"/>
    <w:basedOn w:val="DefaultParagraphFont"/>
    <w:link w:val="PlainText"/>
    <w:rsid w:val="008169C1"/>
    <w:rPr>
      <w:rFonts w:ascii="Courier New" w:eastAsia="Times New Roman" w:hAnsi="Courier New" w:cs="Times New Roman"/>
      <w:sz w:val="20"/>
      <w:szCs w:val="20"/>
      <w:lang w:eastAsia="en-US"/>
    </w:rPr>
  </w:style>
  <w:style w:type="character" w:customStyle="1" w:styleId="MenuOption">
    <w:name w:val="Menu Option"/>
    <w:basedOn w:val="DefaultParagraphFont"/>
    <w:rsid w:val="008169C1"/>
    <w:rPr>
      <w:b/>
      <w:smallCaps/>
    </w:rPr>
  </w:style>
  <w:style w:type="paragraph" w:customStyle="1" w:styleId="TableListNumber">
    <w:name w:val="Table List Number"/>
    <w:basedOn w:val="ListNumber"/>
    <w:rsid w:val="008169C1"/>
    <w:pPr>
      <w:numPr>
        <w:numId w:val="0"/>
      </w:numPr>
    </w:pPr>
  </w:style>
  <w:style w:type="paragraph" w:styleId="TOC4">
    <w:name w:val="toc 4"/>
    <w:basedOn w:val="TOCBase"/>
    <w:next w:val="Normal"/>
    <w:semiHidden/>
    <w:rsid w:val="008169C1"/>
    <w:pPr>
      <w:tabs>
        <w:tab w:val="right" w:leader="dot" w:pos="9071"/>
      </w:tabs>
      <w:ind w:left="1701"/>
    </w:pPr>
  </w:style>
  <w:style w:type="paragraph" w:customStyle="1" w:styleId="ListAlpha">
    <w:name w:val="List Alpha"/>
    <w:basedOn w:val="List"/>
    <w:rsid w:val="008169C1"/>
    <w:pPr>
      <w:numPr>
        <w:numId w:val="9"/>
      </w:numPr>
    </w:pPr>
  </w:style>
  <w:style w:type="paragraph" w:customStyle="1" w:styleId="ListAlpha2">
    <w:name w:val="List Alpha 2"/>
    <w:basedOn w:val="List2"/>
    <w:rsid w:val="008169C1"/>
    <w:pPr>
      <w:numPr>
        <w:numId w:val="8"/>
      </w:numPr>
    </w:pPr>
  </w:style>
  <w:style w:type="paragraph" w:styleId="List2">
    <w:name w:val="List 2"/>
    <w:basedOn w:val="BodyText"/>
    <w:rsid w:val="008169C1"/>
    <w:pPr>
      <w:tabs>
        <w:tab w:val="left" w:pos="680"/>
      </w:tabs>
      <w:spacing w:before="60" w:after="60"/>
      <w:ind w:left="680" w:hanging="340"/>
    </w:pPr>
  </w:style>
  <w:style w:type="paragraph" w:styleId="List3">
    <w:name w:val="List 3"/>
    <w:basedOn w:val="BodyText"/>
    <w:rsid w:val="008169C1"/>
    <w:pPr>
      <w:tabs>
        <w:tab w:val="left" w:pos="1021"/>
      </w:tabs>
      <w:spacing w:before="60" w:after="60"/>
      <w:ind w:left="1020" w:hanging="340"/>
    </w:pPr>
  </w:style>
  <w:style w:type="paragraph" w:styleId="List4">
    <w:name w:val="List 4"/>
    <w:basedOn w:val="BodyText"/>
    <w:rsid w:val="008169C1"/>
    <w:pPr>
      <w:tabs>
        <w:tab w:val="left" w:pos="1361"/>
      </w:tabs>
      <w:spacing w:before="60" w:after="60"/>
      <w:ind w:left="1361" w:hanging="340"/>
    </w:pPr>
  </w:style>
  <w:style w:type="paragraph" w:styleId="List5">
    <w:name w:val="List 5"/>
    <w:basedOn w:val="BodyText"/>
    <w:rsid w:val="008169C1"/>
    <w:pPr>
      <w:tabs>
        <w:tab w:val="left" w:pos="1701"/>
      </w:tabs>
      <w:spacing w:before="60" w:after="60"/>
      <w:ind w:left="1701" w:hanging="340"/>
    </w:pPr>
  </w:style>
  <w:style w:type="paragraph" w:styleId="ListBullet3">
    <w:name w:val="List Bullet 3"/>
    <w:basedOn w:val="List3"/>
    <w:rsid w:val="008169C1"/>
    <w:pPr>
      <w:numPr>
        <w:numId w:val="15"/>
      </w:numPr>
      <w:tabs>
        <w:tab w:val="clear" w:pos="1021"/>
      </w:tabs>
      <w:ind w:left="1037" w:hanging="357"/>
    </w:pPr>
  </w:style>
  <w:style w:type="paragraph" w:styleId="ListBullet4">
    <w:name w:val="List Bullet 4"/>
    <w:basedOn w:val="List4"/>
    <w:rsid w:val="008169C1"/>
    <w:pPr>
      <w:numPr>
        <w:numId w:val="3"/>
      </w:numPr>
    </w:pPr>
  </w:style>
  <w:style w:type="paragraph" w:styleId="ListBullet5">
    <w:name w:val="List Bullet 5"/>
    <w:basedOn w:val="List5"/>
    <w:rsid w:val="008169C1"/>
    <w:pPr>
      <w:numPr>
        <w:numId w:val="4"/>
      </w:numPr>
    </w:pPr>
  </w:style>
  <w:style w:type="paragraph" w:styleId="ListContinue2">
    <w:name w:val="List Continue 2"/>
    <w:basedOn w:val="List2"/>
    <w:rsid w:val="008169C1"/>
    <w:pPr>
      <w:ind w:firstLine="0"/>
    </w:pPr>
  </w:style>
  <w:style w:type="paragraph" w:styleId="ListContinue3">
    <w:name w:val="List Continue 3"/>
    <w:basedOn w:val="List3"/>
    <w:rsid w:val="008169C1"/>
    <w:pPr>
      <w:ind w:left="1021" w:firstLine="0"/>
    </w:pPr>
  </w:style>
  <w:style w:type="paragraph" w:styleId="ListContinue4">
    <w:name w:val="List Continue 4"/>
    <w:basedOn w:val="List4"/>
    <w:rsid w:val="008169C1"/>
    <w:pPr>
      <w:ind w:firstLine="0"/>
    </w:pPr>
  </w:style>
  <w:style w:type="paragraph" w:styleId="ListContinue5">
    <w:name w:val="List Continue 5"/>
    <w:basedOn w:val="List5"/>
    <w:rsid w:val="008169C1"/>
    <w:pPr>
      <w:ind w:firstLine="0"/>
    </w:pPr>
  </w:style>
  <w:style w:type="paragraph" w:styleId="ListNumber3">
    <w:name w:val="List Number 3"/>
    <w:basedOn w:val="List3"/>
    <w:rsid w:val="008169C1"/>
    <w:pPr>
      <w:numPr>
        <w:numId w:val="5"/>
      </w:numPr>
    </w:pPr>
  </w:style>
  <w:style w:type="paragraph" w:styleId="ListNumber4">
    <w:name w:val="List Number 4"/>
    <w:basedOn w:val="List4"/>
    <w:rsid w:val="008169C1"/>
    <w:pPr>
      <w:numPr>
        <w:numId w:val="6"/>
      </w:numPr>
    </w:pPr>
  </w:style>
  <w:style w:type="paragraph" w:styleId="ListNumber5">
    <w:name w:val="List Number 5"/>
    <w:basedOn w:val="List5"/>
    <w:rsid w:val="008169C1"/>
    <w:pPr>
      <w:numPr>
        <w:numId w:val="7"/>
      </w:numPr>
    </w:pPr>
  </w:style>
  <w:style w:type="paragraph" w:styleId="BlockText">
    <w:name w:val="Block Text"/>
    <w:basedOn w:val="Normal"/>
    <w:rsid w:val="008169C1"/>
    <w:pPr>
      <w:spacing w:after="120"/>
      <w:ind w:left="1440" w:right="1440"/>
    </w:pPr>
  </w:style>
  <w:style w:type="character" w:customStyle="1" w:styleId="Subscript">
    <w:name w:val="Subscript"/>
    <w:basedOn w:val="DefaultParagraphFont"/>
    <w:rsid w:val="008169C1"/>
    <w:rPr>
      <w:sz w:val="16"/>
      <w:vertAlign w:val="subscript"/>
    </w:rPr>
  </w:style>
  <w:style w:type="character" w:customStyle="1" w:styleId="Superscript">
    <w:name w:val="Superscript"/>
    <w:basedOn w:val="DefaultParagraphFont"/>
    <w:rsid w:val="008169C1"/>
    <w:rPr>
      <w:sz w:val="16"/>
      <w:vertAlign w:val="superscript"/>
    </w:rPr>
  </w:style>
  <w:style w:type="character" w:customStyle="1" w:styleId="Symbols">
    <w:name w:val="Symbols"/>
    <w:basedOn w:val="DefaultParagraphFont"/>
    <w:rsid w:val="008169C1"/>
    <w:rPr>
      <w:rFonts w:ascii="Symbol" w:hAnsi="Symbol"/>
    </w:rPr>
  </w:style>
  <w:style w:type="character" w:customStyle="1" w:styleId="MenuOptions">
    <w:name w:val="Menu Options"/>
    <w:basedOn w:val="DefaultParagraphFont"/>
    <w:rsid w:val="008169C1"/>
    <w:rPr>
      <w:rFonts w:ascii="Arial Narrow" w:hAnsi="Arial Narrow"/>
      <w:smallCaps/>
    </w:rPr>
  </w:style>
  <w:style w:type="character" w:customStyle="1" w:styleId="Buttons">
    <w:name w:val="Buttons"/>
    <w:basedOn w:val="DefaultParagraphFont"/>
    <w:rsid w:val="008169C1"/>
    <w:rPr>
      <w:b/>
    </w:rPr>
  </w:style>
  <w:style w:type="character" w:customStyle="1" w:styleId="Underlined">
    <w:name w:val="Underlined"/>
    <w:basedOn w:val="DefaultParagraphFont"/>
    <w:rsid w:val="008169C1"/>
    <w:rPr>
      <w:u w:val="single"/>
    </w:rPr>
  </w:style>
  <w:style w:type="paragraph" w:customStyle="1" w:styleId="TableBodyTextRight">
    <w:name w:val="Table Body Text Right"/>
    <w:basedOn w:val="TableBodyText"/>
    <w:rsid w:val="008169C1"/>
    <w:pPr>
      <w:widowControl w:val="0"/>
      <w:autoSpaceDE w:val="0"/>
      <w:autoSpaceDN w:val="0"/>
      <w:adjustRightInd w:val="0"/>
      <w:jc w:val="right"/>
    </w:pPr>
    <w:rPr>
      <w:rFonts w:cs="Arial"/>
      <w:szCs w:val="18"/>
    </w:rPr>
  </w:style>
  <w:style w:type="paragraph" w:customStyle="1" w:styleId="CopyrightText">
    <w:name w:val="Copyright Text"/>
    <w:basedOn w:val="BodyText"/>
    <w:rsid w:val="008169C1"/>
    <w:rPr>
      <w:sz w:val="18"/>
    </w:rPr>
  </w:style>
  <w:style w:type="paragraph" w:customStyle="1" w:styleId="BodySmallRight">
    <w:name w:val="Body Small Right"/>
    <w:basedOn w:val="BodyTextRight"/>
    <w:rsid w:val="008169C1"/>
    <w:rPr>
      <w:sz w:val="18"/>
      <w:szCs w:val="18"/>
    </w:rPr>
  </w:style>
  <w:style w:type="paragraph" w:customStyle="1" w:styleId="MarginEdition">
    <w:name w:val="Margin Edition"/>
    <w:basedOn w:val="MarginNote"/>
    <w:rsid w:val="008169C1"/>
    <w:pPr>
      <w:spacing w:before="0" w:after="0"/>
    </w:pPr>
    <w:rPr>
      <w:rFonts w:ascii="Times New Roman" w:hAnsi="Times New Roman"/>
      <w:color w:val="999999"/>
    </w:rPr>
  </w:style>
  <w:style w:type="paragraph" w:customStyle="1" w:styleId="Spacer">
    <w:name w:val="Spacer"/>
    <w:basedOn w:val="Normal"/>
    <w:rsid w:val="008169C1"/>
    <w:rPr>
      <w:sz w:val="2"/>
      <w:szCs w:val="2"/>
    </w:rPr>
  </w:style>
  <w:style w:type="character" w:customStyle="1" w:styleId="Small">
    <w:name w:val="Small"/>
    <w:basedOn w:val="DefaultParagraphFont"/>
    <w:rsid w:val="008169C1"/>
    <w:rPr>
      <w:sz w:val="16"/>
    </w:rPr>
  </w:style>
  <w:style w:type="paragraph" w:customStyle="1" w:styleId="WideTable">
    <w:name w:val="Wide Table"/>
    <w:basedOn w:val="Normal"/>
    <w:rsid w:val="008169C1"/>
    <w:pPr>
      <w:ind w:left="-1418"/>
    </w:pPr>
    <w:rPr>
      <w:sz w:val="2"/>
      <w:szCs w:val="2"/>
    </w:rPr>
  </w:style>
  <w:style w:type="character" w:styleId="PageNumber">
    <w:name w:val="page number"/>
    <w:basedOn w:val="DefaultParagraphFont"/>
    <w:rsid w:val="008169C1"/>
  </w:style>
  <w:style w:type="paragraph" w:styleId="Quote">
    <w:name w:val="Quote"/>
    <w:basedOn w:val="Heading1"/>
    <w:link w:val="QuoteChar"/>
    <w:qFormat/>
    <w:rsid w:val="008169C1"/>
    <w:rPr>
      <w:b w:val="0"/>
      <w:sz w:val="72"/>
      <w:szCs w:val="72"/>
      <w:lang w:val="en-NZ"/>
    </w:rPr>
  </w:style>
  <w:style w:type="character" w:customStyle="1" w:styleId="QuoteChar">
    <w:name w:val="Quote Char"/>
    <w:basedOn w:val="DefaultParagraphFont"/>
    <w:link w:val="Quote"/>
    <w:rsid w:val="008169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9C1"/>
    <w:pPr>
      <w:pageBreakBefore/>
    </w:pPr>
  </w:style>
  <w:style w:type="paragraph" w:customStyle="1" w:styleId="Border">
    <w:name w:val="Border"/>
    <w:basedOn w:val="Normal"/>
    <w:qFormat/>
    <w:rsid w:val="008169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9C1"/>
    <w:rPr>
      <w:b/>
      <w:bCs/>
      <w:i/>
      <w:iCs/>
      <w:color w:val="auto"/>
    </w:rPr>
  </w:style>
  <w:style w:type="paragraph" w:styleId="IntenseQuote">
    <w:name w:val="Intense Quote"/>
    <w:basedOn w:val="Normal"/>
    <w:next w:val="Normal"/>
    <w:link w:val="IntenseQuoteChar"/>
    <w:uiPriority w:val="30"/>
    <w:qFormat/>
    <w:rsid w:val="008169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9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69C1"/>
    <w:rPr>
      <w:smallCaps/>
      <w:color w:val="auto"/>
      <w:u w:val="single"/>
    </w:rPr>
  </w:style>
  <w:style w:type="character" w:styleId="IntenseReference">
    <w:name w:val="Intense Reference"/>
    <w:basedOn w:val="DefaultParagraphFont"/>
    <w:uiPriority w:val="32"/>
    <w:qFormat/>
    <w:rsid w:val="008169C1"/>
    <w:rPr>
      <w:b/>
      <w:bCs/>
      <w:smallCaps/>
      <w:color w:val="auto"/>
      <w:spacing w:val="5"/>
      <w:u w:val="single"/>
    </w:rPr>
  </w:style>
  <w:style w:type="paragraph" w:customStyle="1" w:styleId="2ColumnHeading">
    <w:name w:val="2Column Heading"/>
    <w:basedOn w:val="BodyText"/>
    <w:qFormat/>
    <w:rsid w:val="008169C1"/>
    <w:pPr>
      <w:spacing w:after="60"/>
      <w:ind w:left="-2268"/>
    </w:pPr>
    <w:rPr>
      <w:b/>
    </w:rPr>
  </w:style>
  <w:style w:type="paragraph" w:customStyle="1" w:styleId="Heading1TOC">
    <w:name w:val="Heading1 TOC"/>
    <w:basedOn w:val="Normal"/>
    <w:qFormat/>
    <w:rsid w:val="008169C1"/>
    <w:pPr>
      <w:spacing w:before="240" w:after="120"/>
    </w:pPr>
    <w:rPr>
      <w:rFonts w:ascii="Times New Roman" w:hAnsi="Times New Roman"/>
      <w:b/>
      <w:sz w:val="32"/>
    </w:rPr>
  </w:style>
  <w:style w:type="paragraph" w:customStyle="1" w:styleId="Heading2TOC">
    <w:name w:val="Heading2 TOC"/>
    <w:basedOn w:val="Normal"/>
    <w:qFormat/>
    <w:rsid w:val="008169C1"/>
    <w:pPr>
      <w:spacing w:before="240" w:after="60"/>
    </w:pPr>
    <w:rPr>
      <w:rFonts w:ascii="Times New Roman" w:hAnsi="Times New Roman"/>
      <w:b/>
      <w:sz w:val="28"/>
    </w:rPr>
  </w:style>
  <w:style w:type="paragraph" w:styleId="BalloonText">
    <w:name w:val="Balloon Text"/>
    <w:basedOn w:val="Normal"/>
    <w:link w:val="BalloonTextChar"/>
    <w:rsid w:val="008169C1"/>
    <w:rPr>
      <w:rFonts w:ascii="Tahoma" w:hAnsi="Tahoma" w:cs="Tahoma"/>
      <w:sz w:val="16"/>
      <w:szCs w:val="16"/>
    </w:rPr>
  </w:style>
  <w:style w:type="character" w:customStyle="1" w:styleId="BalloonTextChar">
    <w:name w:val="Balloon Text Char"/>
    <w:basedOn w:val="DefaultParagraphFont"/>
    <w:link w:val="BalloonText"/>
    <w:rsid w:val="008169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69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69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69C1"/>
    <w:rPr>
      <w:b/>
      <w:color w:val="660033"/>
      <w:spacing w:val="0"/>
    </w:rPr>
  </w:style>
  <w:style w:type="paragraph" w:customStyle="1" w:styleId="Nameditemlist">
    <w:name w:val="Named item list"/>
    <w:basedOn w:val="BodyText"/>
    <w:qFormat/>
    <w:rsid w:val="008169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1588</Words>
  <Characters>10151</Characters>
  <Application>Microsoft Office Word</Application>
  <DocSecurity>0</DocSecurity>
  <Lines>302</Lines>
  <Paragraphs>169</Paragraphs>
  <ScaleCrop>false</ScaleCrop>
  <Company>Author-it Software Corporation Ltd.</Company>
  <LinksUpToDate>false</LinksUpToDate>
  <CharactersWithSpaces>11668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PSPFRAU505B Develop fraud control plans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2012-11-01T02:52:00Z</dcterms:created>
  <dcterms:modified xsi:type="dcterms:W3CDTF">2012-11-01T02:52:00Z</dcterms:modified>
</cp:coreProperties>
</file>