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3E1A" w:rsidP="008C3E1A">
      <w:pPr>
        <w:pStyle w:val="Title"/>
      </w:pPr>
      <w:bookmarkStart w:id="0" w:name="_GoBack"/>
      <w:bookmarkEnd w:id="0"/>
      <w:r>
        <w:fldChar w:fldCharType="begin"/>
      </w:r>
      <w:r>
        <w:instrText xml:space="preserve"> TITLE   \* MERGEFORMAT </w:instrText>
      </w:r>
      <w:r>
        <w:fldChar w:fldCharType="separate"/>
      </w:r>
      <w:r>
        <w:t>PSPFRAU504B Conduct fraud risk assessments</w:t>
      </w:r>
      <w:r>
        <w:fldChar w:fldCharType="end"/>
      </w:r>
    </w:p>
    <w:p w:rsidR="008C3E1A" w:rsidP="008C3E1A">
      <w:pPr>
        <w:pStyle w:val="Version"/>
        <w:sectPr w:rsidSect="00AB66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AB66DE" w:rsidP="00AB66DE">
      <w:pPr>
        <w:pStyle w:val="SuperHeading"/>
      </w:pPr>
      <w:r w:rsidRPr="00AB66DE">
        <w:t>PSPFRAU504B Conduct fraud risk assessments</w:t>
      </w:r>
    </w:p>
    <w:p w:rsidR="00000000" w:rsidRPr="00AB66DE" w:rsidP="00AB66DE">
      <w:pPr>
        <w:pStyle w:val="SuperHeading"/>
      </w:pPr>
    </w:p>
    <w:p w:rsidR="00000000" w:rsidRPr="00AB66DE" w:rsidP="00AB66DE">
      <w:pPr>
        <w:pStyle w:val="Heading1"/>
      </w:pPr>
      <w:bookmarkStart w:id="1" w:name="O_495096"/>
      <w:bookmarkEnd w:id="1"/>
      <w:r w:rsidRPr="00AB66DE">
        <w:t>Modification History</w:t>
      </w:r>
    </w:p>
    <w:tbl>
      <w:tblPr>
        <w:tblW w:w="0" w:type="auto"/>
        <w:tblLayout w:type="fixed"/>
        <w:tblCellMar>
          <w:left w:w="62" w:type="dxa"/>
          <w:right w:w="62" w:type="dxa"/>
        </w:tblCellMar>
        <w:tblLook w:val="0000"/>
      </w:tblPr>
      <w:tblGrid>
        <w:gridCol w:w="3052"/>
        <w:gridCol w:w="3052"/>
        <w:gridCol w:w="3052"/>
      </w:tblGrid>
      <w:tr w:rsidTr="008C3E1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6DE" w:rsidP="00AB66DE">
            <w:pPr>
              <w:pStyle w:val="BodyText"/>
            </w:pPr>
            <w:r w:rsidRPr="00AB66DE">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6DE" w:rsidP="00AB66DE">
            <w:pPr>
              <w:pStyle w:val="BodyText"/>
            </w:pPr>
            <w:r w:rsidRPr="00AB66DE">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6DE">
            <w:pPr>
              <w:pStyle w:val="BodyText"/>
              <w:rPr>
                <w:lang w:val="en-NZ"/>
              </w:rPr>
            </w:pPr>
            <w:r w:rsidRPr="00AB66DE">
              <w:rPr>
                <w:rStyle w:val="SpecialBold"/>
              </w:rPr>
              <w:t>Comments</w:t>
            </w:r>
          </w:p>
        </w:tc>
      </w:tr>
      <w:tr w:rsidTr="008C3E1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6DE">
            <w:pPr>
              <w:pStyle w:val="BodyText"/>
              <w:rPr>
                <w:lang w:val="en-NZ"/>
              </w:rPr>
            </w:pPr>
            <w:r w:rsidRPr="00AB66DE">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6DE">
            <w:pPr>
              <w:pStyle w:val="BodyText"/>
              <w:rPr>
                <w:lang w:val="en-NZ"/>
              </w:rPr>
            </w:pPr>
            <w:r w:rsidRPr="00AB66DE">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6DE">
            <w:pPr>
              <w:pStyle w:val="BodyText"/>
              <w:rPr>
                <w:lang w:val="en-NZ"/>
              </w:rPr>
            </w:pPr>
            <w:r w:rsidRPr="00AB66DE">
              <w:t xml:space="preserve">Unit descriptor edited. </w:t>
            </w:r>
          </w:p>
        </w:tc>
      </w:tr>
      <w:tr w:rsidTr="008C3E1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6DE">
            <w:pPr>
              <w:pStyle w:val="BodyText"/>
              <w:rPr>
                <w:lang w:val="en-NZ"/>
              </w:rPr>
            </w:pPr>
            <w:r w:rsidRPr="00AB66DE">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6DE">
            <w:pPr>
              <w:pStyle w:val="BodyText"/>
              <w:rPr>
                <w:lang w:val="en-NZ"/>
              </w:rPr>
            </w:pPr>
            <w:r w:rsidRPr="00AB66DE">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6DE">
            <w:pPr>
              <w:pStyle w:val="BodyText"/>
              <w:rPr>
                <w:lang w:val="en-NZ"/>
              </w:rPr>
            </w:pPr>
            <w:r w:rsidRPr="00AB66DE">
              <w:t>Layout adjusted. No changes to content.</w:t>
            </w:r>
          </w:p>
        </w:tc>
      </w:tr>
      <w:tr w:rsidTr="008C3E1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6DE">
            <w:pPr>
              <w:pStyle w:val="BodyText"/>
              <w:rPr>
                <w:lang w:val="en-NZ"/>
              </w:rPr>
            </w:pPr>
            <w:r w:rsidRPr="00AB66DE">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6DE">
            <w:pPr>
              <w:pStyle w:val="BodyText"/>
              <w:rPr>
                <w:lang w:val="en-NZ"/>
              </w:rPr>
            </w:pPr>
            <w:r w:rsidRPr="00AB66DE">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6DE" w:rsidP="00AB66DE">
            <w:pPr>
              <w:pStyle w:val="BodyText"/>
            </w:pPr>
            <w:r w:rsidRPr="00AB66DE">
              <w:t>Primary release.</w:t>
            </w:r>
          </w:p>
        </w:tc>
      </w:tr>
    </w:tbl>
    <w:p w:rsidR="008C3E1A" w:rsidP="00AB66DE">
      <w:pPr>
        <w:pStyle w:val="BodyText"/>
      </w:pPr>
    </w:p>
    <w:p w:rsidR="008C3E1A" w:rsidP="00AB66DE">
      <w:pPr>
        <w:pStyle w:val="BodyText"/>
      </w:pPr>
    </w:p>
    <w:p w:rsidR="00000000" w:rsidRPr="00AB66DE" w:rsidP="00AB66DE">
      <w:pPr>
        <w:pStyle w:val="Heading1"/>
      </w:pPr>
      <w:bookmarkStart w:id="2" w:name="O_495090"/>
      <w:bookmarkEnd w:id="2"/>
      <w:r w:rsidRPr="00AB66DE">
        <w:t>Unit Descriptor</w:t>
      </w:r>
    </w:p>
    <w:p w:rsidR="00000000" w:rsidRPr="00AB66DE" w:rsidP="00AB66DE">
      <w:pPr>
        <w:pStyle w:val="BodyText"/>
      </w:pPr>
      <w:r w:rsidRPr="00AB66DE">
        <w:t>This unit covers the implementation of a fraud and corruption risk management process that may be the responsibility of organisational staff or cont</w:t>
      </w:r>
      <w:r w:rsidRPr="00AB66DE">
        <w:t>ractors. It includes conducting fraud and corruption risk assessment and reviewing the processes involved in the risk assessment in line with standard risk management processes (AS/NZS 4360:1999 or as revised).</w:t>
      </w:r>
    </w:p>
    <w:p w:rsidR="00000000" w:rsidRPr="00AB66DE" w:rsidP="00AB66DE">
      <w:pPr>
        <w:pStyle w:val="BodyText"/>
      </w:pPr>
      <w:r w:rsidRPr="00AB66DE">
        <w:rPr>
          <w:rStyle w:val="Emphasis"/>
        </w:rPr>
        <w:t>Fraud</w:t>
      </w:r>
      <w:r w:rsidRPr="00AB66DE">
        <w:t xml:space="preserve"> in the unit title incorporates both </w:t>
      </w:r>
      <w:r w:rsidRPr="00AB66DE">
        <w:rPr>
          <w:rStyle w:val="Emphasis"/>
        </w:rPr>
        <w:t>fra</w:t>
      </w:r>
      <w:r w:rsidRPr="00AB66DE">
        <w:rPr>
          <w:rStyle w:val="Emphasis"/>
        </w:rPr>
        <w:t>ud and corruption</w:t>
      </w:r>
      <w:r w:rsidRPr="00AB66DE">
        <w:t xml:space="preserve">. </w:t>
      </w:r>
    </w:p>
    <w:p w:rsidR="00000000" w:rsidRPr="00AB66DE" w:rsidP="00AB66DE">
      <w:pPr>
        <w:pStyle w:val="BodyText"/>
      </w:pPr>
      <w:r w:rsidRPr="00AB66DE">
        <w:t>In practice, conducting fraud and corruption risk assessments may overlap with other generalist or specialist public sector workplace activities such as acting ethically, promoting compliance with legislation, delivering client services</w:t>
      </w:r>
      <w:r w:rsidRPr="00AB66DE">
        <w:t>, anticipating fraud and corruption activity, developing fraud and corruption control plans, etc.</w:t>
      </w:r>
    </w:p>
    <w:p w:rsidR="00000000" w:rsidRPr="00AB66DE" w:rsidP="00AB66DE">
      <w:pPr>
        <w:pStyle w:val="BodyText"/>
      </w:pPr>
      <w:r w:rsidRPr="00AB66DE">
        <w:t xml:space="preserve">This unit replaces and is equivalent to </w:t>
      </w:r>
      <w:r w:rsidRPr="00AB66DE">
        <w:rPr>
          <w:rStyle w:val="Emphasis"/>
        </w:rPr>
        <w:t>PSPFRAU504A Conduct fraud risk assessment</w:t>
      </w:r>
      <w:r w:rsidRPr="00AB66DE">
        <w:t>.</w:t>
      </w:r>
    </w:p>
    <w:p w:rsidR="00000000" w:rsidRPr="00AB66DE" w:rsidP="00AB66DE">
      <w:pPr>
        <w:pStyle w:val="BodyText"/>
      </w:pPr>
      <w:r w:rsidRPr="00AB66DE">
        <w:t>No licensing, legislative, regulatory or certification requirements apply t</w:t>
      </w:r>
      <w:r w:rsidRPr="00AB66DE">
        <w:t>o this unit at the time of publication</w:t>
      </w:r>
    </w:p>
    <w:p w:rsidR="00000000" w:rsidRPr="00AB66DE" w:rsidP="00AB66DE">
      <w:pPr>
        <w:pStyle w:val="AllowPageBreak"/>
      </w:pPr>
    </w:p>
    <w:p w:rsidR="00000000" w:rsidRPr="00AB66DE" w:rsidP="00AB66DE">
      <w:pPr>
        <w:pStyle w:val="Heading1"/>
      </w:pPr>
      <w:bookmarkStart w:id="3" w:name="O_495103"/>
      <w:bookmarkEnd w:id="3"/>
      <w:r w:rsidRPr="00AB66DE">
        <w:t>Application of the Unit</w:t>
      </w:r>
    </w:p>
    <w:p w:rsidR="00000000" w:rsidRPr="00AB66DE" w:rsidP="00AB66DE">
      <w:pPr>
        <w:pStyle w:val="BodyText"/>
      </w:pPr>
      <w:r w:rsidRPr="00AB66DE">
        <w:t>Not applicable.</w:t>
      </w:r>
    </w:p>
    <w:p w:rsidR="00000000" w:rsidRPr="00AB66DE" w:rsidP="00AB66DE">
      <w:pPr>
        <w:pStyle w:val="AllowPageBreak"/>
      </w:pPr>
    </w:p>
    <w:p w:rsidR="00000000" w:rsidRPr="00AB66DE" w:rsidP="00AB66DE">
      <w:pPr>
        <w:pStyle w:val="Heading1"/>
      </w:pPr>
      <w:bookmarkStart w:id="4" w:name="O_495092"/>
      <w:bookmarkEnd w:id="4"/>
      <w:r w:rsidRPr="00AB66DE">
        <w:t>Licensing/Regulatory Information</w:t>
      </w:r>
    </w:p>
    <w:p w:rsidR="00000000" w:rsidRPr="00AB66DE" w:rsidP="00AB66DE">
      <w:pPr>
        <w:pStyle w:val="BodyText"/>
      </w:pPr>
      <w:r w:rsidRPr="00AB66DE">
        <w:t>Not applicable.</w:t>
      </w:r>
    </w:p>
    <w:p w:rsidR="00000000" w:rsidRPr="00AB66DE" w:rsidP="00AB66DE">
      <w:pPr>
        <w:pStyle w:val="AllowPageBreak"/>
      </w:pPr>
    </w:p>
    <w:p w:rsidR="00000000" w:rsidRPr="00AB66DE" w:rsidP="00AB66DE">
      <w:pPr>
        <w:pStyle w:val="Heading1"/>
      </w:pPr>
      <w:bookmarkStart w:id="5" w:name="O_495091"/>
      <w:bookmarkEnd w:id="5"/>
      <w:r w:rsidRPr="00AB66DE">
        <w:t>Pre-Requisites</w:t>
      </w:r>
    </w:p>
    <w:p w:rsidR="00000000" w:rsidRPr="00AB66DE" w:rsidP="00AB66DE">
      <w:pPr>
        <w:pStyle w:val="BodyText"/>
      </w:pPr>
      <w:r w:rsidRPr="00AB66DE">
        <w:t>Not applicable.</w:t>
      </w:r>
    </w:p>
    <w:p w:rsidR="00000000" w:rsidRPr="00AB66DE" w:rsidP="00AB66DE">
      <w:pPr>
        <w:pStyle w:val="AllowPageBreak"/>
      </w:pPr>
    </w:p>
    <w:p w:rsidR="00000000" w:rsidRPr="00AB66DE" w:rsidP="00AB66DE">
      <w:pPr>
        <w:pStyle w:val="Heading1"/>
      </w:pPr>
      <w:bookmarkStart w:id="6" w:name="O_495099"/>
      <w:bookmarkEnd w:id="6"/>
      <w:r w:rsidRPr="00AB66DE">
        <w:t>Employability Skills Information</w:t>
      </w:r>
    </w:p>
    <w:p w:rsidR="00000000" w:rsidRPr="00AB66DE" w:rsidP="00AB66DE">
      <w:pPr>
        <w:pStyle w:val="BodyText"/>
      </w:pPr>
      <w:r w:rsidRPr="00AB66DE">
        <w:t>This unit contains employability skills.</w:t>
      </w:r>
    </w:p>
    <w:p w:rsidR="00000000" w:rsidRPr="00AB66DE" w:rsidP="00AB66DE">
      <w:pPr>
        <w:pStyle w:val="AllowPageBreak"/>
      </w:pPr>
    </w:p>
    <w:p w:rsidR="00000000" w:rsidRPr="00AB66DE" w:rsidP="00AB66DE">
      <w:pPr>
        <w:pStyle w:val="Heading1"/>
      </w:pPr>
      <w:bookmarkStart w:id="7" w:name="O_495100"/>
      <w:bookmarkEnd w:id="7"/>
      <w:r w:rsidRPr="00AB66DE">
        <w:t>Elements and Performance Criteria Pre-Content</w:t>
      </w:r>
    </w:p>
    <w:tbl>
      <w:tblPr>
        <w:tblW w:w="9322" w:type="dxa"/>
        <w:tblLayout w:type="fixed"/>
        <w:tblCellMar>
          <w:left w:w="62" w:type="dxa"/>
          <w:right w:w="62" w:type="dxa"/>
        </w:tblCellMar>
        <w:tblLook w:val="0000"/>
      </w:tblPr>
      <w:tblGrid>
        <w:gridCol w:w="2660"/>
        <w:gridCol w:w="6662"/>
      </w:tblGrid>
      <w:tr w:rsidTr="008C3E1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B66DE">
            <w:pPr>
              <w:pStyle w:val="BodyText"/>
              <w:rPr>
                <w:lang w:val="en-NZ"/>
              </w:rPr>
            </w:pPr>
            <w:r w:rsidRPr="00AB66DE">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AB66DE" w:rsidP="00AB66DE">
            <w:pPr>
              <w:pStyle w:val="BodyText"/>
            </w:pPr>
            <w:r w:rsidRPr="00AB66DE">
              <w:t xml:space="preserve">Together, performance criteria specify the requirements </w:t>
            </w:r>
            <w:r w:rsidRPr="00AB66DE">
              <w:t xml:space="preserve">for competent performance. Text in </w:t>
            </w:r>
            <w:r w:rsidRPr="00AB66DE">
              <w:rPr>
                <w:rStyle w:val="BoldandItalics"/>
              </w:rPr>
              <w:t>bold italics</w:t>
            </w:r>
            <w:r w:rsidRPr="00AB66DE">
              <w:t xml:space="preserve">  is explained in the Range Statement following.</w:t>
            </w:r>
          </w:p>
        </w:tc>
      </w:tr>
    </w:tbl>
    <w:p w:rsidR="00000000" w:rsidRPr="00AB66DE" w:rsidP="00AB66DE">
      <w:pPr>
        <w:pStyle w:val="BodyText"/>
      </w:pPr>
    </w:p>
    <w:p w:rsidR="00000000" w:rsidRPr="00AB66DE" w:rsidP="00AB66DE">
      <w:pPr>
        <w:pStyle w:val="AllowPageBreak"/>
      </w:pPr>
    </w:p>
    <w:p w:rsidR="00000000" w:rsidRPr="00AB66DE" w:rsidP="00AB66DE">
      <w:pPr>
        <w:pStyle w:val="Heading1"/>
      </w:pPr>
      <w:bookmarkStart w:id="8" w:name="O_495101"/>
      <w:bookmarkEnd w:id="8"/>
      <w:r w:rsidRPr="00AB66DE">
        <w:t>Elements and Performance Criteria</w:t>
      </w:r>
    </w:p>
    <w:tbl>
      <w:tblPr>
        <w:tblW w:w="9322" w:type="dxa"/>
        <w:tblLayout w:type="fixed"/>
        <w:tblCellMar>
          <w:left w:w="62" w:type="dxa"/>
          <w:right w:w="62" w:type="dxa"/>
        </w:tblCellMar>
        <w:tblLook w:val="0000"/>
      </w:tblPr>
      <w:tblGrid>
        <w:gridCol w:w="2660"/>
        <w:gridCol w:w="6662"/>
      </w:tblGrid>
      <w:tr w:rsidTr="008C3E1A">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AB66DE" w:rsidP="00AB66DE">
            <w:pPr>
              <w:pStyle w:val="BodyText"/>
            </w:pPr>
            <w:r w:rsidRPr="00AB66D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B66DE">
            <w:pPr>
              <w:pStyle w:val="BodyText"/>
              <w:rPr>
                <w:lang w:val="en-NZ"/>
              </w:rPr>
            </w:pPr>
            <w:r w:rsidRPr="00AB66DE">
              <w:rPr>
                <w:rStyle w:val="SpecialBold"/>
              </w:rPr>
              <w:t>PERFORMANCE CRITERIA</w:t>
            </w:r>
          </w:p>
        </w:tc>
      </w:tr>
      <w:tr w:rsidTr="008C3E1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B66DE">
            <w:pPr>
              <w:pStyle w:val="List"/>
              <w:rPr>
                <w:lang w:val="en-NZ"/>
              </w:rPr>
            </w:pPr>
            <w:r w:rsidRPr="00AB66DE">
              <w:rPr>
                <w:rStyle w:val="SpecialBold"/>
              </w:rPr>
              <w:t>1</w:t>
            </w:r>
            <w:r w:rsidRPr="00AB66DE">
              <w:t xml:space="preserve">.  </w:t>
            </w:r>
            <w:r w:rsidRPr="00AB66DE">
              <w:tab/>
            </w:r>
            <w:r w:rsidRPr="00AB66DE">
              <w:rPr>
                <w:rStyle w:val="SpecialBold"/>
              </w:rPr>
              <w:t>Conduct fraud and corruption risk assessment</w:t>
            </w:r>
          </w:p>
        </w:tc>
        <w:tc>
          <w:tcPr>
            <w:tcW w:w="6662" w:type="dxa"/>
            <w:tcBorders>
              <w:top w:val="nil"/>
              <w:left w:val="nil"/>
              <w:bottom w:val="nil"/>
              <w:right w:val="nil"/>
            </w:tcBorders>
            <w:tcMar>
              <w:top w:w="0" w:type="dxa"/>
              <w:left w:w="62" w:type="dxa"/>
              <w:bottom w:w="0" w:type="dxa"/>
              <w:right w:w="62" w:type="dxa"/>
            </w:tcMar>
          </w:tcPr>
          <w:p w:rsidR="00000000" w:rsidRPr="00AB66DE" w:rsidP="00AB66DE">
            <w:pPr>
              <w:pStyle w:val="List"/>
            </w:pPr>
            <w:r w:rsidRPr="00AB66DE">
              <w:t>1.1</w:t>
            </w:r>
            <w:r w:rsidRPr="00AB66DE">
              <w:tab/>
              <w:t xml:space="preserve">Fraud and corruption </w:t>
            </w:r>
            <w:r w:rsidRPr="00AB66DE">
              <w:rPr>
                <w:rStyle w:val="BoldandItalics"/>
              </w:rPr>
              <w:t>risk assessment</w:t>
            </w:r>
            <w:r w:rsidRPr="00AB66DE">
              <w:t xml:space="preserve"> is based upon an understanding of the environment and core business of the organisation and is conducted in accordance with predetermined risk assessment methodology.</w:t>
            </w:r>
          </w:p>
          <w:p w:rsidR="00000000" w:rsidRPr="00AB66DE" w:rsidP="00AB66DE">
            <w:pPr>
              <w:pStyle w:val="List"/>
            </w:pPr>
            <w:r w:rsidRPr="00AB66DE">
              <w:t>1.2</w:t>
            </w:r>
            <w:r w:rsidRPr="00AB66DE">
              <w:tab/>
              <w:t>Any gaps in the predetermined methodology are identified and reported</w:t>
            </w:r>
            <w:r w:rsidRPr="00AB66DE">
              <w:t xml:space="preserve"> in accordance with organisational policy and procedures, and options to meets these gaps are proposed as required.</w:t>
            </w:r>
          </w:p>
          <w:p w:rsidR="00000000" w:rsidRPr="00AB66DE" w:rsidP="00AB66DE">
            <w:pPr>
              <w:pStyle w:val="List"/>
            </w:pPr>
            <w:r w:rsidRPr="00AB66DE">
              <w:t>1.3</w:t>
            </w:r>
            <w:r w:rsidRPr="00AB66DE">
              <w:tab/>
              <w:t xml:space="preserve">Impacts of possible </w:t>
            </w:r>
            <w:r w:rsidRPr="00AB66DE">
              <w:rPr>
                <w:rStyle w:val="BoldandItalics"/>
              </w:rPr>
              <w:t xml:space="preserve">change </w:t>
            </w:r>
            <w:r w:rsidRPr="00AB66DE">
              <w:t>in organisational business are allowed for in the conduct of risk assessment.</w:t>
            </w:r>
          </w:p>
          <w:p w:rsidR="00000000" w:rsidRPr="00AB66DE" w:rsidP="00AB66DE">
            <w:pPr>
              <w:pStyle w:val="List"/>
            </w:pPr>
            <w:r w:rsidRPr="00AB66DE">
              <w:t>1.4</w:t>
            </w:r>
            <w:r w:rsidRPr="00AB66DE">
              <w:tab/>
              <w:t>Data is assessed for validi</w:t>
            </w:r>
            <w:r w:rsidRPr="00AB66DE">
              <w:t>ty and reliability.</w:t>
            </w:r>
          </w:p>
          <w:p w:rsidR="00000000" w:rsidRPr="00AB66DE" w:rsidP="00AB66DE">
            <w:pPr>
              <w:pStyle w:val="List"/>
            </w:pPr>
            <w:r w:rsidRPr="00AB66DE">
              <w:t>1.5</w:t>
            </w:r>
            <w:r w:rsidRPr="00AB66DE">
              <w:tab/>
              <w:t>Consultation and data matching are used to identify patterns.</w:t>
            </w:r>
          </w:p>
          <w:p w:rsidR="00000000" w:rsidP="00AB66DE">
            <w:pPr>
              <w:pStyle w:val="List"/>
              <w:rPr>
                <w:lang w:val="en-NZ"/>
              </w:rPr>
            </w:pPr>
            <w:r w:rsidRPr="00AB66DE">
              <w:t>1.6</w:t>
            </w:r>
            <w:r w:rsidRPr="00AB66DE">
              <w:tab/>
              <w:t>Risk assessment is conducted using both qualitative assessment and quantitative representation of risks.</w:t>
            </w:r>
          </w:p>
        </w:tc>
      </w:tr>
      <w:tr w:rsidTr="008C3E1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B66DE">
            <w:pPr>
              <w:pStyle w:val="List"/>
              <w:rPr>
                <w:lang w:val="en-NZ"/>
              </w:rPr>
            </w:pPr>
            <w:r w:rsidRPr="00AB66DE">
              <w:rPr>
                <w:rStyle w:val="SpecialBold"/>
              </w:rPr>
              <w:t>2</w:t>
            </w:r>
            <w:r w:rsidRPr="00AB66DE">
              <w:t xml:space="preserve">.  </w:t>
            </w:r>
            <w:r w:rsidRPr="00AB66DE">
              <w:tab/>
            </w:r>
            <w:r w:rsidRPr="00AB66DE">
              <w:rPr>
                <w:rStyle w:val="SpecialBold"/>
              </w:rPr>
              <w:t>Review processes involved in the risk assessment</w:t>
            </w:r>
          </w:p>
        </w:tc>
        <w:tc>
          <w:tcPr>
            <w:tcW w:w="6662" w:type="dxa"/>
            <w:tcBorders>
              <w:top w:val="nil"/>
              <w:left w:val="nil"/>
              <w:bottom w:val="nil"/>
              <w:right w:val="nil"/>
            </w:tcBorders>
            <w:tcMar>
              <w:top w:w="0" w:type="dxa"/>
              <w:left w:w="62" w:type="dxa"/>
              <w:bottom w:w="0" w:type="dxa"/>
              <w:right w:w="62" w:type="dxa"/>
            </w:tcMar>
          </w:tcPr>
          <w:p w:rsidR="00000000" w:rsidRPr="00AB66DE" w:rsidP="00AB66DE">
            <w:pPr>
              <w:pStyle w:val="List"/>
            </w:pPr>
            <w:r w:rsidRPr="00AB66DE">
              <w:t>2.1</w:t>
            </w:r>
            <w:r w:rsidRPr="00AB66DE">
              <w:tab/>
              <w:t>Pr</w:t>
            </w:r>
            <w:r w:rsidRPr="00AB66DE">
              <w:t xml:space="preserve">ocesses are regularly reviewed in accordance with the objectives of fraud and corruption risk assessment strategy, government policy and </w:t>
            </w:r>
            <w:r w:rsidRPr="00AB66DE">
              <w:rPr>
                <w:rStyle w:val="BoldandItalics"/>
              </w:rPr>
              <w:t>risk management standards.</w:t>
            </w:r>
          </w:p>
          <w:p w:rsidR="00000000" w:rsidRPr="00AB66DE" w:rsidP="00AB66DE">
            <w:pPr>
              <w:pStyle w:val="List"/>
            </w:pPr>
            <w:r w:rsidRPr="00AB66DE">
              <w:t>2.2</w:t>
            </w:r>
            <w:r w:rsidRPr="00AB66DE">
              <w:tab/>
            </w:r>
            <w:r w:rsidRPr="00AB66DE">
              <w:rPr>
                <w:rStyle w:val="BoldandItalics"/>
              </w:rPr>
              <w:t xml:space="preserve">Advice </w:t>
            </w:r>
            <w:r w:rsidRPr="00AB66DE">
              <w:t xml:space="preserve">is provided to business sections such as internal audit and other </w:t>
            </w:r>
            <w:r w:rsidRPr="00AB66DE">
              <w:rPr>
                <w:rStyle w:val="BoldandItalics"/>
              </w:rPr>
              <w:t xml:space="preserve">stakeholders </w:t>
            </w:r>
            <w:r w:rsidRPr="00AB66DE">
              <w:t>re</w:t>
            </w:r>
            <w:r w:rsidRPr="00AB66DE">
              <w:t>garding issues arising out of fraud and corruption risk assessment.</w:t>
            </w:r>
          </w:p>
          <w:p w:rsidR="00000000" w:rsidRPr="00AB66DE" w:rsidP="00AB66DE">
            <w:pPr>
              <w:pStyle w:val="List"/>
            </w:pPr>
            <w:r w:rsidRPr="00AB66DE">
              <w:t>2.3</w:t>
            </w:r>
            <w:r w:rsidRPr="00AB66DE">
              <w:tab/>
              <w:t>Options to overcome identified obstacles are discussed with management, affected or relevant staff, and agreed options are implemented.</w:t>
            </w:r>
          </w:p>
          <w:p w:rsidR="00000000" w:rsidRPr="00AB66DE" w:rsidP="00AB66DE">
            <w:pPr>
              <w:pStyle w:val="List"/>
            </w:pPr>
            <w:r w:rsidRPr="00AB66DE">
              <w:t>2.4</w:t>
            </w:r>
            <w:r w:rsidRPr="00AB66DE">
              <w:tab/>
              <w:t>Assessments are regularly made regarding the</w:t>
            </w:r>
            <w:r w:rsidRPr="00AB66DE">
              <w:t xml:space="preserve"> </w:t>
            </w:r>
            <w:r w:rsidRPr="00AB66DE">
              <w:rPr>
                <w:rStyle w:val="BoldandItalics"/>
              </w:rPr>
              <w:t xml:space="preserve">effectiveness </w:t>
            </w:r>
            <w:r w:rsidRPr="00AB66DE">
              <w:t>of fraud and corruption control strategies, and reports are prepared for various audiences.</w:t>
            </w:r>
          </w:p>
        </w:tc>
      </w:tr>
    </w:tbl>
    <w:p w:rsidR="00000000" w:rsidRPr="00AB66DE" w:rsidP="00AB66DE">
      <w:pPr>
        <w:pStyle w:val="BodyText"/>
      </w:pPr>
    </w:p>
    <w:p w:rsidR="00000000" w:rsidRPr="00AB66DE" w:rsidP="00AB66DE">
      <w:pPr>
        <w:pStyle w:val="AllowPageBreak"/>
      </w:pPr>
    </w:p>
    <w:p w:rsidR="00000000" w:rsidRPr="00AB66DE" w:rsidP="00AB66DE">
      <w:pPr>
        <w:pStyle w:val="Heading1"/>
      </w:pPr>
      <w:bookmarkStart w:id="9" w:name="O_495093"/>
      <w:bookmarkEnd w:id="9"/>
      <w:r w:rsidRPr="00AB66DE">
        <w:t>Required Skills and Knowledge</w:t>
      </w:r>
    </w:p>
    <w:tbl>
      <w:tblPr>
        <w:tblW w:w="0" w:type="auto"/>
        <w:tblLayout w:type="fixed"/>
        <w:tblCellMar>
          <w:left w:w="62" w:type="dxa"/>
          <w:right w:w="62" w:type="dxa"/>
        </w:tblCellMar>
        <w:tblLook w:val="0000"/>
      </w:tblPr>
      <w:tblGrid>
        <w:gridCol w:w="8514"/>
      </w:tblGrid>
      <w:tr w:rsidTr="008C3E1A">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AB66DE">
            <w:pPr>
              <w:pStyle w:val="BodyText"/>
              <w:rPr>
                <w:lang w:val="en-NZ"/>
              </w:rPr>
            </w:pPr>
            <w:r w:rsidRPr="00AB66DE">
              <w:t>This section describes the essential skills and knowledge and their level, required for this unit.</w:t>
            </w:r>
          </w:p>
        </w:tc>
      </w:tr>
      <w:tr w:rsidTr="008C3E1A">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AB66DE" w:rsidP="00AB66DE">
            <w:pPr>
              <w:pStyle w:val="BodyText"/>
            </w:pPr>
            <w:r w:rsidRPr="00AB66DE">
              <w:rPr>
                <w:rStyle w:val="SpecialBold"/>
              </w:rPr>
              <w:t>Skill requirements</w:t>
            </w:r>
          </w:p>
          <w:p w:rsidR="00000000" w:rsidRPr="00AB66DE" w:rsidP="00AB66DE">
            <w:pPr>
              <w:pStyle w:val="BodyText"/>
            </w:pPr>
            <w:r w:rsidRPr="00AB66DE">
              <w:t>Look for evidence that confirms skills in:</w:t>
            </w:r>
          </w:p>
          <w:p w:rsidR="00000000" w:rsidRPr="00AB66DE" w:rsidP="00AB66DE">
            <w:pPr>
              <w:pStyle w:val="ListBullet"/>
            </w:pPr>
            <w:r w:rsidRPr="00AB66DE">
              <w:t>planning, analysis and evaluation relating to fraud and corruption risk assessment</w:t>
            </w:r>
          </w:p>
          <w:p w:rsidR="00000000" w:rsidRPr="00AB66DE" w:rsidP="00AB66DE">
            <w:pPr>
              <w:pStyle w:val="ListBullet"/>
            </w:pPr>
            <w:r w:rsidRPr="00AB66DE">
              <w:t>using a range of communication, consultation and negotiation styles to suit different audiences and purposes</w:t>
            </w:r>
          </w:p>
          <w:p w:rsidR="00000000" w:rsidRPr="00AB66DE" w:rsidP="00AB66DE">
            <w:pPr>
              <w:pStyle w:val="ListBullet"/>
            </w:pPr>
            <w:r w:rsidRPr="00AB66DE">
              <w:t>providing advice on complex documents such as legislation, policy and recommendations relating to fraud and corruption risk control</w:t>
            </w:r>
          </w:p>
          <w:p w:rsidR="00000000" w:rsidRPr="00AB66DE" w:rsidP="00AB66DE">
            <w:pPr>
              <w:pStyle w:val="ListBullet"/>
            </w:pPr>
            <w:r w:rsidRPr="00AB66DE">
              <w:t>differentiating between the inherent risks and the effectiveness of controls in place</w:t>
            </w:r>
          </w:p>
          <w:p w:rsidR="00000000" w:rsidRPr="00AB66DE" w:rsidP="00AB66DE">
            <w:pPr>
              <w:pStyle w:val="ListBullet"/>
            </w:pPr>
            <w:r w:rsidRPr="00AB66DE">
              <w:t xml:space="preserve">managing contractors if the fraud and </w:t>
            </w:r>
            <w:r w:rsidRPr="00AB66DE">
              <w:t>corruption risk assessment is outsourced</w:t>
            </w:r>
          </w:p>
          <w:p w:rsidR="00000000" w:rsidRPr="00AB66DE" w:rsidP="00AB66DE">
            <w:pPr>
              <w:pStyle w:val="ListBullet"/>
            </w:pPr>
            <w:r w:rsidRPr="00AB66DE">
              <w:t>responding to diversity, including gender and disability</w:t>
            </w:r>
          </w:p>
          <w:p w:rsidR="00000000" w:rsidP="00AB66DE">
            <w:pPr>
              <w:pStyle w:val="ListBullet"/>
              <w:rPr>
                <w:lang w:val="en-NZ"/>
              </w:rPr>
            </w:pPr>
            <w:r w:rsidRPr="00AB66DE">
              <w:t>applying occupational health and safety and environmental procedures in the context of fraud and corruption risk assessment</w:t>
            </w:r>
          </w:p>
        </w:tc>
      </w:tr>
      <w:tr w:rsidTr="008C3E1A">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AB66DE" w:rsidP="00AB66DE">
            <w:pPr>
              <w:pStyle w:val="BodyText"/>
            </w:pPr>
            <w:r w:rsidRPr="00AB66DE">
              <w:rPr>
                <w:rStyle w:val="SpecialBold"/>
              </w:rPr>
              <w:t>Knowledge requirements</w:t>
            </w:r>
          </w:p>
          <w:p w:rsidR="00000000" w:rsidRPr="00AB66DE" w:rsidP="00AB66DE">
            <w:pPr>
              <w:pStyle w:val="BodyText"/>
            </w:pPr>
            <w:r w:rsidRPr="00AB66DE">
              <w:t>Look for e</w:t>
            </w:r>
            <w:r w:rsidRPr="00AB66DE">
              <w:t>vidence that confirms knowledge and understanding of:</w:t>
            </w:r>
          </w:p>
          <w:p w:rsidR="00000000" w:rsidRPr="00AB66DE" w:rsidP="00AB66DE">
            <w:pPr>
              <w:pStyle w:val="ListBullet"/>
            </w:pPr>
            <w:r w:rsidRPr="00AB66DE">
              <w:t>fraud and corruption and how they relate to the specific functions and activities of the organisation together with an understanding of ethical standards required by the organisation of its staff, cont</w:t>
            </w:r>
            <w:r w:rsidRPr="00AB66DE">
              <w:t>ractors and suppliers</w:t>
            </w:r>
          </w:p>
          <w:p w:rsidR="00000000" w:rsidRPr="00AB66DE" w:rsidP="00AB66DE">
            <w:pPr>
              <w:pStyle w:val="ListBullet"/>
            </w:pPr>
            <w:r w:rsidRPr="00AB66DE">
              <w:t>jurisdictional fraud and corruption control requirements</w:t>
            </w:r>
          </w:p>
          <w:p w:rsidR="00000000" w:rsidRPr="00AB66DE" w:rsidP="00AB66DE">
            <w:pPr>
              <w:pStyle w:val="ListBullet"/>
            </w:pPr>
            <w:r w:rsidRPr="00AB66DE">
              <w:t xml:space="preserve">agency fraud and corruption control policy </w:t>
            </w:r>
          </w:p>
          <w:p w:rsidR="00000000" w:rsidRPr="00AB66DE" w:rsidP="00AB66DE">
            <w:pPr>
              <w:pStyle w:val="ListBullet"/>
            </w:pPr>
            <w:r w:rsidRPr="00AB66DE">
              <w:t>fraud and corruption risk management methodology</w:t>
            </w:r>
          </w:p>
          <w:p w:rsidR="00000000" w:rsidRPr="00AB66DE" w:rsidP="00AB66DE">
            <w:pPr>
              <w:pStyle w:val="ListBullet"/>
            </w:pPr>
            <w:r w:rsidRPr="00AB66DE">
              <w:t>agency structure and core business activities</w:t>
            </w:r>
          </w:p>
          <w:p w:rsidR="00000000" w:rsidRPr="00AB66DE" w:rsidP="00AB66DE">
            <w:pPr>
              <w:pStyle w:val="ListBullet"/>
            </w:pPr>
            <w:r w:rsidRPr="00AB66DE">
              <w:t>current fraud and corruption control p</w:t>
            </w:r>
            <w:r w:rsidRPr="00AB66DE">
              <w:t xml:space="preserve">lan </w:t>
            </w:r>
          </w:p>
          <w:p w:rsidR="00000000" w:rsidRPr="00AB66DE" w:rsidP="00AB66DE">
            <w:pPr>
              <w:pStyle w:val="ListBullet"/>
            </w:pPr>
            <w:r w:rsidRPr="00AB66DE">
              <w:t>relationship of the risk methodology to the fraud and corruption control strategy</w:t>
            </w:r>
          </w:p>
          <w:p w:rsidR="00000000" w:rsidRPr="00AB66DE" w:rsidP="00AB66DE">
            <w:pPr>
              <w:pStyle w:val="ListBullet"/>
            </w:pPr>
            <w:r w:rsidRPr="00AB66DE">
              <w:t xml:space="preserve"> fraud and corruption risk factors in the organisation</w:t>
            </w:r>
          </w:p>
          <w:p w:rsidR="00000000" w:rsidRPr="00AB66DE" w:rsidP="00AB66DE">
            <w:pPr>
              <w:pStyle w:val="ListBullet"/>
            </w:pPr>
            <w:r w:rsidRPr="00AB66DE">
              <w:t>anti-discrimination and diversity legislation</w:t>
            </w:r>
          </w:p>
          <w:p w:rsidR="00000000" w:rsidRPr="00AB66DE" w:rsidP="00AB66DE">
            <w:pPr>
              <w:pStyle w:val="ListBullet"/>
            </w:pPr>
            <w:r w:rsidRPr="00AB66DE">
              <w:t>legislation, policies and procedures relating to fraud and corruption risk assessment</w:t>
            </w:r>
          </w:p>
          <w:p w:rsidR="00000000" w:rsidRPr="00AB66DE" w:rsidP="00AB66DE">
            <w:pPr>
              <w:pStyle w:val="ListBullet"/>
            </w:pPr>
            <w:r w:rsidRPr="00AB66DE">
              <w:t>Australian and New Zealand standards - AS/NZS 4360:1999 or as revised</w:t>
            </w:r>
          </w:p>
        </w:tc>
      </w:tr>
    </w:tbl>
    <w:p w:rsidR="00000000" w:rsidRPr="00AB66DE" w:rsidP="00AB66DE">
      <w:pPr>
        <w:pStyle w:val="BodyText"/>
      </w:pPr>
    </w:p>
    <w:p w:rsidR="00000000" w:rsidRPr="00AB66DE" w:rsidP="00AB66DE">
      <w:pPr>
        <w:pStyle w:val="AllowPageBreak"/>
      </w:pPr>
    </w:p>
    <w:p w:rsidR="00000000" w:rsidRPr="00AB66DE" w:rsidP="00AB66DE">
      <w:pPr>
        <w:pStyle w:val="Heading1"/>
      </w:pPr>
      <w:bookmarkStart w:id="10" w:name="O_495098"/>
      <w:bookmarkEnd w:id="10"/>
      <w:r w:rsidRPr="00AB66DE">
        <w:t>Evidence Guide</w:t>
      </w:r>
    </w:p>
    <w:tbl>
      <w:tblPr>
        <w:tblW w:w="9322" w:type="dxa"/>
        <w:tblLayout w:type="fixed"/>
        <w:tblCellMar>
          <w:left w:w="62" w:type="dxa"/>
          <w:right w:w="62" w:type="dxa"/>
        </w:tblCellMar>
        <w:tblLook w:val="0000"/>
      </w:tblPr>
      <w:tblGrid>
        <w:gridCol w:w="2660"/>
        <w:gridCol w:w="6662"/>
      </w:tblGrid>
      <w:tr w:rsidTr="008C3E1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AB66DE">
            <w:pPr>
              <w:pStyle w:val="BodyText"/>
              <w:rPr>
                <w:lang w:val="en-NZ"/>
              </w:rPr>
            </w:pPr>
            <w:r w:rsidRPr="00AB66DE">
              <w:t xml:space="preserve">The Evidence Guide specifies the evidence required to demonstrate </w:t>
            </w:r>
            <w:r w:rsidRPr="00AB66DE">
              <w:t>achievement in the unit of competency as a whole. It must be read in conjunction with the Unit descriptor, Performance Criteria, the Range Statement and the Assessment Guidelines for the Public Sector Training Package.</w:t>
            </w:r>
          </w:p>
        </w:tc>
      </w:tr>
      <w:tr w:rsidTr="008C3E1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AB66DE" w:rsidP="00AB66DE">
            <w:pPr>
              <w:pStyle w:val="BodyText"/>
            </w:pPr>
            <w:r w:rsidRPr="00AB66DE">
              <w:rPr>
                <w:rStyle w:val="SpecialBold"/>
              </w:rPr>
              <w:t>Units to be assessed together</w:t>
            </w:r>
            <w:r w:rsidRPr="00AB66DE">
              <w:t xml:space="preserve"> </w:t>
            </w:r>
          </w:p>
        </w:tc>
        <w:tc>
          <w:tcPr>
            <w:tcW w:w="6662" w:type="dxa"/>
            <w:tcBorders>
              <w:top w:val="nil"/>
              <w:left w:val="nil"/>
              <w:bottom w:val="nil"/>
              <w:right w:val="nil"/>
            </w:tcBorders>
            <w:tcMar>
              <w:top w:w="0" w:type="dxa"/>
              <w:left w:w="62" w:type="dxa"/>
              <w:bottom w:w="0" w:type="dxa"/>
              <w:right w:w="62" w:type="dxa"/>
            </w:tcMar>
          </w:tcPr>
          <w:p w:rsidR="00000000" w:rsidRPr="00AB66DE" w:rsidP="00AB66DE">
            <w:pPr>
              <w:pStyle w:val="ListBullet"/>
            </w:pPr>
            <w:r w:rsidRPr="00AB66DE">
              <w:rPr>
                <w:rStyle w:val="Emphasis"/>
              </w:rPr>
              <w:t>Pre</w:t>
            </w:r>
            <w:r w:rsidRPr="00AB66DE">
              <w:t>-</w:t>
            </w:r>
            <w:r w:rsidRPr="00AB66DE">
              <w:rPr>
                <w:rStyle w:val="Emphasis"/>
              </w:rPr>
              <w:t>requisite</w:t>
            </w:r>
            <w:r w:rsidRPr="00AB66DE">
              <w:t xml:space="preserve"> units that </w:t>
            </w:r>
            <w:r w:rsidRPr="00AB66DE">
              <w:rPr>
                <w:rStyle w:val="Underline"/>
              </w:rPr>
              <w:t>must</w:t>
            </w:r>
            <w:r w:rsidRPr="00AB66DE">
              <w:t xml:space="preserve"> be achieved </w:t>
            </w:r>
            <w:r w:rsidRPr="00AB66DE">
              <w:rPr>
                <w:rStyle w:val="Underline"/>
              </w:rPr>
              <w:t>prior</w:t>
            </w:r>
            <w:r w:rsidRPr="00AB66DE">
              <w:t xml:space="preserve"> to this unit:</w:t>
            </w:r>
            <w:r w:rsidRPr="00AB66DE">
              <w:rPr>
                <w:rStyle w:val="Emphasis"/>
              </w:rPr>
              <w:t>Nil</w:t>
            </w:r>
          </w:p>
          <w:p w:rsidR="00000000" w:rsidRPr="00AB66DE" w:rsidP="00AB66DE">
            <w:pPr>
              <w:pStyle w:val="ListBullet"/>
            </w:pPr>
            <w:r w:rsidRPr="00AB66DE">
              <w:rPr>
                <w:rStyle w:val="Emphasis"/>
              </w:rPr>
              <w:t>Co</w:t>
            </w:r>
            <w:r w:rsidRPr="00AB66DE">
              <w:t>-</w:t>
            </w:r>
            <w:r w:rsidRPr="00AB66DE">
              <w:rPr>
                <w:rStyle w:val="Emphasis"/>
              </w:rPr>
              <w:t>requisite</w:t>
            </w:r>
            <w:r w:rsidRPr="00AB66DE">
              <w:t xml:space="preserve"> units that </w:t>
            </w:r>
            <w:r w:rsidRPr="00AB66DE">
              <w:rPr>
                <w:rStyle w:val="Underline"/>
              </w:rPr>
              <w:t>must</w:t>
            </w:r>
            <w:r w:rsidRPr="00AB66DE">
              <w:t xml:space="preserve"> be assessed </w:t>
            </w:r>
            <w:r w:rsidRPr="00AB66DE">
              <w:rPr>
                <w:rStyle w:val="Underline"/>
              </w:rPr>
              <w:t>with</w:t>
            </w:r>
            <w:r w:rsidRPr="00AB66DE">
              <w:t xml:space="preserve"> this unit:</w:t>
            </w:r>
            <w:r w:rsidRPr="00AB66DE">
              <w:rPr>
                <w:rStyle w:val="Emphasis"/>
              </w:rPr>
              <w:t>Nil</w:t>
            </w:r>
          </w:p>
          <w:p w:rsidR="00000000" w:rsidRPr="00AB66DE" w:rsidP="00AB66DE">
            <w:pPr>
              <w:pStyle w:val="ListBullet"/>
            </w:pPr>
            <w:r w:rsidRPr="00AB66DE">
              <w:rPr>
                <w:rStyle w:val="Emphasis"/>
              </w:rPr>
              <w:t>Co</w:t>
            </w:r>
            <w:r w:rsidRPr="00AB66DE">
              <w:t>-</w:t>
            </w:r>
            <w:r w:rsidRPr="00AB66DE">
              <w:rPr>
                <w:rStyle w:val="Emphasis"/>
              </w:rPr>
              <w:t>assessed units</w:t>
            </w:r>
            <w:r w:rsidRPr="00AB66DE">
              <w:t xml:space="preserve"> that </w:t>
            </w:r>
            <w:r w:rsidRPr="00AB66DE">
              <w:rPr>
                <w:rStyle w:val="Underline"/>
              </w:rPr>
              <w:t>may</w:t>
            </w:r>
            <w:r w:rsidRPr="00AB66DE">
              <w:t xml:space="preserve"> be assessed with this unit to increase the efficiency and realism of the assessment process include, but are not limited to:</w:t>
            </w:r>
          </w:p>
          <w:p w:rsidR="00000000" w:rsidRPr="00AB66DE" w:rsidP="00AB66DE">
            <w:pPr>
              <w:pStyle w:val="ListBullet2"/>
            </w:pPr>
            <w:r w:rsidRPr="00AB66DE">
              <w:t>PSPETHC501B Promote the values and ethos of public service</w:t>
            </w:r>
          </w:p>
          <w:p w:rsidR="00000000" w:rsidRPr="00AB66DE" w:rsidP="00AB66DE">
            <w:pPr>
              <w:pStyle w:val="ListBullet2"/>
            </w:pPr>
            <w:r w:rsidRPr="00AB66DE">
              <w:t>PSPFRAU502B Anticipate and detect possible fraud activity</w:t>
            </w:r>
          </w:p>
          <w:p w:rsidR="00000000" w:rsidRPr="00AB66DE" w:rsidP="00AB66DE">
            <w:pPr>
              <w:pStyle w:val="ListBullet2"/>
            </w:pPr>
            <w:r w:rsidRPr="00AB66DE">
              <w:t xml:space="preserve">PSPFRAU505B Develop fraud control plans </w:t>
            </w:r>
          </w:p>
          <w:p w:rsidR="00000000" w:rsidRPr="00AB66DE" w:rsidP="00AB66DE">
            <w:pPr>
              <w:pStyle w:val="ListBullet2"/>
            </w:pPr>
            <w:r w:rsidRPr="00AB66DE">
              <w:t>PSPGOV502B Develop client services</w:t>
            </w:r>
          </w:p>
          <w:p w:rsidR="00000000" w:rsidRPr="00AB66DE" w:rsidP="00AB66DE">
            <w:pPr>
              <w:pStyle w:val="ListBullet2"/>
            </w:pPr>
            <w:r w:rsidRPr="00AB66DE">
              <w:t>PSPGOV504B Undertake research and analysis</w:t>
            </w:r>
          </w:p>
          <w:p w:rsidR="00000000" w:rsidRPr="00AB66DE" w:rsidP="00AB66DE">
            <w:pPr>
              <w:pStyle w:val="ListBullet2"/>
            </w:pPr>
            <w:r w:rsidRPr="00AB66DE">
              <w:t>PSPGOV517A Coordinate risk management</w:t>
            </w:r>
          </w:p>
          <w:p w:rsidR="00000000" w:rsidP="00AB66DE">
            <w:pPr>
              <w:pStyle w:val="ListBullet2"/>
              <w:rPr>
                <w:lang w:val="en-NZ"/>
              </w:rPr>
            </w:pPr>
            <w:r w:rsidRPr="00AB66DE">
              <w:t>PSPLEGN501B Promote compliance with legislation in the public sector</w:t>
            </w:r>
          </w:p>
        </w:tc>
      </w:tr>
      <w:tr w:rsidTr="008C3E1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B66DE">
            <w:pPr>
              <w:pStyle w:val="BodyText"/>
              <w:rPr>
                <w:lang w:val="en-NZ"/>
              </w:rPr>
            </w:pPr>
            <w:r w:rsidRPr="00AB66DE">
              <w:rPr>
                <w:rStyle w:val="SpecialBold"/>
              </w:rPr>
              <w:t>Overview of evidence requirem</w:t>
            </w:r>
            <w:r w:rsidRPr="00AB66DE">
              <w:rPr>
                <w:rStyle w:val="SpecialBold"/>
              </w:rPr>
              <w:t>ents</w:t>
            </w:r>
          </w:p>
        </w:tc>
        <w:tc>
          <w:tcPr>
            <w:tcW w:w="6662" w:type="dxa"/>
            <w:tcBorders>
              <w:top w:val="nil"/>
              <w:left w:val="nil"/>
              <w:bottom w:val="nil"/>
              <w:right w:val="nil"/>
            </w:tcBorders>
            <w:tcMar>
              <w:top w:w="0" w:type="dxa"/>
              <w:left w:w="62" w:type="dxa"/>
              <w:bottom w:w="0" w:type="dxa"/>
              <w:right w:w="62" w:type="dxa"/>
            </w:tcMar>
          </w:tcPr>
          <w:p w:rsidR="00000000" w:rsidRPr="00AB66DE" w:rsidP="00AB66DE">
            <w:pPr>
              <w:pStyle w:val="BodyText"/>
            </w:pPr>
            <w:r w:rsidRPr="00AB66DE">
              <w:t>In addition to integrated demonstration of the elements and their related performance criteria, look for evidence that confirms:</w:t>
            </w:r>
          </w:p>
          <w:p w:rsidR="00000000" w:rsidRPr="00AB66DE" w:rsidP="00AB66DE">
            <w:pPr>
              <w:pStyle w:val="ListBullet"/>
            </w:pPr>
            <w:r w:rsidRPr="00AB66DE">
              <w:t xml:space="preserve">the knowledge requirements of this unit </w:t>
            </w:r>
          </w:p>
          <w:p w:rsidR="00000000" w:rsidRPr="00AB66DE" w:rsidP="00AB66DE">
            <w:pPr>
              <w:pStyle w:val="ListBullet"/>
            </w:pPr>
            <w:r w:rsidRPr="00AB66DE">
              <w:t>the skill requirements of this unit</w:t>
            </w:r>
          </w:p>
          <w:p w:rsidR="00000000" w:rsidRPr="00AB66DE" w:rsidP="00AB66DE">
            <w:pPr>
              <w:pStyle w:val="ListBullet"/>
            </w:pPr>
            <w:r w:rsidRPr="00AB66DE">
              <w:t>application of the Employability Skills as they relate to this unit (see Employability Summaries in Qualifications Framework)</w:t>
            </w:r>
          </w:p>
          <w:p w:rsidR="00000000" w:rsidP="00AB66DE">
            <w:pPr>
              <w:pStyle w:val="ListBullet"/>
              <w:rPr>
                <w:lang w:val="en-NZ"/>
              </w:rPr>
            </w:pPr>
            <w:r w:rsidRPr="00AB66DE">
              <w:t>fraud and corruption risk assessment conducted in a range of (3 or more) contexts (or occasions, over time)</w:t>
            </w:r>
          </w:p>
        </w:tc>
      </w:tr>
      <w:tr w:rsidTr="008C3E1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B66DE">
            <w:pPr>
              <w:pStyle w:val="BodyText"/>
              <w:rPr>
                <w:lang w:val="en-NZ"/>
              </w:rPr>
            </w:pPr>
            <w:r w:rsidRPr="00AB66DE">
              <w:rPr>
                <w:rStyle w:val="SpecialBold"/>
              </w:rPr>
              <w:t>Resources required to</w:t>
            </w:r>
            <w:r w:rsidRPr="00AB66DE">
              <w:rPr>
                <w:rStyle w:val="SpecialBold"/>
              </w:rPr>
              <w:t xml:space="preserve"> carry out assessment</w:t>
            </w:r>
          </w:p>
        </w:tc>
        <w:tc>
          <w:tcPr>
            <w:tcW w:w="6662" w:type="dxa"/>
            <w:tcBorders>
              <w:top w:val="nil"/>
              <w:left w:val="nil"/>
              <w:bottom w:val="nil"/>
              <w:right w:val="nil"/>
            </w:tcBorders>
            <w:tcMar>
              <w:top w:w="0" w:type="dxa"/>
              <w:left w:w="62" w:type="dxa"/>
              <w:bottom w:w="0" w:type="dxa"/>
              <w:right w:w="62" w:type="dxa"/>
            </w:tcMar>
          </w:tcPr>
          <w:p w:rsidR="00000000" w:rsidRPr="00AB66DE" w:rsidP="00AB66DE">
            <w:pPr>
              <w:pStyle w:val="BodyText"/>
            </w:pPr>
            <w:r w:rsidRPr="00AB66DE">
              <w:t>These resources include:</w:t>
            </w:r>
          </w:p>
          <w:p w:rsidR="00000000" w:rsidRPr="00AB66DE" w:rsidP="00AB66DE">
            <w:pPr>
              <w:pStyle w:val="ListBullet"/>
            </w:pPr>
            <w:r w:rsidRPr="00AB66DE">
              <w:t>legislation, policy and procedures relating to fraud and corruption control</w:t>
            </w:r>
          </w:p>
          <w:p w:rsidR="00000000" w:rsidRPr="00AB66DE" w:rsidP="00AB66DE">
            <w:pPr>
              <w:pStyle w:val="ListBullet"/>
            </w:pPr>
            <w:r w:rsidRPr="00AB66DE">
              <w:t>fraud and corruption risk assessment methodology and review processes</w:t>
            </w:r>
          </w:p>
          <w:p w:rsidR="00000000" w:rsidRPr="00AB66DE" w:rsidP="00AB66DE">
            <w:pPr>
              <w:pStyle w:val="ListBullet"/>
            </w:pPr>
            <w:r w:rsidRPr="00AB66DE">
              <w:t xml:space="preserve">Australian and New Zealand standards - AS/NZS 4360:1999 or as </w:t>
            </w:r>
            <w:r w:rsidRPr="00AB66DE">
              <w:t>revised</w:t>
            </w:r>
          </w:p>
          <w:p w:rsidR="00000000" w:rsidRPr="00AB66DE" w:rsidP="00AB66DE">
            <w:pPr>
              <w:pStyle w:val="ListBullet"/>
            </w:pPr>
            <w:r w:rsidRPr="00AB66DE">
              <w:t>fraud and corruption control guidelines and standards</w:t>
            </w:r>
          </w:p>
          <w:p w:rsidR="00000000" w:rsidRPr="00AB66DE" w:rsidP="00AB66DE">
            <w:pPr>
              <w:pStyle w:val="ListBullet"/>
            </w:pPr>
            <w:r w:rsidRPr="00AB66DE">
              <w:t>public sector values and codes of conduct</w:t>
            </w:r>
          </w:p>
          <w:p w:rsidR="00000000" w:rsidP="00AB66DE">
            <w:pPr>
              <w:pStyle w:val="ListBullet"/>
              <w:rPr>
                <w:lang w:val="en-NZ"/>
              </w:rPr>
            </w:pPr>
            <w:r w:rsidRPr="00AB66DE">
              <w:t>case studies and workplace scenarios to capture the range of fraud and corruption risk assessment situations likely to be encountered</w:t>
            </w:r>
          </w:p>
        </w:tc>
      </w:tr>
      <w:tr w:rsidTr="008C3E1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B66DE">
            <w:pPr>
              <w:pStyle w:val="BodyText"/>
              <w:rPr>
                <w:lang w:val="en-NZ"/>
              </w:rPr>
            </w:pPr>
            <w:r w:rsidRPr="00AB66DE">
              <w:rPr>
                <w:rStyle w:val="SpecialBold"/>
              </w:rPr>
              <w:t xml:space="preserve">Where and how to </w:t>
            </w:r>
            <w:r w:rsidRPr="00AB66DE">
              <w:rPr>
                <w:rStyle w:val="SpecialBold"/>
              </w:rPr>
              <w:t>assess evidence</w:t>
            </w:r>
          </w:p>
        </w:tc>
        <w:tc>
          <w:tcPr>
            <w:tcW w:w="6662" w:type="dxa"/>
            <w:tcBorders>
              <w:top w:val="nil"/>
              <w:left w:val="nil"/>
              <w:bottom w:val="nil"/>
              <w:right w:val="nil"/>
            </w:tcBorders>
            <w:tcMar>
              <w:top w:w="0" w:type="dxa"/>
              <w:left w:w="62" w:type="dxa"/>
              <w:bottom w:w="0" w:type="dxa"/>
              <w:right w:w="62" w:type="dxa"/>
            </w:tcMar>
          </w:tcPr>
          <w:p w:rsidR="00000000" w:rsidRPr="00AB66DE" w:rsidP="00AB66DE">
            <w:pPr>
              <w:pStyle w:val="BodyText"/>
            </w:pPr>
            <w:r w:rsidRPr="00AB66DE">
              <w:t xml:space="preserve">Valid assessment of this unit requires: </w:t>
            </w:r>
          </w:p>
          <w:p w:rsidR="00000000" w:rsidRPr="00AB66DE" w:rsidP="00AB66DE">
            <w:pPr>
              <w:pStyle w:val="ListBullet"/>
            </w:pPr>
            <w:r w:rsidRPr="00AB66DE">
              <w:t xml:space="preserve">a workplace environment or one that closely resembles normal work practice and </w:t>
            </w:r>
            <w:r w:rsidRPr="00AB66DE">
              <w:t>replicates the range of conditions likely to be encountered when conducting fraud and corruption risk assessment, including coping with difficulties, irregularities and breakdowns in routine</w:t>
            </w:r>
          </w:p>
          <w:p w:rsidR="00000000" w:rsidRPr="00AB66DE" w:rsidP="00AB66DE">
            <w:pPr>
              <w:pStyle w:val="ListBullet"/>
            </w:pPr>
            <w:r w:rsidRPr="00AB66DE">
              <w:t>fraud and corruption risk assessment conducted in a range of (3 o</w:t>
            </w:r>
            <w:r w:rsidRPr="00AB66DE">
              <w:t>r more) contexts (or occasions, over time)</w:t>
            </w:r>
          </w:p>
          <w:p w:rsidR="00000000" w:rsidRPr="00AB66DE" w:rsidP="00AB66DE">
            <w:pPr>
              <w:pStyle w:val="BodyText"/>
            </w:pPr>
            <w:r w:rsidRPr="00AB66DE">
              <w:t>Assessment methods should reflect workplace demands, such as literacy, and the needs of particular groups, such as:</w:t>
            </w:r>
          </w:p>
          <w:p w:rsidR="00000000" w:rsidRPr="00AB66DE" w:rsidP="00AB66DE">
            <w:pPr>
              <w:pStyle w:val="ListBullet"/>
            </w:pPr>
            <w:r w:rsidRPr="00AB66DE">
              <w:t>people with disabilities</w:t>
            </w:r>
          </w:p>
          <w:p w:rsidR="00000000" w:rsidRPr="00AB66DE" w:rsidP="00AB66DE">
            <w:pPr>
              <w:pStyle w:val="ListBullet"/>
            </w:pPr>
            <w:r w:rsidRPr="00AB66DE">
              <w:t>people from culturally and linguistically diverse backgrounds</w:t>
            </w:r>
          </w:p>
          <w:p w:rsidR="00000000" w:rsidRPr="00AB66DE" w:rsidP="00AB66DE">
            <w:pPr>
              <w:pStyle w:val="ListBullet"/>
            </w:pPr>
            <w:r w:rsidRPr="00AB66DE">
              <w:t>Aborigina</w:t>
            </w:r>
            <w:r w:rsidRPr="00AB66DE">
              <w:t>l and Torres Strait Islander people</w:t>
            </w:r>
          </w:p>
          <w:p w:rsidR="00000000" w:rsidRPr="00AB66DE" w:rsidP="00AB66DE">
            <w:pPr>
              <w:pStyle w:val="ListBullet"/>
            </w:pPr>
            <w:r w:rsidRPr="00AB66DE">
              <w:t>women</w:t>
            </w:r>
          </w:p>
          <w:p w:rsidR="00000000" w:rsidRPr="00AB66DE" w:rsidP="00AB66DE">
            <w:pPr>
              <w:pStyle w:val="ListBullet"/>
            </w:pPr>
            <w:r w:rsidRPr="00AB66DE">
              <w:t>young people</w:t>
            </w:r>
          </w:p>
          <w:p w:rsidR="00000000" w:rsidRPr="00AB66DE" w:rsidP="00AB66DE">
            <w:pPr>
              <w:pStyle w:val="ListBullet"/>
            </w:pPr>
            <w:r w:rsidRPr="00AB66DE">
              <w:t>older people</w:t>
            </w:r>
          </w:p>
          <w:p w:rsidR="00000000" w:rsidRPr="00AB66DE" w:rsidP="00AB66DE">
            <w:pPr>
              <w:pStyle w:val="ListBullet"/>
            </w:pPr>
            <w:r w:rsidRPr="00AB66DE">
              <w:t>people in rural and remote locations</w:t>
            </w:r>
          </w:p>
          <w:p w:rsidR="00000000" w:rsidRPr="00AB66DE" w:rsidP="00AB66DE">
            <w:pPr>
              <w:pStyle w:val="BodyText"/>
            </w:pPr>
            <w:r w:rsidRPr="00AB66DE">
              <w:t xml:space="preserve">Assessment methods suitable for valid and reliable assessment of this competency may include, but are not limited to, a combination of 2 or more of: </w:t>
            </w:r>
          </w:p>
          <w:p w:rsidR="00000000" w:rsidRPr="00AB66DE" w:rsidP="00AB66DE">
            <w:pPr>
              <w:pStyle w:val="ListBullet"/>
            </w:pPr>
            <w:r w:rsidRPr="00AB66DE">
              <w:t>case studies</w:t>
            </w:r>
          </w:p>
          <w:p w:rsidR="00000000" w:rsidRPr="00AB66DE" w:rsidP="00AB66DE">
            <w:pPr>
              <w:pStyle w:val="ListBullet"/>
            </w:pPr>
            <w:r w:rsidRPr="00AB66DE">
              <w:t xml:space="preserve">portfolios </w:t>
            </w:r>
          </w:p>
          <w:p w:rsidR="00000000" w:rsidRPr="00AB66DE" w:rsidP="00AB66DE">
            <w:pPr>
              <w:pStyle w:val="ListBullet"/>
            </w:pPr>
            <w:r w:rsidRPr="00AB66DE">
              <w:t>projects</w:t>
            </w:r>
          </w:p>
          <w:p w:rsidR="00000000" w:rsidRPr="00AB66DE" w:rsidP="00AB66DE">
            <w:pPr>
              <w:pStyle w:val="ListBullet"/>
            </w:pPr>
            <w:r w:rsidRPr="00AB66DE">
              <w:t>questioning</w:t>
            </w:r>
          </w:p>
          <w:p w:rsidR="00000000" w:rsidRPr="00AB66DE" w:rsidP="00AB66DE">
            <w:pPr>
              <w:pStyle w:val="ListBullet"/>
            </w:pPr>
            <w:r w:rsidRPr="00AB66DE">
              <w:t>scenarios</w:t>
            </w:r>
          </w:p>
          <w:p w:rsidR="00000000" w:rsidRPr="00AB66DE" w:rsidP="00AB66DE">
            <w:pPr>
              <w:pStyle w:val="ListBullet"/>
            </w:pPr>
            <w:r w:rsidRPr="00AB66DE">
              <w:t>simulation or role plays</w:t>
            </w:r>
          </w:p>
          <w:p w:rsidR="00000000" w:rsidP="00AB66DE">
            <w:pPr>
              <w:pStyle w:val="ListBullet"/>
              <w:rPr>
                <w:lang w:val="en-NZ"/>
              </w:rPr>
            </w:pPr>
            <w:r w:rsidRPr="00AB66DE">
              <w:t xml:space="preserve">authenticated evidence from the workplace and/or training courses  </w:t>
            </w:r>
          </w:p>
        </w:tc>
      </w:tr>
      <w:tr w:rsidTr="008C3E1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B66DE">
            <w:pPr>
              <w:pStyle w:val="BodyText"/>
              <w:rPr>
                <w:lang w:val="en-NZ"/>
              </w:rPr>
            </w:pPr>
            <w:r w:rsidRPr="00AB66DE">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AB66DE" w:rsidP="00AB66DE">
            <w:pPr>
              <w:pStyle w:val="BodyText"/>
            </w:pPr>
            <w:r w:rsidRPr="00AB66DE">
              <w:t>Evidence must be gathered over time in a range of contexts to ensure the person can achieve the unit outcome and apply the competency in different situations or environments</w:t>
            </w:r>
          </w:p>
        </w:tc>
      </w:tr>
    </w:tbl>
    <w:p w:rsidR="00000000" w:rsidRPr="00AB66DE" w:rsidP="00AB66DE">
      <w:pPr>
        <w:pStyle w:val="BodyText"/>
      </w:pPr>
    </w:p>
    <w:p w:rsidR="00000000" w:rsidRPr="00AB66DE" w:rsidP="00AB66DE">
      <w:pPr>
        <w:pStyle w:val="AllowPageBreak"/>
      </w:pPr>
    </w:p>
    <w:p w:rsidR="00000000" w:rsidRPr="00AB66DE" w:rsidP="00AB66DE">
      <w:pPr>
        <w:pStyle w:val="Heading1"/>
      </w:pPr>
      <w:bookmarkStart w:id="11" w:name="O_495095"/>
      <w:bookmarkEnd w:id="11"/>
      <w:r w:rsidRPr="00AB66DE">
        <w:t>Range Statement</w:t>
      </w:r>
    </w:p>
    <w:tbl>
      <w:tblPr>
        <w:tblW w:w="9322" w:type="dxa"/>
        <w:tblLayout w:type="fixed"/>
        <w:tblCellMar>
          <w:left w:w="62" w:type="dxa"/>
          <w:right w:w="62" w:type="dxa"/>
        </w:tblCellMar>
        <w:tblLook w:val="0000"/>
      </w:tblPr>
      <w:tblGrid>
        <w:gridCol w:w="2660"/>
        <w:gridCol w:w="6662"/>
      </w:tblGrid>
      <w:tr w:rsidTr="008C3E1A">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6DE">
            <w:pPr>
              <w:pStyle w:val="BodyText"/>
              <w:rPr>
                <w:lang w:val="en-NZ"/>
              </w:rPr>
            </w:pPr>
            <w:r w:rsidRPr="00AB66DE">
              <w:t xml:space="preserve">The Range Statement provides information about </w:t>
            </w:r>
            <w:r w:rsidRPr="00AB66DE">
              <w:t>the context in which the unit of competency is carried out. The variables cater for differences between States and Territories and the Commonwealth, and between organisations and workplaces. They allow for different work requirements, work practices and kn</w:t>
            </w:r>
            <w:r w:rsidRPr="00AB66DE">
              <w:t xml:space="preserve">owledge. The Range Statement also provides a focus for assessment. It relates to the unit as a whole. Text in </w:t>
            </w:r>
            <w:r w:rsidRPr="00AB66DE">
              <w:rPr>
                <w:rStyle w:val="BoldandItalics"/>
              </w:rPr>
              <w:t>bold italics</w:t>
            </w:r>
            <w:r w:rsidRPr="00AB66DE">
              <w:t xml:space="preserve"> in the Performance Criteria is explained here.</w:t>
            </w:r>
          </w:p>
        </w:tc>
      </w:tr>
      <w:tr w:rsidTr="008C3E1A">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6DE">
            <w:pPr>
              <w:pStyle w:val="BodyText"/>
              <w:rPr>
                <w:lang w:val="en-NZ"/>
              </w:rPr>
            </w:pPr>
            <w:r w:rsidRPr="00AB66DE">
              <w:rPr>
                <w:rStyle w:val="BoldandItalics"/>
              </w:rPr>
              <w:t>Risk assessment</w:t>
            </w:r>
            <w:r w:rsidRPr="00AB66D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6DE" w:rsidP="00AB66DE">
            <w:pPr>
              <w:pStyle w:val="ListBullet"/>
            </w:pPr>
            <w:r w:rsidRPr="00AB66DE">
              <w:t xml:space="preserve">fraud and corruption risks identified in isolation or </w:t>
            </w:r>
            <w:r w:rsidRPr="00AB66DE">
              <w:t>as part of a broader risk management strategy</w:t>
            </w:r>
          </w:p>
          <w:p w:rsidR="00000000" w:rsidRPr="00AB66DE" w:rsidP="00AB66DE">
            <w:pPr>
              <w:pStyle w:val="ListBullet"/>
            </w:pPr>
            <w:r w:rsidRPr="00AB66DE">
              <w:t>a risk assessment methodology developed in-house, its development outsourced or adopted from a standards-setting organisation's guidelines (such as Australian and New Zealand standards - AS/NZS 4360:1999 or as revised)</w:t>
            </w:r>
          </w:p>
          <w:p w:rsidR="00000000" w:rsidRPr="00AB66DE" w:rsidP="00AB66DE">
            <w:pPr>
              <w:pStyle w:val="ListBullet"/>
            </w:pPr>
            <w:r w:rsidRPr="00AB66DE">
              <w:t>a risk assessment undertaken in-house</w:t>
            </w:r>
            <w:r w:rsidRPr="00AB66DE">
              <w:t xml:space="preserve"> or outsourced</w:t>
            </w:r>
          </w:p>
          <w:p w:rsidR="00000000" w:rsidRPr="00AB66DE" w:rsidP="00AB66DE">
            <w:pPr>
              <w:pStyle w:val="ListBullet"/>
            </w:pPr>
            <w:r w:rsidRPr="00AB66DE">
              <w:t>a risk assessment conducted across the agency as a whole, and may include recent changes to the structure or nature of service delivered by the agency</w:t>
            </w:r>
          </w:p>
          <w:p w:rsidR="00000000" w:rsidP="00AB66DE">
            <w:pPr>
              <w:pStyle w:val="ListBullet"/>
              <w:rPr>
                <w:lang w:val="en-NZ"/>
              </w:rPr>
            </w:pPr>
            <w:r w:rsidRPr="00AB66DE">
              <w:t>a fraud and corruption risk assessment undertaken in a number of ways including a single p</w:t>
            </w:r>
            <w:r w:rsidRPr="00AB66DE">
              <w:t>rocess covering all functions and areas of an agency, using a sample of areas, or in a rolling program</w:t>
            </w:r>
          </w:p>
        </w:tc>
      </w:tr>
      <w:tr w:rsidTr="008C3E1A">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6DE">
            <w:pPr>
              <w:pStyle w:val="BodyText"/>
              <w:rPr>
                <w:lang w:val="en-NZ"/>
              </w:rPr>
            </w:pPr>
            <w:r w:rsidRPr="00AB66DE">
              <w:rPr>
                <w:rStyle w:val="BoldandItalics"/>
              </w:rPr>
              <w:t xml:space="preserve">Change </w:t>
            </w:r>
            <w:r w:rsidRPr="00AB66DE">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6DE" w:rsidP="00AB66DE">
            <w:pPr>
              <w:pStyle w:val="ListBullet"/>
            </w:pPr>
            <w:r w:rsidRPr="00AB66DE">
              <w:t>the introduction of outsourcing</w:t>
            </w:r>
          </w:p>
          <w:p w:rsidR="00000000" w:rsidRPr="00AB66DE" w:rsidP="00AB66DE">
            <w:pPr>
              <w:pStyle w:val="ListBullet"/>
            </w:pPr>
            <w:r w:rsidRPr="00AB66DE">
              <w:t>policy changes</w:t>
            </w:r>
          </w:p>
          <w:p w:rsidR="00000000" w:rsidRPr="00AB66DE" w:rsidP="00AB66DE">
            <w:pPr>
              <w:pStyle w:val="ListBullet"/>
            </w:pPr>
            <w:r w:rsidRPr="00AB66DE">
              <w:t>community concerns</w:t>
            </w:r>
          </w:p>
          <w:p w:rsidR="00000000" w:rsidRPr="00AB66DE" w:rsidP="00AB66DE">
            <w:pPr>
              <w:pStyle w:val="ListBullet"/>
            </w:pPr>
            <w:r w:rsidRPr="00AB66DE">
              <w:t>statutory changes affecting the area of operation</w:t>
            </w:r>
          </w:p>
          <w:p w:rsidR="00000000" w:rsidRPr="00AB66DE" w:rsidP="00AB66DE">
            <w:pPr>
              <w:pStyle w:val="ListBullet"/>
            </w:pPr>
            <w:r w:rsidRPr="00AB66DE">
              <w:t>introduction of</w:t>
            </w:r>
            <w:r w:rsidRPr="00AB66DE">
              <w:t xml:space="preserve"> quality management systems</w:t>
            </w:r>
          </w:p>
          <w:p w:rsidR="00000000" w:rsidRPr="00AB66DE" w:rsidP="00AB66DE">
            <w:pPr>
              <w:pStyle w:val="ListBullet"/>
            </w:pPr>
            <w:r w:rsidRPr="00AB66DE">
              <w:t>change in structure or nature of service delivery</w:t>
            </w:r>
          </w:p>
          <w:p w:rsidR="00000000" w:rsidP="00AB66DE">
            <w:pPr>
              <w:pStyle w:val="ListBullet"/>
              <w:rPr>
                <w:lang w:val="en-NZ"/>
              </w:rPr>
            </w:pPr>
            <w:r w:rsidRPr="00AB66DE">
              <w:t>other changes that impact on internal controls</w:t>
            </w:r>
          </w:p>
        </w:tc>
      </w:tr>
      <w:tr w:rsidTr="008C3E1A">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6DE">
            <w:pPr>
              <w:pStyle w:val="BodyText"/>
              <w:rPr>
                <w:lang w:val="en-NZ"/>
              </w:rPr>
            </w:pPr>
            <w:r w:rsidRPr="00AB66DE">
              <w:rPr>
                <w:rStyle w:val="BoldandItalics"/>
              </w:rPr>
              <w:t>Risk management standards</w:t>
            </w:r>
            <w:r w:rsidRPr="00AB66DE">
              <w:rPr>
                <w:rStyle w:val="SpecialBold"/>
              </w:rPr>
              <w:t xml:space="preserve"> </w:t>
            </w:r>
            <w:r w:rsidRPr="00AB66DE">
              <w:t>refers to:</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6DE">
            <w:pPr>
              <w:pStyle w:val="ListBullet"/>
              <w:rPr>
                <w:lang w:val="en-NZ"/>
              </w:rPr>
            </w:pPr>
            <w:r w:rsidRPr="00AB66DE">
              <w:t>Australian and New Zealand standards - AS/NZS 4360:1999 or as revised</w:t>
            </w:r>
          </w:p>
        </w:tc>
      </w:tr>
      <w:tr w:rsidTr="008C3E1A">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6DE">
            <w:pPr>
              <w:pStyle w:val="BodyText"/>
              <w:rPr>
                <w:lang w:val="en-NZ"/>
              </w:rPr>
            </w:pPr>
            <w:r w:rsidRPr="00AB66DE">
              <w:rPr>
                <w:rStyle w:val="BoldandItalics"/>
              </w:rPr>
              <w:t xml:space="preserve">Advice </w:t>
            </w:r>
            <w:r w:rsidRPr="00AB66DE">
              <w:t>may relate to:</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6DE" w:rsidP="00AB66DE">
            <w:pPr>
              <w:pStyle w:val="ListBullet"/>
            </w:pPr>
            <w:r w:rsidRPr="00AB66DE">
              <w:t xml:space="preserve">need to alert key people when problems arise  </w:t>
            </w:r>
          </w:p>
          <w:p w:rsidR="00000000" w:rsidRPr="00AB66DE" w:rsidP="00AB66DE">
            <w:pPr>
              <w:pStyle w:val="ListBullet"/>
            </w:pPr>
            <w:r w:rsidRPr="00AB66DE">
              <w:t>fraud and corruption risk controls and compliance measures</w:t>
            </w:r>
          </w:p>
          <w:p w:rsidR="00000000" w:rsidP="00AB66DE">
            <w:pPr>
              <w:pStyle w:val="ListBullet"/>
              <w:rPr>
                <w:lang w:val="en-NZ"/>
              </w:rPr>
            </w:pPr>
            <w:r w:rsidRPr="00AB66DE">
              <w:t>areas in which controls may be excessive</w:t>
            </w:r>
          </w:p>
        </w:tc>
      </w:tr>
      <w:tr w:rsidTr="008C3E1A">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6DE">
            <w:pPr>
              <w:pStyle w:val="BodyText"/>
              <w:rPr>
                <w:lang w:val="en-NZ"/>
              </w:rPr>
            </w:pPr>
            <w:r w:rsidRPr="00AB66DE">
              <w:rPr>
                <w:rStyle w:val="BoldandItalics"/>
              </w:rPr>
              <w:t xml:space="preserve">Stakeholders </w:t>
            </w:r>
            <w:r w:rsidRPr="00AB66DE">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6DE" w:rsidP="00AB66DE">
            <w:pPr>
              <w:pStyle w:val="ListBullet"/>
            </w:pPr>
            <w:r w:rsidRPr="00AB66DE">
              <w:t>agency staff and senior management</w:t>
            </w:r>
          </w:p>
          <w:p w:rsidR="00000000" w:rsidRPr="00AB66DE" w:rsidP="00AB66DE">
            <w:pPr>
              <w:pStyle w:val="ListBullet"/>
            </w:pPr>
            <w:r w:rsidRPr="00AB66DE">
              <w:t>contractors and consultants</w:t>
            </w:r>
          </w:p>
          <w:p w:rsidR="00000000" w:rsidP="00AB66DE">
            <w:pPr>
              <w:pStyle w:val="ListBullet"/>
              <w:rPr>
                <w:lang w:val="en-NZ"/>
              </w:rPr>
            </w:pPr>
            <w:r w:rsidRPr="00AB66DE">
              <w:t>standards-settin</w:t>
            </w:r>
            <w:r w:rsidRPr="00AB66DE">
              <w:t>g organisations</w:t>
            </w:r>
          </w:p>
        </w:tc>
      </w:tr>
      <w:tr w:rsidTr="008C3E1A">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6DE">
            <w:pPr>
              <w:pStyle w:val="BodyText"/>
              <w:rPr>
                <w:lang w:val="en-NZ"/>
              </w:rPr>
            </w:pPr>
            <w:r w:rsidRPr="00AB66DE">
              <w:rPr>
                <w:rStyle w:val="BoldandItalics"/>
              </w:rPr>
              <w:t>Effectiveness of fraud and corruption control strategy</w:t>
            </w:r>
            <w:r w:rsidRPr="00AB66DE">
              <w:t xml:space="preserve"> may be affected by: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6DE" w:rsidP="00AB66DE">
            <w:pPr>
              <w:pStyle w:val="ListBullet"/>
            </w:pPr>
            <w:r w:rsidRPr="00AB66DE">
              <w:t xml:space="preserve">management support </w:t>
            </w:r>
          </w:p>
          <w:p w:rsidR="00000000" w:rsidRPr="00AB66DE" w:rsidP="00AB66DE">
            <w:pPr>
              <w:pStyle w:val="ListBullet"/>
            </w:pPr>
            <w:r w:rsidRPr="00AB66DE">
              <w:t>building positive relationships with other staff</w:t>
            </w:r>
          </w:p>
        </w:tc>
      </w:tr>
    </w:tbl>
    <w:p w:rsidR="008C3E1A" w:rsidP="00AB66DE">
      <w:pPr>
        <w:pStyle w:val="BodyText"/>
      </w:pPr>
    </w:p>
    <w:p w:rsidR="008C3E1A" w:rsidP="00AB66DE">
      <w:pPr>
        <w:pStyle w:val="BodyText"/>
      </w:pPr>
    </w:p>
    <w:p w:rsidR="00000000" w:rsidRPr="00AB66DE" w:rsidP="00AB66DE">
      <w:pPr>
        <w:pStyle w:val="Heading1"/>
      </w:pPr>
      <w:bookmarkStart w:id="12" w:name="O_495094"/>
      <w:bookmarkEnd w:id="12"/>
      <w:r w:rsidRPr="00AB66DE">
        <w:t>Unit Sector(s)</w:t>
      </w:r>
    </w:p>
    <w:p w:rsidR="00000000" w:rsidRPr="00AB66DE" w:rsidP="00AB66DE">
      <w:pPr>
        <w:pStyle w:val="BodyText"/>
      </w:pPr>
      <w:r w:rsidRPr="00AB66DE">
        <w:t>Not applicable.</w:t>
      </w:r>
    </w:p>
    <w:p w:rsidR="00000000" w:rsidRPr="00AB66DE" w:rsidP="00AB66DE">
      <w:pPr>
        <w:pStyle w:val="AllowPageBreak"/>
      </w:pPr>
    </w:p>
    <w:p w:rsidR="00000000" w:rsidRPr="00AB66DE" w:rsidP="00AB66DE">
      <w:pPr>
        <w:pStyle w:val="Heading1"/>
      </w:pPr>
      <w:bookmarkStart w:id="13" w:name="O_495102"/>
      <w:bookmarkEnd w:id="13"/>
      <w:r w:rsidRPr="00AB66DE">
        <w:t>Competency field</w:t>
      </w:r>
    </w:p>
    <w:p w:rsidR="00000000" w:rsidRPr="00AB66DE" w:rsidP="00AB66DE">
      <w:pPr>
        <w:pStyle w:val="BodyText"/>
      </w:pPr>
      <w:r w:rsidRPr="00AB66DE">
        <w:t>Fraud Control.</w:t>
      </w:r>
    </w:p>
    <w:p w:rsidR="00000000" w:rsidRPr="00AB66DE" w:rsidP="00AB66DE"/>
    <w:sectPr w:rsidSect="00AB66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6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3E1A" w:rsidP="008C3E1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6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E1A" w:rsidP="00AB66D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C3E1A" w:rsidP="00AB66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C3E1A" w:rsidP="00AB66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6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6DE" w:rsidRPr="008C3E1A" w:rsidP="008C3E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6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E1A" w:rsidRPr="002D2AF8" w:rsidP="00AB66DE">
    <w:pPr>
      <w:pStyle w:val="Header"/>
      <w:framePr w:wrap="around"/>
    </w:pPr>
    <w:r>
      <w:fldChar w:fldCharType="begin"/>
    </w:r>
    <w:r>
      <w:instrText xml:space="preserve"> TITLE   \* MERGEFORMAT </w:instrText>
    </w:r>
    <w:r>
      <w:fldChar w:fldCharType="separate"/>
    </w:r>
    <w:r>
      <w:t>PSPFRAU504B Conduct fraud risk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8C3E1A" w:rsidP="00AB66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1E53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AC3A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00A7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6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66DE"/>
    <w:pPr>
      <w:spacing w:before="360" w:after="60"/>
      <w:outlineLvl w:val="0"/>
    </w:pPr>
    <w:rPr>
      <w:sz w:val="32"/>
    </w:rPr>
  </w:style>
  <w:style w:type="paragraph" w:styleId="Heading2">
    <w:name w:val="heading 2"/>
    <w:basedOn w:val="HeadingBase"/>
    <w:next w:val="BodyText"/>
    <w:link w:val="Heading2Char"/>
    <w:qFormat/>
    <w:rsid w:val="00AB66DE"/>
    <w:pPr>
      <w:keepLines/>
      <w:spacing w:before="240" w:after="120"/>
      <w:outlineLvl w:val="1"/>
    </w:pPr>
    <w:rPr>
      <w:sz w:val="28"/>
      <w:szCs w:val="40"/>
    </w:rPr>
  </w:style>
  <w:style w:type="paragraph" w:styleId="Heading3">
    <w:name w:val="heading 3"/>
    <w:basedOn w:val="HeadingBase"/>
    <w:next w:val="BodyText"/>
    <w:link w:val="Heading3Char"/>
    <w:qFormat/>
    <w:rsid w:val="00AB66DE"/>
    <w:pPr>
      <w:spacing w:before="180" w:after="120"/>
      <w:outlineLvl w:val="2"/>
    </w:pPr>
    <w:rPr>
      <w:spacing w:val="-10"/>
      <w:kern w:val="32"/>
    </w:rPr>
  </w:style>
  <w:style w:type="paragraph" w:styleId="Heading4">
    <w:name w:val="heading 4"/>
    <w:basedOn w:val="HeadingBase"/>
    <w:next w:val="BodyText"/>
    <w:link w:val="Heading4Char"/>
    <w:qFormat/>
    <w:rsid w:val="00AB66DE"/>
    <w:pPr>
      <w:spacing w:before="160" w:after="120"/>
      <w:outlineLvl w:val="3"/>
    </w:pPr>
    <w:rPr>
      <w:sz w:val="22"/>
    </w:rPr>
  </w:style>
  <w:style w:type="paragraph" w:styleId="Heading5">
    <w:name w:val="heading 5"/>
    <w:basedOn w:val="HeadingBase"/>
    <w:next w:val="Normal"/>
    <w:link w:val="Heading5Char"/>
    <w:qFormat/>
    <w:rsid w:val="00AB66DE"/>
    <w:pPr>
      <w:spacing w:before="80"/>
      <w:outlineLvl w:val="4"/>
    </w:pPr>
    <w:rPr>
      <w:color w:val="918585"/>
      <w:sz w:val="20"/>
    </w:rPr>
  </w:style>
  <w:style w:type="paragraph" w:styleId="Heading6">
    <w:name w:val="heading 6"/>
    <w:basedOn w:val="HeadingBase"/>
    <w:next w:val="Normal"/>
    <w:link w:val="Heading6Char"/>
    <w:qFormat/>
    <w:rsid w:val="00AB66DE"/>
    <w:pPr>
      <w:spacing w:before="60"/>
      <w:outlineLvl w:val="5"/>
    </w:pPr>
    <w:rPr>
      <w:color w:val="918585"/>
      <w:sz w:val="20"/>
    </w:rPr>
  </w:style>
  <w:style w:type="paragraph" w:styleId="Heading7">
    <w:name w:val="heading 7"/>
    <w:basedOn w:val="Normal"/>
    <w:next w:val="Normal"/>
    <w:link w:val="Heading7Char"/>
    <w:qFormat/>
    <w:rsid w:val="00AB66DE"/>
    <w:pPr>
      <w:ind w:left="720"/>
      <w:outlineLvl w:val="6"/>
    </w:pPr>
    <w:rPr>
      <w:i/>
    </w:rPr>
  </w:style>
  <w:style w:type="paragraph" w:styleId="Heading8">
    <w:name w:val="heading 8"/>
    <w:basedOn w:val="Normal"/>
    <w:next w:val="Normal"/>
    <w:link w:val="Heading8Char"/>
    <w:qFormat/>
    <w:rsid w:val="00AB66DE"/>
    <w:pPr>
      <w:ind w:left="720"/>
      <w:outlineLvl w:val="7"/>
    </w:pPr>
    <w:rPr>
      <w:i/>
    </w:rPr>
  </w:style>
  <w:style w:type="paragraph" w:styleId="Heading9">
    <w:name w:val="heading 9"/>
    <w:basedOn w:val="Normal"/>
    <w:next w:val="Normal"/>
    <w:link w:val="Heading9Char"/>
    <w:qFormat/>
    <w:rsid w:val="00AB66DE"/>
    <w:pPr>
      <w:ind w:left="720"/>
      <w:outlineLvl w:val="8"/>
    </w:pPr>
    <w:rPr>
      <w:i/>
    </w:rPr>
  </w:style>
  <w:style w:type="character" w:default="1" w:styleId="DefaultParagraphFont">
    <w:name w:val="Default Paragraph Font"/>
    <w:uiPriority w:val="1"/>
    <w:unhideWhenUsed/>
    <w:rsid w:val="00AB66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66DE"/>
  </w:style>
  <w:style w:type="character" w:customStyle="1" w:styleId="Heading1Char">
    <w:name w:val="Heading 1 Char"/>
    <w:basedOn w:val="DefaultParagraphFont"/>
    <w:link w:val="Heading1"/>
    <w:rsid w:val="00AB66DE"/>
    <w:rPr>
      <w:rFonts w:ascii="Times New Roman" w:eastAsia="Times New Roman" w:hAnsi="Times New Roman" w:cs="Times New Roman"/>
      <w:b/>
      <w:sz w:val="32"/>
      <w:szCs w:val="20"/>
      <w:lang w:eastAsia="en-US"/>
    </w:rPr>
  </w:style>
  <w:style w:type="paragraph" w:styleId="BodyText">
    <w:name w:val="Body Text"/>
    <w:basedOn w:val="Normal"/>
    <w:link w:val="BodyTextChar"/>
    <w:rsid w:val="00AB66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66DE"/>
    <w:rPr>
      <w:rFonts w:ascii="Times New Roman" w:eastAsia="Times New Roman" w:hAnsi="Times New Roman" w:cs="Times New Roman"/>
      <w:sz w:val="24"/>
      <w:lang w:eastAsia="en-US"/>
    </w:rPr>
  </w:style>
  <w:style w:type="paragraph" w:styleId="Footer">
    <w:name w:val="footer"/>
    <w:basedOn w:val="Normal"/>
    <w:link w:val="FooterChar"/>
    <w:rsid w:val="00AB66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66DE"/>
    <w:rPr>
      <w:rFonts w:ascii="Times New Roman" w:eastAsia="Times New Roman" w:hAnsi="Times New Roman" w:cs="Times New Roman"/>
      <w:sz w:val="16"/>
      <w:lang w:eastAsia="en-US"/>
    </w:rPr>
  </w:style>
  <w:style w:type="paragraph" w:styleId="List">
    <w:name w:val="List"/>
    <w:basedOn w:val="BodyText"/>
    <w:next w:val="BodyText"/>
    <w:rsid w:val="00AB66DE"/>
    <w:pPr>
      <w:tabs>
        <w:tab w:val="left" w:pos="340"/>
      </w:tabs>
      <w:spacing w:before="60" w:after="60"/>
      <w:ind w:left="340" w:hanging="340"/>
    </w:pPr>
  </w:style>
  <w:style w:type="paragraph" w:styleId="ListBullet">
    <w:name w:val="List Bullet"/>
    <w:basedOn w:val="List"/>
    <w:rsid w:val="00AB66DE"/>
    <w:pPr>
      <w:numPr>
        <w:numId w:val="13"/>
      </w:numPr>
      <w:tabs>
        <w:tab w:val="clear" w:pos="340"/>
      </w:tabs>
      <w:spacing w:before="40" w:after="40"/>
    </w:pPr>
  </w:style>
  <w:style w:type="character" w:customStyle="1" w:styleId="SpecialBold">
    <w:name w:val="Special Bold"/>
    <w:basedOn w:val="DefaultParagraphFont"/>
    <w:rsid w:val="00AB66DE"/>
    <w:rPr>
      <w:b/>
      <w:spacing w:val="0"/>
    </w:rPr>
  </w:style>
  <w:style w:type="paragraph" w:styleId="ListBullet2">
    <w:name w:val="List Bullet 2"/>
    <w:basedOn w:val="List2"/>
    <w:rsid w:val="00AB66DE"/>
    <w:pPr>
      <w:numPr>
        <w:numId w:val="14"/>
      </w:numPr>
      <w:tabs>
        <w:tab w:val="clear" w:pos="680"/>
      </w:tabs>
    </w:pPr>
  </w:style>
  <w:style w:type="character" w:styleId="Emphasis">
    <w:name w:val="Emphasis"/>
    <w:basedOn w:val="DefaultParagraphFont"/>
    <w:qFormat/>
    <w:rsid w:val="00AB66DE"/>
    <w:rPr>
      <w:i/>
    </w:rPr>
  </w:style>
  <w:style w:type="paragraph" w:customStyle="1" w:styleId="SuperHeading">
    <w:name w:val="SuperHeading"/>
    <w:basedOn w:val="Normal"/>
    <w:rsid w:val="00AB66DE"/>
    <w:pPr>
      <w:spacing w:before="240" w:after="120"/>
      <w:outlineLvl w:val="0"/>
    </w:pPr>
    <w:rPr>
      <w:rFonts w:ascii="Times New Roman" w:hAnsi="Times New Roman"/>
      <w:b/>
      <w:sz w:val="28"/>
    </w:rPr>
  </w:style>
  <w:style w:type="paragraph" w:customStyle="1" w:styleId="AllowPageBreak">
    <w:name w:val="AllowPageBreak"/>
    <w:rsid w:val="00AB66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AB66DE"/>
    <w:rPr>
      <w:u w:val="single"/>
    </w:rPr>
  </w:style>
  <w:style w:type="character" w:customStyle="1" w:styleId="BoldandItalics">
    <w:name w:val="Bold and Italics"/>
    <w:qFormat/>
    <w:rsid w:val="00AB66DE"/>
    <w:rPr>
      <w:b/>
      <w:i/>
      <w:u w:val="none"/>
    </w:rPr>
  </w:style>
  <w:style w:type="character" w:customStyle="1" w:styleId="Heading2Char">
    <w:name w:val="Heading 2 Char"/>
    <w:basedOn w:val="DefaultParagraphFont"/>
    <w:link w:val="Heading2"/>
    <w:rsid w:val="00AB66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66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66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66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66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66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66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66DE"/>
    <w:rPr>
      <w:rFonts w:ascii="Courier New" w:eastAsia="Times New Roman" w:hAnsi="Courier New" w:cs="Times New Roman"/>
      <w:i/>
      <w:szCs w:val="20"/>
      <w:lang w:eastAsia="en-US"/>
    </w:rPr>
  </w:style>
  <w:style w:type="paragraph" w:customStyle="1" w:styleId="HeadingBase">
    <w:name w:val="Heading Base"/>
    <w:rsid w:val="00AB66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66DE"/>
    <w:pPr>
      <w:tabs>
        <w:tab w:val="right" w:leader="dot" w:pos="9072"/>
      </w:tabs>
      <w:ind w:left="567"/>
    </w:pPr>
    <w:rPr>
      <w:szCs w:val="22"/>
    </w:rPr>
  </w:style>
  <w:style w:type="paragraph" w:customStyle="1" w:styleId="TOCBase">
    <w:name w:val="TOC Base"/>
    <w:rsid w:val="00AB66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66DE"/>
    <w:pPr>
      <w:tabs>
        <w:tab w:val="right" w:leader="dot" w:pos="9072"/>
      </w:tabs>
      <w:spacing w:before="40" w:after="40"/>
      <w:ind w:left="284"/>
    </w:pPr>
    <w:rPr>
      <w:rFonts w:ascii="Times New Roman" w:hAnsi="Times New Roman"/>
    </w:rPr>
  </w:style>
  <w:style w:type="paragraph" w:styleId="TOC1">
    <w:name w:val="toc 1"/>
    <w:basedOn w:val="TOCBase"/>
    <w:next w:val="Normal"/>
    <w:rsid w:val="00AB66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66DE"/>
    <w:pPr>
      <w:spacing w:before="5040"/>
      <w:jc w:val="center"/>
    </w:pPr>
    <w:rPr>
      <w:sz w:val="48"/>
      <w:szCs w:val="72"/>
      <w:lang w:val="en-US"/>
    </w:rPr>
  </w:style>
  <w:style w:type="character" w:customStyle="1" w:styleId="TitleChar">
    <w:name w:val="Title Char"/>
    <w:basedOn w:val="DefaultParagraphFont"/>
    <w:link w:val="Title"/>
    <w:rsid w:val="00AB66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66DE"/>
    <w:pPr>
      <w:tabs>
        <w:tab w:val="left" w:pos="3600"/>
        <w:tab w:val="left" w:pos="3958"/>
      </w:tabs>
    </w:pPr>
  </w:style>
  <w:style w:type="paragraph" w:customStyle="1" w:styleId="Note">
    <w:name w:val="Note"/>
    <w:basedOn w:val="BodyText"/>
    <w:rsid w:val="00AB66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66DE"/>
    <w:pPr>
      <w:framePr w:wrap="auto" w:hAnchor="text" w:y="6049"/>
    </w:pPr>
    <w:rPr>
      <w:color w:val="000000"/>
      <w:sz w:val="40"/>
    </w:rPr>
  </w:style>
  <w:style w:type="paragraph" w:customStyle="1" w:styleId="TOCTitle">
    <w:name w:val="TOCTitle"/>
    <w:basedOn w:val="Heading1"/>
    <w:rsid w:val="00AB66DE"/>
    <w:pPr>
      <w:spacing w:after="240"/>
      <w:jc w:val="center"/>
      <w:outlineLvl w:val="9"/>
    </w:pPr>
    <w:rPr>
      <w:caps/>
    </w:rPr>
  </w:style>
  <w:style w:type="paragraph" w:customStyle="1" w:styleId="Version">
    <w:name w:val="Version"/>
    <w:rsid w:val="00AB66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66DE"/>
    <w:pPr>
      <w:keepNext w:val="0"/>
      <w:tabs>
        <w:tab w:val="right" w:pos="4176"/>
      </w:tabs>
      <w:ind w:left="198" w:hanging="198"/>
    </w:pPr>
    <w:rPr>
      <w:rFonts w:ascii="Garamond" w:hAnsi="Garamond"/>
    </w:rPr>
  </w:style>
  <w:style w:type="paragraph" w:styleId="IndexHeading">
    <w:name w:val="index heading"/>
    <w:basedOn w:val="Normal"/>
    <w:next w:val="Index1"/>
    <w:semiHidden/>
    <w:rsid w:val="00AB66DE"/>
    <w:pPr>
      <w:spacing w:before="120" w:after="120"/>
    </w:pPr>
    <w:rPr>
      <w:rFonts w:ascii="Arial" w:hAnsi="Arial"/>
      <w:b/>
      <w:color w:val="918585"/>
      <w:sz w:val="24"/>
    </w:rPr>
  </w:style>
  <w:style w:type="paragraph" w:styleId="Header">
    <w:name w:val="header"/>
    <w:basedOn w:val="Normal"/>
    <w:link w:val="HeaderChar"/>
    <w:rsid w:val="00AB66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66DE"/>
    <w:rPr>
      <w:rFonts w:ascii="Times New Roman" w:eastAsia="Times New Roman" w:hAnsi="Times New Roman" w:cs="Times New Roman"/>
      <w:sz w:val="16"/>
      <w:szCs w:val="20"/>
      <w:lang w:val="en-GB" w:eastAsia="en-US"/>
    </w:rPr>
  </w:style>
  <w:style w:type="paragraph" w:customStyle="1" w:styleId="Chapter">
    <w:name w:val="Chapter"/>
    <w:basedOn w:val="Normal"/>
    <w:rsid w:val="00AB66DE"/>
    <w:pPr>
      <w:spacing w:before="240"/>
    </w:pPr>
    <w:rPr>
      <w:rFonts w:ascii="Times New Roman" w:hAnsi="Times New Roman"/>
      <w:smallCaps/>
      <w:spacing w:val="80"/>
      <w:sz w:val="28"/>
    </w:rPr>
  </w:style>
  <w:style w:type="paragraph" w:customStyle="1" w:styleId="InChapter">
    <w:name w:val="InChapter"/>
    <w:basedOn w:val="Heading3"/>
    <w:rsid w:val="00AB66DE"/>
    <w:pPr>
      <w:spacing w:after="240"/>
      <w:outlineLvl w:val="9"/>
    </w:pPr>
    <w:rPr>
      <w:noProof/>
    </w:rPr>
  </w:style>
  <w:style w:type="paragraph" w:styleId="Index2">
    <w:name w:val="index 2"/>
    <w:basedOn w:val="Normal"/>
    <w:next w:val="Normal"/>
    <w:semiHidden/>
    <w:rsid w:val="00AB66DE"/>
    <w:pPr>
      <w:tabs>
        <w:tab w:val="right" w:pos="4176"/>
      </w:tabs>
      <w:ind w:left="568" w:hanging="284"/>
    </w:pPr>
    <w:rPr>
      <w:rFonts w:ascii="Garamond" w:hAnsi="Garamond"/>
    </w:rPr>
  </w:style>
  <w:style w:type="paragraph" w:customStyle="1" w:styleId="Byline">
    <w:name w:val="Byline"/>
    <w:rsid w:val="00AB66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66DE"/>
    <w:pPr>
      <w:tabs>
        <w:tab w:val="clear" w:pos="3600"/>
        <w:tab w:val="clear" w:pos="3958"/>
      </w:tabs>
      <w:jc w:val="right"/>
    </w:pPr>
  </w:style>
  <w:style w:type="paragraph" w:styleId="Caption">
    <w:name w:val="caption"/>
    <w:basedOn w:val="BodyText"/>
    <w:next w:val="Normal"/>
    <w:qFormat/>
    <w:rsid w:val="00AB66DE"/>
    <w:pPr>
      <w:framePr w:w="2268" w:hSpace="181" w:vSpace="181" w:wrap="around" w:vAnchor="text" w:hAnchor="page" w:x="1135" w:y="285" w:anchorLock="1"/>
    </w:pPr>
    <w:rPr>
      <w:i/>
    </w:rPr>
  </w:style>
  <w:style w:type="paragraph" w:customStyle="1" w:styleId="MiniTOCTitle">
    <w:name w:val="MiniTOCTitle"/>
    <w:basedOn w:val="Heading4"/>
    <w:rsid w:val="00AB66DE"/>
    <w:pPr>
      <w:spacing w:before="240"/>
      <w:outlineLvl w:val="9"/>
    </w:pPr>
    <w:rPr>
      <w:noProof/>
      <w:sz w:val="24"/>
    </w:rPr>
  </w:style>
  <w:style w:type="paragraph" w:customStyle="1" w:styleId="MiniTOCItem">
    <w:name w:val="MiniTOCItem"/>
    <w:basedOn w:val="ListBullet"/>
    <w:rsid w:val="00AB66DE"/>
    <w:pPr>
      <w:numPr>
        <w:numId w:val="0"/>
      </w:numPr>
      <w:tabs>
        <w:tab w:val="right" w:leader="dot" w:pos="6521"/>
      </w:tabs>
      <w:spacing w:before="0" w:after="0"/>
    </w:pPr>
  </w:style>
  <w:style w:type="paragraph" w:customStyle="1" w:styleId="TOFTitle">
    <w:name w:val="TOFTitle"/>
    <w:basedOn w:val="TOCTitle"/>
    <w:rsid w:val="00AB66DE"/>
  </w:style>
  <w:style w:type="paragraph" w:styleId="TableofFigures">
    <w:name w:val="table of figures"/>
    <w:basedOn w:val="Normal"/>
    <w:next w:val="Normal"/>
    <w:semiHidden/>
    <w:rsid w:val="00AB66DE"/>
    <w:pPr>
      <w:tabs>
        <w:tab w:val="right" w:leader="dot" w:pos="9072"/>
      </w:tabs>
      <w:ind w:left="970" w:hanging="403"/>
    </w:pPr>
    <w:rPr>
      <w:rFonts w:ascii="Times New Roman" w:hAnsi="Times New Roman"/>
      <w:b/>
    </w:rPr>
  </w:style>
  <w:style w:type="paragraph" w:styleId="ListNumber">
    <w:name w:val="List Number"/>
    <w:basedOn w:val="List"/>
    <w:rsid w:val="00AB66DE"/>
    <w:pPr>
      <w:numPr>
        <w:numId w:val="11"/>
      </w:numPr>
    </w:pPr>
  </w:style>
  <w:style w:type="character" w:customStyle="1" w:styleId="WingdingSymbols">
    <w:name w:val="Wingding Symbols"/>
    <w:rsid w:val="00AB66DE"/>
    <w:rPr>
      <w:rFonts w:ascii="Wingdings" w:hAnsi="Wingdings"/>
    </w:rPr>
  </w:style>
  <w:style w:type="paragraph" w:customStyle="1" w:styleId="TableHeading">
    <w:name w:val="Table Heading"/>
    <w:basedOn w:val="HeadingBase"/>
    <w:rsid w:val="00AB66DE"/>
    <w:pPr>
      <w:keepLines/>
      <w:pBdr>
        <w:bottom w:val="single" w:sz="6" w:space="1" w:color="918585"/>
      </w:pBdr>
      <w:spacing w:before="240"/>
    </w:pPr>
  </w:style>
  <w:style w:type="character" w:customStyle="1" w:styleId="HotSpot">
    <w:name w:val="HotSpot"/>
    <w:rsid w:val="00AB66DE"/>
    <w:rPr>
      <w:color w:val="0033CC"/>
      <w:u w:val="none"/>
    </w:rPr>
  </w:style>
  <w:style w:type="paragraph" w:customStyle="1" w:styleId="BodyTextRight">
    <w:name w:val="Body Text Right"/>
    <w:basedOn w:val="BodyText"/>
    <w:rsid w:val="00AB66DE"/>
    <w:pPr>
      <w:spacing w:before="0" w:after="0"/>
      <w:jc w:val="right"/>
    </w:pPr>
  </w:style>
  <w:style w:type="paragraph" w:styleId="Index3">
    <w:name w:val="index 3"/>
    <w:basedOn w:val="ListNumber2"/>
    <w:next w:val="Normal"/>
    <w:semiHidden/>
    <w:rsid w:val="00AB66DE"/>
    <w:pPr>
      <w:numPr>
        <w:numId w:val="0"/>
      </w:numPr>
      <w:tabs>
        <w:tab w:val="right" w:leader="dot" w:pos="4176"/>
      </w:tabs>
    </w:pPr>
  </w:style>
  <w:style w:type="paragraph" w:styleId="ListNumber2">
    <w:name w:val="List Number 2"/>
    <w:basedOn w:val="List2"/>
    <w:rsid w:val="00AB66DE"/>
    <w:pPr>
      <w:numPr>
        <w:numId w:val="10"/>
      </w:numPr>
      <w:tabs>
        <w:tab w:val="clear" w:pos="1060"/>
      </w:tabs>
    </w:pPr>
  </w:style>
  <w:style w:type="paragraph" w:customStyle="1" w:styleId="MarginNote">
    <w:name w:val="Margin Note"/>
    <w:basedOn w:val="BodyText"/>
    <w:rsid w:val="00AB66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66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66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66DE"/>
    <w:rPr>
      <w:sz w:val="32"/>
    </w:rPr>
  </w:style>
  <w:style w:type="paragraph" w:customStyle="1" w:styleId="HeadingProcedure">
    <w:name w:val="Heading Procedure"/>
    <w:basedOn w:val="HeadingBase"/>
    <w:next w:val="Normal"/>
    <w:rsid w:val="00AB66DE"/>
    <w:pPr>
      <w:tabs>
        <w:tab w:val="left" w:pos="0"/>
      </w:tabs>
      <w:spacing w:before="120" w:after="60"/>
    </w:pPr>
    <w:rPr>
      <w:i/>
      <w:color w:val="918585"/>
      <w:sz w:val="22"/>
    </w:rPr>
  </w:style>
  <w:style w:type="paragraph" w:customStyle="1" w:styleId="TableBodyText">
    <w:name w:val="Table Body Text"/>
    <w:basedOn w:val="BodyText"/>
    <w:rsid w:val="00AB66DE"/>
    <w:pPr>
      <w:spacing w:before="60" w:after="60"/>
    </w:pPr>
  </w:style>
  <w:style w:type="paragraph" w:styleId="ListContinue">
    <w:name w:val="List Continue"/>
    <w:basedOn w:val="List"/>
    <w:rsid w:val="00AB66DE"/>
    <w:pPr>
      <w:ind w:firstLine="0"/>
    </w:pPr>
  </w:style>
  <w:style w:type="paragraph" w:customStyle="1" w:styleId="ListNote">
    <w:name w:val="List Note"/>
    <w:basedOn w:val="List"/>
    <w:rsid w:val="00AB66DE"/>
    <w:pPr>
      <w:pBdr>
        <w:top w:val="single" w:sz="6" w:space="2" w:color="918585"/>
        <w:bottom w:val="single" w:sz="6" w:space="2" w:color="918585"/>
      </w:pBdr>
      <w:tabs>
        <w:tab w:val="left" w:pos="1021"/>
      </w:tabs>
      <w:ind w:firstLine="0"/>
    </w:pPr>
  </w:style>
  <w:style w:type="paragraph" w:customStyle="1" w:styleId="Warning">
    <w:name w:val="Warning"/>
    <w:basedOn w:val="BodyText"/>
    <w:rsid w:val="00AB66DE"/>
    <w:pPr>
      <w:shd w:val="clear" w:color="auto" w:fill="D9D9D9"/>
      <w:tabs>
        <w:tab w:val="left" w:pos="992"/>
      </w:tabs>
      <w:ind w:left="119" w:right="119"/>
    </w:pPr>
    <w:rPr>
      <w:sz w:val="20"/>
    </w:rPr>
  </w:style>
  <w:style w:type="paragraph" w:customStyle="1" w:styleId="MarginIcons">
    <w:name w:val="Margin Icons"/>
    <w:basedOn w:val="BodyText"/>
    <w:rsid w:val="00AB66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66DE"/>
    <w:rPr>
      <w:rFonts w:ascii="Courier New" w:hAnsi="Courier New"/>
    </w:rPr>
  </w:style>
  <w:style w:type="paragraph" w:customStyle="1" w:styleId="NoteBullet">
    <w:name w:val="Note Bullet"/>
    <w:basedOn w:val="Note"/>
    <w:rsid w:val="00AB66DE"/>
    <w:pPr>
      <w:tabs>
        <w:tab w:val="clear" w:pos="680"/>
      </w:tabs>
      <w:spacing w:before="60" w:after="60"/>
    </w:pPr>
  </w:style>
  <w:style w:type="paragraph" w:customStyle="1" w:styleId="SubHeading2">
    <w:name w:val="SubHeading2"/>
    <w:basedOn w:val="HeadingBase"/>
    <w:rsid w:val="00AB66DE"/>
    <w:pPr>
      <w:spacing w:before="240" w:after="60"/>
    </w:pPr>
    <w:rPr>
      <w:sz w:val="20"/>
    </w:rPr>
  </w:style>
  <w:style w:type="paragraph" w:customStyle="1" w:styleId="SubHeading1">
    <w:name w:val="SubHeading1"/>
    <w:basedOn w:val="HeadingBase"/>
    <w:rsid w:val="00AB66DE"/>
    <w:pPr>
      <w:spacing w:before="240" w:after="60"/>
    </w:pPr>
    <w:rPr>
      <w:color w:val="918585"/>
      <w:sz w:val="22"/>
    </w:rPr>
  </w:style>
  <w:style w:type="paragraph" w:customStyle="1" w:styleId="SideHeading">
    <w:name w:val="Side Heading"/>
    <w:basedOn w:val="HeadingBase"/>
    <w:rsid w:val="00AB66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66DE"/>
    <w:pPr>
      <w:numPr>
        <w:numId w:val="12"/>
      </w:numPr>
    </w:pPr>
  </w:style>
  <w:style w:type="paragraph" w:styleId="PlainText">
    <w:name w:val="Plain Text"/>
    <w:basedOn w:val="Normal"/>
    <w:link w:val="PlainTextChar"/>
    <w:rsid w:val="00AB66DE"/>
    <w:rPr>
      <w:sz w:val="20"/>
    </w:rPr>
  </w:style>
  <w:style w:type="character" w:customStyle="1" w:styleId="PlainTextChar">
    <w:name w:val="Plain Text Char"/>
    <w:basedOn w:val="DefaultParagraphFont"/>
    <w:link w:val="PlainText"/>
    <w:rsid w:val="00AB66DE"/>
    <w:rPr>
      <w:rFonts w:ascii="Courier New" w:eastAsia="Times New Roman" w:hAnsi="Courier New" w:cs="Times New Roman"/>
      <w:sz w:val="20"/>
      <w:szCs w:val="20"/>
      <w:lang w:eastAsia="en-US"/>
    </w:rPr>
  </w:style>
  <w:style w:type="character" w:customStyle="1" w:styleId="MenuOption">
    <w:name w:val="Menu Option"/>
    <w:basedOn w:val="DefaultParagraphFont"/>
    <w:rsid w:val="00AB66DE"/>
    <w:rPr>
      <w:b/>
      <w:smallCaps/>
    </w:rPr>
  </w:style>
  <w:style w:type="paragraph" w:customStyle="1" w:styleId="TableListNumber">
    <w:name w:val="Table List Number"/>
    <w:basedOn w:val="ListNumber"/>
    <w:rsid w:val="00AB66DE"/>
    <w:pPr>
      <w:numPr>
        <w:numId w:val="0"/>
      </w:numPr>
    </w:pPr>
  </w:style>
  <w:style w:type="paragraph" w:styleId="TOC4">
    <w:name w:val="toc 4"/>
    <w:basedOn w:val="TOCBase"/>
    <w:next w:val="Normal"/>
    <w:semiHidden/>
    <w:rsid w:val="00AB66DE"/>
    <w:pPr>
      <w:tabs>
        <w:tab w:val="right" w:leader="dot" w:pos="9071"/>
      </w:tabs>
      <w:ind w:left="1701"/>
    </w:pPr>
  </w:style>
  <w:style w:type="paragraph" w:customStyle="1" w:styleId="ListAlpha">
    <w:name w:val="List Alpha"/>
    <w:basedOn w:val="List"/>
    <w:rsid w:val="00AB66DE"/>
    <w:pPr>
      <w:numPr>
        <w:numId w:val="9"/>
      </w:numPr>
    </w:pPr>
  </w:style>
  <w:style w:type="paragraph" w:customStyle="1" w:styleId="ListAlpha2">
    <w:name w:val="List Alpha 2"/>
    <w:basedOn w:val="List2"/>
    <w:rsid w:val="00AB66DE"/>
    <w:pPr>
      <w:numPr>
        <w:numId w:val="8"/>
      </w:numPr>
    </w:pPr>
  </w:style>
  <w:style w:type="paragraph" w:styleId="List2">
    <w:name w:val="List 2"/>
    <w:basedOn w:val="BodyText"/>
    <w:rsid w:val="00AB66DE"/>
    <w:pPr>
      <w:tabs>
        <w:tab w:val="left" w:pos="680"/>
      </w:tabs>
      <w:spacing w:before="60" w:after="60"/>
      <w:ind w:left="680" w:hanging="340"/>
    </w:pPr>
  </w:style>
  <w:style w:type="paragraph" w:styleId="List3">
    <w:name w:val="List 3"/>
    <w:basedOn w:val="BodyText"/>
    <w:rsid w:val="00AB66DE"/>
    <w:pPr>
      <w:tabs>
        <w:tab w:val="left" w:pos="1021"/>
      </w:tabs>
      <w:spacing w:before="60" w:after="60"/>
      <w:ind w:left="1020" w:hanging="340"/>
    </w:pPr>
  </w:style>
  <w:style w:type="paragraph" w:styleId="List4">
    <w:name w:val="List 4"/>
    <w:basedOn w:val="BodyText"/>
    <w:rsid w:val="00AB66DE"/>
    <w:pPr>
      <w:tabs>
        <w:tab w:val="left" w:pos="1361"/>
      </w:tabs>
      <w:spacing w:before="60" w:after="60"/>
      <w:ind w:left="1361" w:hanging="340"/>
    </w:pPr>
  </w:style>
  <w:style w:type="paragraph" w:styleId="List5">
    <w:name w:val="List 5"/>
    <w:basedOn w:val="BodyText"/>
    <w:rsid w:val="00AB66DE"/>
    <w:pPr>
      <w:tabs>
        <w:tab w:val="left" w:pos="1701"/>
      </w:tabs>
      <w:spacing w:before="60" w:after="60"/>
      <w:ind w:left="1701" w:hanging="340"/>
    </w:pPr>
  </w:style>
  <w:style w:type="paragraph" w:styleId="ListBullet3">
    <w:name w:val="List Bullet 3"/>
    <w:basedOn w:val="List3"/>
    <w:rsid w:val="00AB66DE"/>
    <w:pPr>
      <w:numPr>
        <w:numId w:val="15"/>
      </w:numPr>
      <w:tabs>
        <w:tab w:val="clear" w:pos="1021"/>
      </w:tabs>
      <w:ind w:left="1037" w:hanging="357"/>
    </w:pPr>
  </w:style>
  <w:style w:type="paragraph" w:styleId="ListBullet4">
    <w:name w:val="List Bullet 4"/>
    <w:basedOn w:val="List4"/>
    <w:rsid w:val="00AB66DE"/>
    <w:pPr>
      <w:numPr>
        <w:numId w:val="3"/>
      </w:numPr>
    </w:pPr>
  </w:style>
  <w:style w:type="paragraph" w:styleId="ListBullet5">
    <w:name w:val="List Bullet 5"/>
    <w:basedOn w:val="List5"/>
    <w:rsid w:val="00AB66DE"/>
    <w:pPr>
      <w:numPr>
        <w:numId w:val="4"/>
      </w:numPr>
    </w:pPr>
  </w:style>
  <w:style w:type="paragraph" w:styleId="ListContinue2">
    <w:name w:val="List Continue 2"/>
    <w:basedOn w:val="List2"/>
    <w:rsid w:val="00AB66DE"/>
    <w:pPr>
      <w:ind w:firstLine="0"/>
    </w:pPr>
  </w:style>
  <w:style w:type="paragraph" w:styleId="ListContinue3">
    <w:name w:val="List Continue 3"/>
    <w:basedOn w:val="List3"/>
    <w:rsid w:val="00AB66DE"/>
    <w:pPr>
      <w:ind w:left="1021" w:firstLine="0"/>
    </w:pPr>
  </w:style>
  <w:style w:type="paragraph" w:styleId="ListContinue4">
    <w:name w:val="List Continue 4"/>
    <w:basedOn w:val="List4"/>
    <w:rsid w:val="00AB66DE"/>
    <w:pPr>
      <w:ind w:firstLine="0"/>
    </w:pPr>
  </w:style>
  <w:style w:type="paragraph" w:styleId="ListContinue5">
    <w:name w:val="List Continue 5"/>
    <w:basedOn w:val="List5"/>
    <w:rsid w:val="00AB66DE"/>
    <w:pPr>
      <w:ind w:firstLine="0"/>
    </w:pPr>
  </w:style>
  <w:style w:type="paragraph" w:styleId="ListNumber3">
    <w:name w:val="List Number 3"/>
    <w:basedOn w:val="List3"/>
    <w:rsid w:val="00AB66DE"/>
    <w:pPr>
      <w:numPr>
        <w:numId w:val="5"/>
      </w:numPr>
    </w:pPr>
  </w:style>
  <w:style w:type="paragraph" w:styleId="ListNumber4">
    <w:name w:val="List Number 4"/>
    <w:basedOn w:val="List4"/>
    <w:rsid w:val="00AB66DE"/>
    <w:pPr>
      <w:numPr>
        <w:numId w:val="6"/>
      </w:numPr>
    </w:pPr>
  </w:style>
  <w:style w:type="paragraph" w:styleId="ListNumber5">
    <w:name w:val="List Number 5"/>
    <w:basedOn w:val="List5"/>
    <w:rsid w:val="00AB66DE"/>
    <w:pPr>
      <w:numPr>
        <w:numId w:val="7"/>
      </w:numPr>
    </w:pPr>
  </w:style>
  <w:style w:type="paragraph" w:styleId="BlockText">
    <w:name w:val="Block Text"/>
    <w:basedOn w:val="Normal"/>
    <w:rsid w:val="00AB66DE"/>
    <w:pPr>
      <w:spacing w:after="120"/>
      <w:ind w:left="1440" w:right="1440"/>
    </w:pPr>
  </w:style>
  <w:style w:type="character" w:customStyle="1" w:styleId="Subscript">
    <w:name w:val="Subscript"/>
    <w:basedOn w:val="DefaultParagraphFont"/>
    <w:rsid w:val="00AB66DE"/>
    <w:rPr>
      <w:sz w:val="16"/>
      <w:vertAlign w:val="subscript"/>
    </w:rPr>
  </w:style>
  <w:style w:type="character" w:customStyle="1" w:styleId="Superscript">
    <w:name w:val="Superscript"/>
    <w:basedOn w:val="DefaultParagraphFont"/>
    <w:rsid w:val="00AB66DE"/>
    <w:rPr>
      <w:sz w:val="16"/>
      <w:vertAlign w:val="superscript"/>
    </w:rPr>
  </w:style>
  <w:style w:type="character" w:customStyle="1" w:styleId="Symbols">
    <w:name w:val="Symbols"/>
    <w:basedOn w:val="DefaultParagraphFont"/>
    <w:rsid w:val="00AB66DE"/>
    <w:rPr>
      <w:rFonts w:ascii="Symbol" w:hAnsi="Symbol"/>
    </w:rPr>
  </w:style>
  <w:style w:type="character" w:customStyle="1" w:styleId="MenuOptions">
    <w:name w:val="Menu Options"/>
    <w:basedOn w:val="DefaultParagraphFont"/>
    <w:rsid w:val="00AB66DE"/>
    <w:rPr>
      <w:rFonts w:ascii="Arial Narrow" w:hAnsi="Arial Narrow"/>
      <w:smallCaps/>
    </w:rPr>
  </w:style>
  <w:style w:type="character" w:customStyle="1" w:styleId="Buttons">
    <w:name w:val="Buttons"/>
    <w:basedOn w:val="DefaultParagraphFont"/>
    <w:rsid w:val="00AB66DE"/>
    <w:rPr>
      <w:b/>
    </w:rPr>
  </w:style>
  <w:style w:type="character" w:customStyle="1" w:styleId="Underlined">
    <w:name w:val="Underlined"/>
    <w:basedOn w:val="DefaultParagraphFont"/>
    <w:rsid w:val="00AB66DE"/>
    <w:rPr>
      <w:u w:val="single"/>
    </w:rPr>
  </w:style>
  <w:style w:type="paragraph" w:customStyle="1" w:styleId="TableBodyTextRight">
    <w:name w:val="Table Body Text Right"/>
    <w:basedOn w:val="TableBodyText"/>
    <w:rsid w:val="00AB66DE"/>
    <w:pPr>
      <w:widowControl w:val="0"/>
      <w:autoSpaceDE w:val="0"/>
      <w:autoSpaceDN w:val="0"/>
      <w:adjustRightInd w:val="0"/>
      <w:jc w:val="right"/>
    </w:pPr>
    <w:rPr>
      <w:rFonts w:cs="Arial"/>
      <w:szCs w:val="18"/>
    </w:rPr>
  </w:style>
  <w:style w:type="paragraph" w:customStyle="1" w:styleId="CopyrightText">
    <w:name w:val="Copyright Text"/>
    <w:basedOn w:val="BodyText"/>
    <w:rsid w:val="00AB66DE"/>
    <w:rPr>
      <w:sz w:val="18"/>
    </w:rPr>
  </w:style>
  <w:style w:type="paragraph" w:customStyle="1" w:styleId="BodySmallRight">
    <w:name w:val="Body Small Right"/>
    <w:basedOn w:val="BodyTextRight"/>
    <w:rsid w:val="00AB66DE"/>
    <w:rPr>
      <w:sz w:val="18"/>
      <w:szCs w:val="18"/>
    </w:rPr>
  </w:style>
  <w:style w:type="paragraph" w:customStyle="1" w:styleId="MarginEdition">
    <w:name w:val="Margin Edition"/>
    <w:basedOn w:val="MarginNote"/>
    <w:rsid w:val="00AB66DE"/>
    <w:pPr>
      <w:spacing w:before="0" w:after="0"/>
    </w:pPr>
    <w:rPr>
      <w:rFonts w:ascii="Times New Roman" w:hAnsi="Times New Roman"/>
      <w:color w:val="999999"/>
    </w:rPr>
  </w:style>
  <w:style w:type="paragraph" w:customStyle="1" w:styleId="Spacer">
    <w:name w:val="Spacer"/>
    <w:basedOn w:val="Normal"/>
    <w:rsid w:val="00AB66DE"/>
    <w:rPr>
      <w:sz w:val="2"/>
      <w:szCs w:val="2"/>
    </w:rPr>
  </w:style>
  <w:style w:type="character" w:customStyle="1" w:styleId="Small">
    <w:name w:val="Small"/>
    <w:basedOn w:val="DefaultParagraphFont"/>
    <w:rsid w:val="00AB66DE"/>
    <w:rPr>
      <w:sz w:val="16"/>
    </w:rPr>
  </w:style>
  <w:style w:type="paragraph" w:customStyle="1" w:styleId="WideTable">
    <w:name w:val="Wide Table"/>
    <w:basedOn w:val="Normal"/>
    <w:rsid w:val="00AB66DE"/>
    <w:pPr>
      <w:ind w:left="-1418"/>
    </w:pPr>
    <w:rPr>
      <w:sz w:val="2"/>
      <w:szCs w:val="2"/>
    </w:rPr>
  </w:style>
  <w:style w:type="character" w:styleId="PageNumber">
    <w:name w:val="page number"/>
    <w:basedOn w:val="DefaultParagraphFont"/>
    <w:rsid w:val="00AB66DE"/>
  </w:style>
  <w:style w:type="paragraph" w:styleId="Quote">
    <w:name w:val="Quote"/>
    <w:basedOn w:val="Heading1"/>
    <w:link w:val="QuoteChar"/>
    <w:qFormat/>
    <w:rsid w:val="00AB66DE"/>
    <w:rPr>
      <w:b w:val="0"/>
      <w:sz w:val="72"/>
      <w:szCs w:val="72"/>
      <w:lang w:val="en-NZ"/>
    </w:rPr>
  </w:style>
  <w:style w:type="character" w:customStyle="1" w:styleId="QuoteChar">
    <w:name w:val="Quote Char"/>
    <w:basedOn w:val="DefaultParagraphFont"/>
    <w:link w:val="Quote"/>
    <w:rsid w:val="00AB66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66DE"/>
    <w:pPr>
      <w:pageBreakBefore/>
    </w:pPr>
  </w:style>
  <w:style w:type="paragraph" w:customStyle="1" w:styleId="Border">
    <w:name w:val="Border"/>
    <w:basedOn w:val="Normal"/>
    <w:qFormat/>
    <w:rsid w:val="00AB66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66DE"/>
    <w:rPr>
      <w:b/>
      <w:bCs/>
      <w:i/>
      <w:iCs/>
      <w:color w:val="auto"/>
    </w:rPr>
  </w:style>
  <w:style w:type="paragraph" w:styleId="IntenseQuote">
    <w:name w:val="Intense Quote"/>
    <w:basedOn w:val="Normal"/>
    <w:next w:val="Normal"/>
    <w:link w:val="IntenseQuoteChar"/>
    <w:uiPriority w:val="30"/>
    <w:qFormat/>
    <w:rsid w:val="00AB66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66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66DE"/>
    <w:rPr>
      <w:smallCaps/>
      <w:color w:val="auto"/>
      <w:u w:val="single"/>
    </w:rPr>
  </w:style>
  <w:style w:type="character" w:styleId="IntenseReference">
    <w:name w:val="Intense Reference"/>
    <w:basedOn w:val="DefaultParagraphFont"/>
    <w:uiPriority w:val="32"/>
    <w:qFormat/>
    <w:rsid w:val="00AB66DE"/>
    <w:rPr>
      <w:b/>
      <w:bCs/>
      <w:smallCaps/>
      <w:color w:val="auto"/>
      <w:spacing w:val="5"/>
      <w:u w:val="single"/>
    </w:rPr>
  </w:style>
  <w:style w:type="paragraph" w:customStyle="1" w:styleId="2ColumnHeading">
    <w:name w:val="2Column Heading"/>
    <w:basedOn w:val="BodyText"/>
    <w:qFormat/>
    <w:rsid w:val="00AB66DE"/>
    <w:pPr>
      <w:spacing w:after="60"/>
      <w:ind w:left="-2268"/>
    </w:pPr>
    <w:rPr>
      <w:b/>
    </w:rPr>
  </w:style>
  <w:style w:type="paragraph" w:customStyle="1" w:styleId="Heading1TOC">
    <w:name w:val="Heading1 TOC"/>
    <w:basedOn w:val="Normal"/>
    <w:qFormat/>
    <w:rsid w:val="00AB66DE"/>
    <w:pPr>
      <w:spacing w:before="240" w:after="120"/>
    </w:pPr>
    <w:rPr>
      <w:rFonts w:ascii="Times New Roman" w:hAnsi="Times New Roman"/>
      <w:b/>
      <w:sz w:val="32"/>
    </w:rPr>
  </w:style>
  <w:style w:type="paragraph" w:customStyle="1" w:styleId="Heading2TOC">
    <w:name w:val="Heading2 TOC"/>
    <w:basedOn w:val="Normal"/>
    <w:qFormat/>
    <w:rsid w:val="00AB66DE"/>
    <w:pPr>
      <w:spacing w:before="240" w:after="60"/>
    </w:pPr>
    <w:rPr>
      <w:rFonts w:ascii="Times New Roman" w:hAnsi="Times New Roman"/>
      <w:b/>
      <w:sz w:val="28"/>
    </w:rPr>
  </w:style>
  <w:style w:type="paragraph" w:styleId="BalloonText">
    <w:name w:val="Balloon Text"/>
    <w:basedOn w:val="Normal"/>
    <w:link w:val="BalloonTextChar"/>
    <w:rsid w:val="00AB66DE"/>
    <w:rPr>
      <w:rFonts w:ascii="Tahoma" w:hAnsi="Tahoma" w:cs="Tahoma"/>
      <w:sz w:val="16"/>
      <w:szCs w:val="16"/>
    </w:rPr>
  </w:style>
  <w:style w:type="character" w:customStyle="1" w:styleId="BalloonTextChar">
    <w:name w:val="Balloon Text Char"/>
    <w:basedOn w:val="DefaultParagraphFont"/>
    <w:link w:val="BalloonText"/>
    <w:rsid w:val="00AB66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66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66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66DE"/>
    <w:rPr>
      <w:b/>
      <w:color w:val="660033"/>
      <w:spacing w:val="0"/>
    </w:rPr>
  </w:style>
  <w:style w:type="paragraph" w:customStyle="1" w:styleId="Nameditemlist">
    <w:name w:val="Named item list"/>
    <w:basedOn w:val="BodyText"/>
    <w:qFormat/>
    <w:rsid w:val="00AB66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1458</Words>
  <Characters>8889</Characters>
  <Application>Microsoft Office Word</Application>
  <DocSecurity>0</DocSecurity>
  <Lines>266</Lines>
  <Paragraphs>154</Paragraphs>
  <ScaleCrop>false</ScaleCrop>
  <Company>Author-it Software Corporation Ltd.</Company>
  <LinksUpToDate>false</LinksUpToDate>
  <CharactersWithSpaces>10288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PSPFRAU504B Conduct fraud risk assessments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2012-11-01T17:33:00Z</dcterms:created>
  <dcterms:modified xsi:type="dcterms:W3CDTF">2012-11-01T17:33:00Z</dcterms:modified>
</cp:coreProperties>
</file>