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4C73" w:rsidP="00CD4C73">
      <w:pPr>
        <w:pStyle w:val="Title"/>
      </w:pPr>
      <w:r>
        <w:fldChar w:fldCharType="begin"/>
      </w:r>
      <w:r>
        <w:instrText xml:space="preserve"> TITLE   \* MERGEFORMAT </w:instrText>
      </w:r>
      <w:r>
        <w:fldChar w:fldCharType="separate"/>
      </w:r>
      <w:r>
        <w:t>PSPFRAU502B Anticipate and detect possible fraud activity</w:t>
      </w:r>
      <w:r>
        <w:fldChar w:fldCharType="end"/>
      </w:r>
    </w:p>
    <w:p w:rsidR="00CD4C73" w:rsidP="00CD4C73">
      <w:pPr>
        <w:pStyle w:val="Version"/>
        <w:sectPr w:rsidSect="003827E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3827E2" w:rsidP="003827E2">
      <w:pPr>
        <w:pStyle w:val="SuperHeading"/>
      </w:pPr>
      <w:r w:rsidRPr="003827E2">
        <w:t>PSPFRAU502B Anticipate and detect possible fraud activity</w:t>
      </w:r>
    </w:p>
    <w:p w:rsidR="00000000" w:rsidRPr="003827E2" w:rsidP="003827E2">
      <w:pPr>
        <w:pStyle w:val="SuperHeading"/>
      </w:pPr>
    </w:p>
    <w:p w:rsidR="00000000" w:rsidRPr="003827E2" w:rsidP="003827E2">
      <w:pPr>
        <w:pStyle w:val="Heading1"/>
      </w:pPr>
      <w:bookmarkStart w:id="1" w:name="O_495075"/>
      <w:bookmarkEnd w:id="1"/>
      <w:r w:rsidRPr="003827E2">
        <w:t>Modification History</w:t>
      </w:r>
    </w:p>
    <w:tbl>
      <w:tblPr>
        <w:tblW w:w="0" w:type="auto"/>
        <w:tblLayout w:type="fixed"/>
        <w:tblCellMar>
          <w:left w:w="62" w:type="dxa"/>
          <w:right w:w="62" w:type="dxa"/>
        </w:tblCellMar>
        <w:tblLook w:val="0000"/>
      </w:tblPr>
      <w:tblGrid>
        <w:gridCol w:w="3052"/>
        <w:gridCol w:w="3052"/>
        <w:gridCol w:w="3052"/>
      </w:tblGrid>
      <w:tr w:rsidTr="00CD4C73">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27E2" w:rsidP="003827E2">
            <w:pPr>
              <w:pStyle w:val="BodyText"/>
            </w:pPr>
            <w:r w:rsidRPr="003827E2">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27E2" w:rsidP="003827E2">
            <w:pPr>
              <w:pStyle w:val="BodyText"/>
            </w:pPr>
            <w:r w:rsidRPr="003827E2">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27E2">
            <w:pPr>
              <w:pStyle w:val="BodyText"/>
              <w:rPr>
                <w:lang w:val="en-NZ"/>
              </w:rPr>
            </w:pPr>
            <w:r w:rsidRPr="003827E2">
              <w:rPr>
                <w:rStyle w:val="SpecialBold"/>
              </w:rPr>
              <w:t>Comments</w:t>
            </w:r>
          </w:p>
        </w:tc>
      </w:tr>
      <w:tr w:rsidTr="00CD4C73">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27E2">
            <w:pPr>
              <w:pStyle w:val="BodyText"/>
              <w:rPr>
                <w:lang w:val="en-NZ"/>
              </w:rPr>
            </w:pPr>
            <w:r w:rsidRPr="003827E2">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27E2">
            <w:pPr>
              <w:pStyle w:val="BodyText"/>
              <w:rPr>
                <w:lang w:val="en-NZ"/>
              </w:rPr>
            </w:pPr>
            <w:r w:rsidRPr="003827E2">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27E2">
            <w:pPr>
              <w:pStyle w:val="BodyText"/>
              <w:rPr>
                <w:lang w:val="en-NZ"/>
              </w:rPr>
            </w:pPr>
            <w:r w:rsidRPr="003827E2">
              <w:t xml:space="preserve">Unit descriptor edited. </w:t>
            </w:r>
          </w:p>
        </w:tc>
      </w:tr>
      <w:tr w:rsidTr="00CD4C73">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27E2">
            <w:pPr>
              <w:pStyle w:val="BodyText"/>
              <w:rPr>
                <w:lang w:val="en-NZ"/>
              </w:rPr>
            </w:pPr>
            <w:r w:rsidRPr="003827E2">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27E2">
            <w:pPr>
              <w:pStyle w:val="BodyText"/>
              <w:rPr>
                <w:lang w:val="en-NZ"/>
              </w:rPr>
            </w:pPr>
            <w:r w:rsidRPr="003827E2">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27E2">
            <w:pPr>
              <w:pStyle w:val="BodyText"/>
              <w:rPr>
                <w:lang w:val="en-NZ"/>
              </w:rPr>
            </w:pPr>
            <w:r w:rsidRPr="003827E2">
              <w:t>Layout adjusted. No changes to content.</w:t>
            </w:r>
          </w:p>
        </w:tc>
      </w:tr>
      <w:tr w:rsidTr="00CD4C73">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27E2">
            <w:pPr>
              <w:pStyle w:val="BodyText"/>
              <w:rPr>
                <w:lang w:val="en-NZ"/>
              </w:rPr>
            </w:pPr>
            <w:r w:rsidRPr="003827E2">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27E2">
            <w:pPr>
              <w:pStyle w:val="BodyText"/>
              <w:rPr>
                <w:lang w:val="en-NZ"/>
              </w:rPr>
            </w:pPr>
            <w:r w:rsidRPr="003827E2">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27E2" w:rsidP="003827E2">
            <w:pPr>
              <w:pStyle w:val="BodyText"/>
            </w:pPr>
            <w:r w:rsidRPr="003827E2">
              <w:t>Primary release.</w:t>
            </w:r>
          </w:p>
        </w:tc>
      </w:tr>
    </w:tbl>
    <w:p w:rsidR="00CD4C73" w:rsidP="003827E2">
      <w:pPr>
        <w:pStyle w:val="BodyText"/>
      </w:pPr>
    </w:p>
    <w:p w:rsidR="00CD4C73" w:rsidP="003827E2">
      <w:pPr>
        <w:pStyle w:val="BodyText"/>
      </w:pPr>
    </w:p>
    <w:p w:rsidR="00000000" w:rsidRPr="003827E2" w:rsidP="003827E2">
      <w:pPr>
        <w:pStyle w:val="Heading1"/>
      </w:pPr>
      <w:bookmarkStart w:id="2" w:name="O_495082"/>
      <w:bookmarkEnd w:id="2"/>
      <w:r w:rsidRPr="003827E2">
        <w:t>Unit Descriptor</w:t>
      </w:r>
    </w:p>
    <w:p w:rsidR="00000000" w:rsidRPr="003827E2" w:rsidP="003827E2">
      <w:pPr>
        <w:pStyle w:val="BodyText"/>
      </w:pPr>
      <w:r w:rsidRPr="003827E2">
        <w:t>This unit covers the activities required to undertake strategic analysis and detection of corruption or fraudulent activities. It includes h</w:t>
      </w:r>
      <w:r w:rsidRPr="003827E2">
        <w:t>ypothesising fraud and corruption situations, initiating projects to test newly identified risk areas, analysing trends in fraud and corruption activities and investigations, recommending courses of action and providing information on recommended actions.</w:t>
      </w:r>
    </w:p>
    <w:p w:rsidR="00000000" w:rsidRPr="003827E2" w:rsidP="003827E2">
      <w:pPr>
        <w:pStyle w:val="BodyText"/>
      </w:pPr>
      <w:r w:rsidRPr="003827E2">
        <w:rPr>
          <w:rStyle w:val="Emphasis"/>
        </w:rPr>
        <w:t>Fraud</w:t>
      </w:r>
      <w:r w:rsidRPr="003827E2">
        <w:t xml:space="preserve"> in the unit title incorporates both </w:t>
      </w:r>
      <w:r w:rsidRPr="003827E2">
        <w:rPr>
          <w:rStyle w:val="Emphasis"/>
        </w:rPr>
        <w:t>fraud and corruption</w:t>
      </w:r>
      <w:r w:rsidRPr="003827E2">
        <w:t xml:space="preserve">.  </w:t>
      </w:r>
    </w:p>
    <w:p w:rsidR="00000000" w:rsidRPr="003827E2" w:rsidP="003827E2">
      <w:pPr>
        <w:pStyle w:val="BodyText"/>
      </w:pPr>
      <w:r w:rsidRPr="003827E2">
        <w:t>In practice, anticipating and detecting possible fraud and corruption activity may overlap with other generalist or specialist public sector workplace activities such as acting ethically, pr</w:t>
      </w:r>
      <w:r w:rsidRPr="003827E2">
        <w:t>omoting compliance with legislation, delivering client services, conducting fraud and corruption risk assessment, etc.</w:t>
      </w:r>
    </w:p>
    <w:p w:rsidR="00000000" w:rsidRPr="003827E2" w:rsidP="003827E2">
      <w:pPr>
        <w:pStyle w:val="BodyText"/>
      </w:pPr>
      <w:r w:rsidRPr="003827E2">
        <w:t>This unit replaces and is equivalent to PSPFRAU502A Anticipate and detect possible fraud activity.</w:t>
      </w:r>
    </w:p>
    <w:p w:rsidR="00000000" w:rsidRPr="003827E2" w:rsidP="003827E2">
      <w:pPr>
        <w:pStyle w:val="BodyText"/>
      </w:pPr>
      <w:r w:rsidRPr="003827E2">
        <w:t xml:space="preserve">No licensing, legislative, regulatory </w:t>
      </w:r>
      <w:r w:rsidRPr="003827E2">
        <w:t>or certification requirements apply to this unit at the time of publication</w:t>
      </w:r>
    </w:p>
    <w:p w:rsidR="00000000" w:rsidRPr="003827E2" w:rsidP="003827E2">
      <w:pPr>
        <w:pStyle w:val="AllowPageBreak"/>
      </w:pPr>
    </w:p>
    <w:p w:rsidR="00000000" w:rsidRPr="003827E2" w:rsidP="003827E2">
      <w:pPr>
        <w:pStyle w:val="Heading1"/>
      </w:pPr>
      <w:bookmarkStart w:id="3" w:name="O_495088"/>
      <w:bookmarkEnd w:id="3"/>
      <w:r w:rsidRPr="003827E2">
        <w:t>Application of the Unit</w:t>
      </w:r>
    </w:p>
    <w:p w:rsidR="00000000" w:rsidRPr="003827E2" w:rsidP="003827E2">
      <w:pPr>
        <w:pStyle w:val="BodyText"/>
      </w:pPr>
      <w:r w:rsidRPr="003827E2">
        <w:t>Not applicable.</w:t>
      </w:r>
    </w:p>
    <w:p w:rsidR="00000000" w:rsidRPr="003827E2" w:rsidP="003827E2">
      <w:pPr>
        <w:pStyle w:val="AllowPageBreak"/>
      </w:pPr>
    </w:p>
    <w:p w:rsidR="00000000" w:rsidRPr="003827E2" w:rsidP="003827E2">
      <w:pPr>
        <w:pStyle w:val="Heading1"/>
      </w:pPr>
      <w:bookmarkStart w:id="4" w:name="O_495077"/>
      <w:bookmarkEnd w:id="4"/>
      <w:r w:rsidRPr="003827E2">
        <w:t>Licensing/Regulatory Information</w:t>
      </w:r>
    </w:p>
    <w:p w:rsidR="00000000" w:rsidRPr="003827E2" w:rsidP="003827E2">
      <w:pPr>
        <w:pStyle w:val="BodyText"/>
      </w:pPr>
      <w:r w:rsidRPr="003827E2">
        <w:t>Not applicable.</w:t>
      </w:r>
    </w:p>
    <w:p w:rsidR="00000000" w:rsidRPr="003827E2" w:rsidP="003827E2">
      <w:pPr>
        <w:pStyle w:val="AllowPageBreak"/>
      </w:pPr>
    </w:p>
    <w:p w:rsidR="00000000" w:rsidRPr="003827E2" w:rsidP="003827E2">
      <w:pPr>
        <w:pStyle w:val="Heading1"/>
      </w:pPr>
      <w:bookmarkStart w:id="5" w:name="O_495076"/>
      <w:bookmarkEnd w:id="5"/>
      <w:r w:rsidRPr="003827E2">
        <w:t>Pre-Requisites</w:t>
      </w:r>
    </w:p>
    <w:p w:rsidR="00000000" w:rsidRPr="003827E2" w:rsidP="003827E2">
      <w:pPr>
        <w:pStyle w:val="BodyText"/>
      </w:pPr>
      <w:r w:rsidRPr="003827E2">
        <w:t>Not applicable.</w:t>
      </w:r>
    </w:p>
    <w:p w:rsidR="00000000" w:rsidRPr="003827E2" w:rsidP="003827E2">
      <w:pPr>
        <w:pStyle w:val="AllowPageBreak"/>
      </w:pPr>
    </w:p>
    <w:p w:rsidR="00000000" w:rsidRPr="003827E2" w:rsidP="003827E2">
      <w:pPr>
        <w:pStyle w:val="Heading1"/>
      </w:pPr>
      <w:bookmarkStart w:id="6" w:name="O_495084"/>
      <w:bookmarkEnd w:id="6"/>
      <w:r w:rsidRPr="003827E2">
        <w:t>Employability Skills Information</w:t>
      </w:r>
    </w:p>
    <w:p w:rsidR="00000000" w:rsidRPr="003827E2" w:rsidP="003827E2">
      <w:pPr>
        <w:pStyle w:val="BodyText"/>
      </w:pPr>
      <w:r w:rsidRPr="003827E2">
        <w:t>This unit contains employability skills.</w:t>
      </w:r>
    </w:p>
    <w:p w:rsidR="00000000" w:rsidRPr="003827E2" w:rsidP="003827E2">
      <w:pPr>
        <w:pStyle w:val="AllowPageBreak"/>
      </w:pPr>
    </w:p>
    <w:p w:rsidR="00000000" w:rsidRPr="003827E2" w:rsidP="003827E2">
      <w:pPr>
        <w:pStyle w:val="Heading1"/>
      </w:pPr>
      <w:bookmarkStart w:id="7" w:name="O_495085"/>
      <w:bookmarkEnd w:id="7"/>
      <w:r w:rsidRPr="003827E2">
        <w:t>Elements and Performance Criteria Pre-Content</w:t>
      </w:r>
    </w:p>
    <w:tbl>
      <w:tblPr>
        <w:tblW w:w="9322" w:type="dxa"/>
        <w:tblLayout w:type="fixed"/>
        <w:tblCellMar>
          <w:left w:w="62" w:type="dxa"/>
          <w:right w:w="62" w:type="dxa"/>
        </w:tblCellMar>
        <w:tblLook w:val="0000"/>
      </w:tblPr>
      <w:tblGrid>
        <w:gridCol w:w="2660"/>
        <w:gridCol w:w="6662"/>
      </w:tblGrid>
      <w:tr w:rsidTr="00CD4C7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827E2">
            <w:pPr>
              <w:pStyle w:val="BodyText"/>
              <w:rPr>
                <w:lang w:val="en-NZ"/>
              </w:rPr>
            </w:pPr>
            <w:r w:rsidRPr="003827E2">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3827E2" w:rsidP="003827E2">
            <w:pPr>
              <w:pStyle w:val="BodyText"/>
            </w:pPr>
            <w:r w:rsidRPr="003827E2">
              <w:t>Together, performance criteria specify the requi</w:t>
            </w:r>
            <w:r w:rsidRPr="003827E2">
              <w:t xml:space="preserve">rements for competent performance. Text in </w:t>
            </w:r>
            <w:r w:rsidRPr="003827E2">
              <w:rPr>
                <w:rStyle w:val="BoldandItalics"/>
              </w:rPr>
              <w:t>bold italics</w:t>
            </w:r>
            <w:r w:rsidRPr="003827E2">
              <w:t xml:space="preserve">  is explained in the Range Statement following.</w:t>
            </w:r>
          </w:p>
        </w:tc>
      </w:tr>
    </w:tbl>
    <w:p w:rsidR="00000000" w:rsidRPr="003827E2" w:rsidP="003827E2">
      <w:pPr>
        <w:pStyle w:val="BodyText"/>
      </w:pPr>
    </w:p>
    <w:p w:rsidR="00000000" w:rsidRPr="003827E2" w:rsidP="003827E2">
      <w:pPr>
        <w:pStyle w:val="AllowPageBreak"/>
      </w:pPr>
    </w:p>
    <w:p w:rsidR="00000000" w:rsidRPr="003827E2" w:rsidP="003827E2">
      <w:pPr>
        <w:pStyle w:val="Heading1"/>
      </w:pPr>
      <w:bookmarkStart w:id="8" w:name="O_495086"/>
      <w:bookmarkEnd w:id="8"/>
      <w:r w:rsidRPr="003827E2">
        <w:t>Elements and Performance Criteria</w:t>
      </w:r>
    </w:p>
    <w:tbl>
      <w:tblPr>
        <w:tblW w:w="9322" w:type="dxa"/>
        <w:tblLayout w:type="fixed"/>
        <w:tblCellMar>
          <w:left w:w="62" w:type="dxa"/>
          <w:right w:w="62" w:type="dxa"/>
        </w:tblCellMar>
        <w:tblLook w:val="0000"/>
      </w:tblPr>
      <w:tblGrid>
        <w:gridCol w:w="2660"/>
        <w:gridCol w:w="6662"/>
      </w:tblGrid>
      <w:tr w:rsidTr="00CD4C73">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3827E2" w:rsidP="003827E2">
            <w:pPr>
              <w:pStyle w:val="BodyText"/>
            </w:pPr>
            <w:r w:rsidRPr="003827E2">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3827E2">
            <w:pPr>
              <w:pStyle w:val="BodyText"/>
              <w:rPr>
                <w:lang w:val="en-NZ"/>
              </w:rPr>
            </w:pPr>
            <w:r w:rsidRPr="003827E2">
              <w:rPr>
                <w:rStyle w:val="SpecialBold"/>
              </w:rPr>
              <w:t>PERFORMANCE CRITERIA</w:t>
            </w:r>
          </w:p>
        </w:tc>
      </w:tr>
      <w:tr w:rsidTr="00CD4C7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827E2">
            <w:pPr>
              <w:pStyle w:val="List"/>
              <w:rPr>
                <w:lang w:val="en-NZ"/>
              </w:rPr>
            </w:pPr>
            <w:r w:rsidRPr="003827E2">
              <w:rPr>
                <w:rStyle w:val="SpecialBold"/>
              </w:rPr>
              <w:t>1</w:t>
            </w:r>
            <w:r w:rsidRPr="003827E2">
              <w:t xml:space="preserve">.  </w:t>
            </w:r>
            <w:r w:rsidRPr="003827E2">
              <w:tab/>
            </w:r>
            <w:r w:rsidRPr="003827E2">
              <w:rPr>
                <w:rStyle w:val="SpecialBold"/>
              </w:rPr>
              <w:t>Hypothesise fraud and corruption situations</w:t>
            </w:r>
          </w:p>
        </w:tc>
        <w:tc>
          <w:tcPr>
            <w:tcW w:w="6662" w:type="dxa"/>
            <w:tcBorders>
              <w:top w:val="nil"/>
              <w:left w:val="nil"/>
              <w:bottom w:val="nil"/>
              <w:right w:val="nil"/>
            </w:tcBorders>
            <w:tcMar>
              <w:top w:w="0" w:type="dxa"/>
              <w:left w:w="62" w:type="dxa"/>
              <w:bottom w:w="0" w:type="dxa"/>
              <w:right w:w="62" w:type="dxa"/>
            </w:tcMar>
          </w:tcPr>
          <w:p w:rsidR="00000000" w:rsidRPr="003827E2" w:rsidP="003827E2">
            <w:pPr>
              <w:pStyle w:val="List"/>
            </w:pPr>
            <w:r w:rsidRPr="003827E2">
              <w:t>1.1</w:t>
            </w:r>
            <w:r w:rsidRPr="003827E2">
              <w:tab/>
            </w:r>
            <w:r w:rsidRPr="003827E2">
              <w:t>Hypotheses are formulated and guidelines specified for input into information system design.</w:t>
            </w:r>
          </w:p>
          <w:p w:rsidR="00000000" w:rsidRPr="003827E2" w:rsidP="003827E2">
            <w:pPr>
              <w:pStyle w:val="List"/>
            </w:pPr>
            <w:r w:rsidRPr="003827E2">
              <w:t>1.2</w:t>
            </w:r>
            <w:r w:rsidRPr="003827E2">
              <w:tab/>
              <w:t xml:space="preserve">Data and information is collected from a variety of sources and </w:t>
            </w:r>
            <w:r w:rsidRPr="003827E2">
              <w:rPr>
                <w:rStyle w:val="BoldandItalics"/>
              </w:rPr>
              <w:t xml:space="preserve">methods </w:t>
            </w:r>
            <w:r w:rsidRPr="003827E2">
              <w:t xml:space="preserve">including fraud/corruption records, audit records, fraud/corruption </w:t>
            </w:r>
            <w:r w:rsidRPr="003827E2">
              <w:rPr>
                <w:rStyle w:val="BoldandItalics"/>
              </w:rPr>
              <w:t xml:space="preserve">risk </w:t>
            </w:r>
            <w:r w:rsidRPr="003827E2">
              <w:t>assessment, pa</w:t>
            </w:r>
            <w:r w:rsidRPr="003827E2">
              <w:t>st investigations and other organisations.</w:t>
            </w:r>
          </w:p>
          <w:p w:rsidR="00000000" w:rsidP="003827E2">
            <w:pPr>
              <w:pStyle w:val="List"/>
              <w:rPr>
                <w:lang w:val="en-NZ"/>
              </w:rPr>
            </w:pPr>
            <w:r w:rsidRPr="003827E2">
              <w:t>1.3</w:t>
            </w:r>
            <w:r w:rsidRPr="003827E2">
              <w:tab/>
              <w:t>Hypothetical fraud and corruption situations are used to identify new potential risk areas.</w:t>
            </w:r>
          </w:p>
        </w:tc>
      </w:tr>
      <w:tr w:rsidTr="00CD4C7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827E2">
            <w:pPr>
              <w:pStyle w:val="List"/>
              <w:rPr>
                <w:lang w:val="en-NZ"/>
              </w:rPr>
            </w:pPr>
            <w:r w:rsidRPr="003827E2">
              <w:rPr>
                <w:rStyle w:val="SpecialBold"/>
              </w:rPr>
              <w:t>2</w:t>
            </w:r>
            <w:r w:rsidRPr="003827E2">
              <w:t xml:space="preserve">.  </w:t>
            </w:r>
            <w:r w:rsidRPr="003827E2">
              <w:tab/>
            </w:r>
            <w:r w:rsidRPr="003827E2">
              <w:rPr>
                <w:rStyle w:val="SpecialBold"/>
              </w:rPr>
              <w:t>Initiate projects to test newly identified risk areas</w:t>
            </w:r>
          </w:p>
        </w:tc>
        <w:tc>
          <w:tcPr>
            <w:tcW w:w="6662" w:type="dxa"/>
            <w:tcBorders>
              <w:top w:val="nil"/>
              <w:left w:val="nil"/>
              <w:bottom w:val="nil"/>
              <w:right w:val="nil"/>
            </w:tcBorders>
            <w:tcMar>
              <w:top w:w="0" w:type="dxa"/>
              <w:left w:w="62" w:type="dxa"/>
              <w:bottom w:w="0" w:type="dxa"/>
              <w:right w:w="62" w:type="dxa"/>
            </w:tcMar>
          </w:tcPr>
          <w:p w:rsidR="00000000" w:rsidRPr="003827E2" w:rsidP="003827E2">
            <w:pPr>
              <w:pStyle w:val="List"/>
            </w:pPr>
            <w:r w:rsidRPr="003827E2">
              <w:t>2.1</w:t>
            </w:r>
            <w:r w:rsidRPr="003827E2">
              <w:tab/>
              <w:t xml:space="preserve">New </w:t>
            </w:r>
            <w:r w:rsidRPr="003827E2">
              <w:rPr>
                <w:rStyle w:val="BoldandItalics"/>
              </w:rPr>
              <w:t xml:space="preserve">projects </w:t>
            </w:r>
            <w:r w:rsidRPr="003827E2">
              <w:t xml:space="preserve">are initiated and parameters defined in </w:t>
            </w:r>
            <w:r w:rsidRPr="003827E2">
              <w:t>accordance with fraud/corruption control plan.</w:t>
            </w:r>
          </w:p>
          <w:p w:rsidR="00000000" w:rsidRPr="003827E2" w:rsidP="003827E2">
            <w:pPr>
              <w:pStyle w:val="List"/>
            </w:pPr>
            <w:r w:rsidRPr="003827E2">
              <w:t>2.2</w:t>
            </w:r>
            <w:r w:rsidRPr="003827E2">
              <w:tab/>
              <w:t>Significance and value of the project are justified and are consistent with the fraud/corruption control strategy and plan and strategy.</w:t>
            </w:r>
          </w:p>
          <w:p w:rsidR="00000000" w:rsidRPr="003827E2" w:rsidP="003827E2">
            <w:pPr>
              <w:pStyle w:val="List"/>
            </w:pPr>
            <w:r w:rsidRPr="003827E2">
              <w:t>2.3</w:t>
            </w:r>
            <w:r w:rsidRPr="003827E2">
              <w:tab/>
              <w:t>Previous and ongoing activities in the relevant areas are review</w:t>
            </w:r>
            <w:r w:rsidRPr="003827E2">
              <w:t>ed for their contributions to the outcomes of the project.</w:t>
            </w:r>
          </w:p>
          <w:p w:rsidR="00000000" w:rsidP="003827E2">
            <w:pPr>
              <w:pStyle w:val="List"/>
              <w:rPr>
                <w:lang w:val="en-NZ"/>
              </w:rPr>
            </w:pPr>
            <w:r w:rsidRPr="003827E2">
              <w:t>2.4</w:t>
            </w:r>
            <w:r w:rsidRPr="003827E2">
              <w:tab/>
              <w:t>Project activities are designed utilising current knowledge, methods and techniques for the identification of risks.</w:t>
            </w:r>
          </w:p>
        </w:tc>
      </w:tr>
      <w:tr w:rsidTr="00CD4C7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827E2">
            <w:pPr>
              <w:pStyle w:val="List"/>
              <w:rPr>
                <w:lang w:val="en-NZ"/>
              </w:rPr>
            </w:pPr>
            <w:r w:rsidRPr="003827E2">
              <w:rPr>
                <w:rStyle w:val="SpecialBold"/>
              </w:rPr>
              <w:t>3</w:t>
            </w:r>
            <w:r w:rsidRPr="003827E2">
              <w:t xml:space="preserve">.  </w:t>
            </w:r>
            <w:r w:rsidRPr="003827E2">
              <w:tab/>
            </w:r>
            <w:r w:rsidRPr="003827E2">
              <w:rPr>
                <w:rStyle w:val="SpecialBold"/>
              </w:rPr>
              <w:t>Analyse trends in fraud and corruption activities and investigations</w:t>
            </w:r>
          </w:p>
        </w:tc>
        <w:tc>
          <w:tcPr>
            <w:tcW w:w="6662" w:type="dxa"/>
            <w:tcBorders>
              <w:top w:val="nil"/>
              <w:left w:val="nil"/>
              <w:bottom w:val="nil"/>
              <w:right w:val="nil"/>
            </w:tcBorders>
            <w:tcMar>
              <w:top w:w="0" w:type="dxa"/>
              <w:left w:w="62" w:type="dxa"/>
              <w:bottom w:w="0" w:type="dxa"/>
              <w:right w:w="62" w:type="dxa"/>
            </w:tcMar>
          </w:tcPr>
          <w:p w:rsidR="00000000" w:rsidRPr="003827E2" w:rsidP="003827E2">
            <w:pPr>
              <w:pStyle w:val="List"/>
            </w:pPr>
            <w:r w:rsidRPr="003827E2">
              <w:t>3</w:t>
            </w:r>
            <w:r w:rsidRPr="003827E2">
              <w:t>.1</w:t>
            </w:r>
            <w:r w:rsidRPr="003827E2">
              <w:tab/>
              <w:t>All project and investigation outcomes are reviewed to identify emerging patterns of behaviour reflected in data.</w:t>
            </w:r>
          </w:p>
          <w:p w:rsidR="00000000" w:rsidRPr="003827E2" w:rsidP="003827E2">
            <w:pPr>
              <w:pStyle w:val="List"/>
            </w:pPr>
            <w:r w:rsidRPr="003827E2">
              <w:t>3.2</w:t>
            </w:r>
            <w:r w:rsidRPr="003827E2">
              <w:tab/>
              <w:t>Conclusions are drawn from data and statistical information as well as qualitative sources including information gathered and reports f</w:t>
            </w:r>
            <w:r w:rsidRPr="003827E2">
              <w:t>rom previous investigations.</w:t>
            </w:r>
          </w:p>
          <w:p w:rsidR="00000000" w:rsidRPr="003827E2" w:rsidP="003827E2">
            <w:pPr>
              <w:pStyle w:val="List"/>
            </w:pPr>
            <w:r w:rsidRPr="003827E2">
              <w:t>3.3</w:t>
            </w:r>
            <w:r w:rsidRPr="003827E2">
              <w:tab/>
              <w:t>Risks and strengths are identified as a result of a project's analysis of trends inside and outside the organisation.</w:t>
            </w:r>
          </w:p>
          <w:p w:rsidR="00000000" w:rsidRPr="003827E2" w:rsidP="003827E2">
            <w:pPr>
              <w:pStyle w:val="List"/>
            </w:pPr>
            <w:r w:rsidRPr="003827E2">
              <w:t>3.4</w:t>
            </w:r>
            <w:r w:rsidRPr="003827E2">
              <w:tab/>
              <w:t>Discussion with colleagues and other experienced organisational staff is used as additional source of</w:t>
            </w:r>
            <w:r w:rsidRPr="003827E2">
              <w:t xml:space="preserve"> information on trends.</w:t>
            </w:r>
          </w:p>
          <w:p w:rsidR="00000000" w:rsidRPr="003827E2" w:rsidP="003827E2">
            <w:pPr>
              <w:pStyle w:val="List"/>
            </w:pPr>
            <w:r w:rsidRPr="003827E2">
              <w:t>3.5</w:t>
            </w:r>
            <w:r w:rsidRPr="003827E2">
              <w:tab/>
              <w:t>Networks are used to provide useful contacts and information for investigation in accordance with</w:t>
            </w:r>
            <w:r w:rsidRPr="003827E2">
              <w:rPr>
                <w:rStyle w:val="BoldandItalics"/>
              </w:rPr>
              <w:t xml:space="preserve"> legislative requirements.</w:t>
            </w:r>
          </w:p>
          <w:p w:rsidR="00000000" w:rsidP="003827E2">
            <w:pPr>
              <w:pStyle w:val="List"/>
              <w:rPr>
                <w:lang w:val="en-NZ"/>
              </w:rPr>
            </w:pPr>
            <w:r w:rsidRPr="003827E2">
              <w:t>3.6</w:t>
            </w:r>
            <w:r w:rsidRPr="003827E2">
              <w:tab/>
            </w:r>
            <w:r w:rsidRPr="003827E2">
              <w:t>Performance reports are produced which identify trends in fraud and corruption activities and investigations.</w:t>
            </w:r>
          </w:p>
        </w:tc>
      </w:tr>
      <w:tr w:rsidTr="00CD4C7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827E2">
            <w:pPr>
              <w:pStyle w:val="List"/>
              <w:rPr>
                <w:lang w:val="en-NZ"/>
              </w:rPr>
            </w:pPr>
            <w:r w:rsidRPr="003827E2">
              <w:rPr>
                <w:rStyle w:val="SpecialBold"/>
              </w:rPr>
              <w:t>4</w:t>
            </w:r>
            <w:r w:rsidRPr="003827E2">
              <w:t xml:space="preserve">.  </w:t>
            </w:r>
            <w:r w:rsidRPr="003827E2">
              <w:tab/>
            </w:r>
            <w:r w:rsidRPr="003827E2">
              <w:rPr>
                <w:rStyle w:val="SpecialBold"/>
              </w:rPr>
              <w:t>Recommend course</w:t>
            </w:r>
            <w:r w:rsidRPr="003827E2">
              <w:t>/</w:t>
            </w:r>
            <w:r w:rsidRPr="003827E2">
              <w:rPr>
                <w:rStyle w:val="SpecialBold"/>
              </w:rPr>
              <w:t>s of action</w:t>
            </w:r>
          </w:p>
        </w:tc>
        <w:tc>
          <w:tcPr>
            <w:tcW w:w="6662" w:type="dxa"/>
            <w:tcBorders>
              <w:top w:val="nil"/>
              <w:left w:val="nil"/>
              <w:bottom w:val="nil"/>
              <w:right w:val="nil"/>
            </w:tcBorders>
            <w:tcMar>
              <w:top w:w="0" w:type="dxa"/>
              <w:left w:w="62" w:type="dxa"/>
              <w:bottom w:w="0" w:type="dxa"/>
              <w:right w:w="62" w:type="dxa"/>
            </w:tcMar>
          </w:tcPr>
          <w:p w:rsidR="00000000" w:rsidRPr="003827E2" w:rsidP="003827E2">
            <w:pPr>
              <w:pStyle w:val="List"/>
            </w:pPr>
            <w:r w:rsidRPr="003827E2">
              <w:t>4.1</w:t>
            </w:r>
            <w:r w:rsidRPr="003827E2">
              <w:tab/>
              <w:t xml:space="preserve">All relevant elements are considered during </w:t>
            </w:r>
            <w:r w:rsidRPr="003827E2">
              <w:rPr>
                <w:rStyle w:val="BoldandItalics"/>
              </w:rPr>
              <w:t>evaluation</w:t>
            </w:r>
            <w:r w:rsidRPr="003827E2">
              <w:t xml:space="preserve">, prior to recommending course of </w:t>
            </w:r>
            <w:r w:rsidRPr="003827E2">
              <w:rPr>
                <w:rStyle w:val="BoldandItalics"/>
              </w:rPr>
              <w:t>action</w:t>
            </w:r>
            <w:r w:rsidRPr="003827E2">
              <w:rPr>
                <w:rStyle w:val="Emphasis"/>
              </w:rPr>
              <w:t>.</w:t>
            </w:r>
          </w:p>
          <w:p w:rsidR="00000000" w:rsidRPr="003827E2" w:rsidP="003827E2">
            <w:pPr>
              <w:pStyle w:val="List"/>
            </w:pPr>
            <w:r w:rsidRPr="003827E2">
              <w:t>4.2</w:t>
            </w:r>
            <w:r w:rsidRPr="003827E2">
              <w:tab/>
              <w:t>Investi</w:t>
            </w:r>
            <w:r w:rsidRPr="003827E2">
              <w:t>gation targets are identified, and suggestions for future areas of investigation are referred to management.</w:t>
            </w:r>
          </w:p>
          <w:p w:rsidR="00000000" w:rsidRPr="003827E2" w:rsidP="003827E2">
            <w:pPr>
              <w:pStyle w:val="List"/>
            </w:pPr>
            <w:r w:rsidRPr="003827E2">
              <w:t>4.3</w:t>
            </w:r>
            <w:r w:rsidRPr="003827E2">
              <w:tab/>
            </w:r>
            <w:r w:rsidRPr="003827E2">
              <w:rPr>
                <w:rStyle w:val="BoldandItalics"/>
              </w:rPr>
              <w:t xml:space="preserve">Recommendations </w:t>
            </w:r>
            <w:r w:rsidRPr="003827E2">
              <w:t>are made for changes to organisational controls and initiatives to target potential trouble spots.</w:t>
            </w:r>
          </w:p>
          <w:p w:rsidR="00000000" w:rsidRPr="003827E2" w:rsidP="003827E2">
            <w:pPr>
              <w:pStyle w:val="List"/>
            </w:pPr>
            <w:r w:rsidRPr="003827E2">
              <w:t>4.4</w:t>
            </w:r>
            <w:r w:rsidRPr="003827E2">
              <w:tab/>
              <w:t>Data is checked for reli</w:t>
            </w:r>
            <w:r w:rsidRPr="003827E2">
              <w:t>ability, and practical recommendations are made providing management with feasible options.</w:t>
            </w:r>
          </w:p>
          <w:p w:rsidR="00000000" w:rsidRPr="003827E2" w:rsidP="003827E2">
            <w:pPr>
              <w:pStyle w:val="List"/>
            </w:pPr>
            <w:r w:rsidRPr="003827E2">
              <w:t>4.5</w:t>
            </w:r>
            <w:r w:rsidRPr="003827E2">
              <w:tab/>
              <w:t>Management issues and concerns are balanced against public interest and political concerns when framing recommendations.</w:t>
            </w:r>
          </w:p>
          <w:p w:rsidR="00000000" w:rsidP="003827E2">
            <w:pPr>
              <w:pStyle w:val="List"/>
              <w:rPr>
                <w:lang w:val="en-NZ"/>
              </w:rPr>
            </w:pPr>
            <w:r w:rsidRPr="003827E2">
              <w:t>4.6</w:t>
            </w:r>
            <w:r w:rsidRPr="003827E2">
              <w:tab/>
              <w:t>Recommendations are made that balan</w:t>
            </w:r>
            <w:r w:rsidRPr="003827E2">
              <w:t>ce operational demands against contributions to strategic plan.</w:t>
            </w:r>
          </w:p>
        </w:tc>
      </w:tr>
      <w:tr w:rsidTr="00CD4C7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827E2">
            <w:pPr>
              <w:pStyle w:val="List"/>
              <w:rPr>
                <w:lang w:val="en-NZ"/>
              </w:rPr>
            </w:pPr>
            <w:r w:rsidRPr="003827E2">
              <w:rPr>
                <w:rStyle w:val="SpecialBold"/>
              </w:rPr>
              <w:t>5</w:t>
            </w:r>
            <w:r w:rsidRPr="003827E2">
              <w:t xml:space="preserve">.  </w:t>
            </w:r>
            <w:r w:rsidRPr="003827E2">
              <w:tab/>
            </w:r>
            <w:r w:rsidRPr="003827E2">
              <w:rPr>
                <w:rStyle w:val="SpecialBold"/>
              </w:rPr>
              <w:t>Provide information on recommended actions</w:t>
            </w:r>
          </w:p>
        </w:tc>
        <w:tc>
          <w:tcPr>
            <w:tcW w:w="6662" w:type="dxa"/>
            <w:tcBorders>
              <w:top w:val="nil"/>
              <w:left w:val="nil"/>
              <w:bottom w:val="nil"/>
              <w:right w:val="nil"/>
            </w:tcBorders>
            <w:tcMar>
              <w:top w:w="0" w:type="dxa"/>
              <w:left w:w="62" w:type="dxa"/>
              <w:bottom w:w="0" w:type="dxa"/>
              <w:right w:w="62" w:type="dxa"/>
            </w:tcMar>
          </w:tcPr>
          <w:p w:rsidR="00000000" w:rsidRPr="003827E2" w:rsidP="003827E2">
            <w:pPr>
              <w:pStyle w:val="List"/>
            </w:pPr>
            <w:r w:rsidRPr="003827E2">
              <w:t>5.1</w:t>
            </w:r>
            <w:r w:rsidRPr="003827E2">
              <w:tab/>
              <w:t xml:space="preserve">Reports are provided containing suggestions for actions and sufficient supporting information for management to adequately resource future </w:t>
            </w:r>
            <w:r w:rsidRPr="003827E2">
              <w:t>projects.</w:t>
            </w:r>
          </w:p>
          <w:p w:rsidR="00000000" w:rsidRPr="003827E2" w:rsidP="003827E2">
            <w:pPr>
              <w:pStyle w:val="List"/>
            </w:pPr>
            <w:r w:rsidRPr="003827E2">
              <w:t>5.2</w:t>
            </w:r>
            <w:r w:rsidRPr="003827E2">
              <w:tab/>
              <w:t>Advice is provided regarding appropriate controls and initiatives required to address fraud and corruption.</w:t>
            </w:r>
          </w:p>
          <w:p w:rsidR="00000000" w:rsidRPr="003827E2" w:rsidP="003827E2">
            <w:pPr>
              <w:pStyle w:val="List"/>
            </w:pPr>
            <w:r w:rsidRPr="003827E2">
              <w:t>5.3</w:t>
            </w:r>
            <w:r w:rsidRPr="003827E2">
              <w:tab/>
              <w:t>Operational briefings and other presentations are prepared and given as required.</w:t>
            </w:r>
          </w:p>
          <w:p w:rsidR="00000000" w:rsidRPr="003827E2" w:rsidP="003827E2">
            <w:pPr>
              <w:pStyle w:val="List"/>
            </w:pPr>
            <w:r w:rsidRPr="003827E2">
              <w:t>5.4</w:t>
            </w:r>
            <w:r w:rsidRPr="003827E2">
              <w:tab/>
              <w:t xml:space="preserve">Ad hoc opportunities to explain operational </w:t>
            </w:r>
            <w:r w:rsidRPr="003827E2">
              <w:t>risks are taken advantage of, as they arise.</w:t>
            </w:r>
          </w:p>
          <w:p w:rsidR="00000000" w:rsidRPr="003827E2" w:rsidP="003827E2">
            <w:pPr>
              <w:pStyle w:val="List"/>
            </w:pPr>
            <w:r w:rsidRPr="003827E2">
              <w:t>5.5</w:t>
            </w:r>
            <w:r w:rsidRPr="003827E2">
              <w:tab/>
              <w:t>Information is given in terms that clearly explain the nature of possible risk, with possible solutions outlined.</w:t>
            </w:r>
          </w:p>
        </w:tc>
      </w:tr>
    </w:tbl>
    <w:p w:rsidR="00000000" w:rsidRPr="003827E2" w:rsidP="003827E2">
      <w:pPr>
        <w:pStyle w:val="BodyText"/>
      </w:pPr>
    </w:p>
    <w:p w:rsidR="00000000" w:rsidRPr="003827E2" w:rsidP="003827E2">
      <w:pPr>
        <w:pStyle w:val="AllowPageBreak"/>
      </w:pPr>
    </w:p>
    <w:p w:rsidR="00000000" w:rsidRPr="003827E2" w:rsidP="003827E2">
      <w:pPr>
        <w:pStyle w:val="Heading1"/>
      </w:pPr>
      <w:bookmarkStart w:id="9" w:name="O_495080"/>
      <w:bookmarkEnd w:id="9"/>
      <w:r w:rsidRPr="003827E2">
        <w:t>Required Skills and Knowledge</w:t>
      </w:r>
    </w:p>
    <w:tbl>
      <w:tblPr>
        <w:tblW w:w="0" w:type="auto"/>
        <w:tblLayout w:type="fixed"/>
        <w:tblCellMar>
          <w:left w:w="62" w:type="dxa"/>
          <w:right w:w="62" w:type="dxa"/>
        </w:tblCellMar>
        <w:tblLook w:val="0000"/>
      </w:tblPr>
      <w:tblGrid>
        <w:gridCol w:w="8512"/>
        <w:gridCol w:w="41"/>
      </w:tblGrid>
      <w:tr w:rsidTr="00CD4C73">
        <w:tblPrEx>
          <w:tblW w:w="0" w:type="auto"/>
          <w:tblLayout w:type="fixed"/>
          <w:tblCellMar>
            <w:left w:w="62" w:type="dxa"/>
            <w:right w:w="62" w:type="dxa"/>
          </w:tblCellMar>
          <w:tblLook w:val="0000"/>
        </w:tblPrEx>
        <w:trPr>
          <w:gridAfter w:val="1"/>
          <w:wAfter w:w="41" w:type="dxa"/>
        </w:trPr>
        <w:tc>
          <w:tcPr>
            <w:tcW w:w="8512" w:type="dxa"/>
            <w:tcBorders>
              <w:top w:val="nil"/>
              <w:left w:val="nil"/>
              <w:bottom w:val="nil"/>
              <w:right w:val="nil"/>
            </w:tcBorders>
            <w:tcMar>
              <w:top w:w="0" w:type="dxa"/>
              <w:left w:w="62" w:type="dxa"/>
              <w:bottom w:w="0" w:type="dxa"/>
              <w:right w:w="62" w:type="dxa"/>
            </w:tcMar>
          </w:tcPr>
          <w:p w:rsidR="00000000" w:rsidP="003827E2">
            <w:pPr>
              <w:pStyle w:val="BodyText"/>
              <w:rPr>
                <w:lang w:val="en-NZ"/>
              </w:rPr>
            </w:pPr>
            <w:r w:rsidRPr="003827E2">
              <w:t>This section describes the essential skills and knowledge and their level, required for this unit.</w:t>
            </w:r>
          </w:p>
        </w:tc>
      </w:tr>
      <w:tr w:rsidTr="00CD4C73">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3827E2" w:rsidP="003827E2">
            <w:pPr>
              <w:pStyle w:val="BodyText"/>
            </w:pPr>
            <w:r w:rsidRPr="003827E2">
              <w:rPr>
                <w:rStyle w:val="SpecialBold"/>
              </w:rPr>
              <w:t>Skill requirements</w:t>
            </w:r>
          </w:p>
          <w:p w:rsidR="00000000" w:rsidRPr="003827E2" w:rsidP="003827E2">
            <w:pPr>
              <w:pStyle w:val="BodyText"/>
            </w:pPr>
            <w:r w:rsidRPr="003827E2">
              <w:t>Look for evidence that confirms skills in:</w:t>
            </w:r>
          </w:p>
          <w:p w:rsidR="00000000" w:rsidRPr="003827E2" w:rsidP="003827E2">
            <w:pPr>
              <w:pStyle w:val="ListBullet"/>
            </w:pPr>
            <w:r w:rsidRPr="003827E2">
              <w:t>analysing trends in fraud and corruption activities and investigations</w:t>
            </w:r>
          </w:p>
          <w:p w:rsidR="00000000" w:rsidRPr="003827E2" w:rsidP="003827E2">
            <w:pPr>
              <w:pStyle w:val="ListBullet"/>
            </w:pPr>
            <w:r w:rsidRPr="003827E2">
              <w:t>hypothesising fraud an</w:t>
            </w:r>
            <w:r w:rsidRPr="003827E2">
              <w:t>d corruption situations</w:t>
            </w:r>
          </w:p>
          <w:p w:rsidR="00000000" w:rsidRPr="003827E2" w:rsidP="003827E2">
            <w:pPr>
              <w:pStyle w:val="ListBullet"/>
            </w:pPr>
            <w:r w:rsidRPr="003827E2">
              <w:t>using a range of communication and negotiation styles to suit different audiences and purposes</w:t>
            </w:r>
          </w:p>
          <w:p w:rsidR="00000000" w:rsidRPr="003827E2" w:rsidP="003827E2">
            <w:pPr>
              <w:pStyle w:val="ListBullet"/>
            </w:pPr>
            <w:r w:rsidRPr="003827E2">
              <w:t>undertaking the timely detection of fraud and corruption and the identification of fraud and corruption trends</w:t>
            </w:r>
          </w:p>
          <w:p w:rsidR="00000000" w:rsidRPr="003827E2" w:rsidP="003827E2">
            <w:pPr>
              <w:pStyle w:val="ListBullet"/>
            </w:pPr>
            <w:r w:rsidRPr="003827E2">
              <w:t>effectively utilising staf</w:t>
            </w:r>
            <w:r w:rsidRPr="003827E2">
              <w:t>f and other personnel in the investigation of trends</w:t>
            </w:r>
          </w:p>
          <w:p w:rsidR="00000000" w:rsidRPr="003827E2" w:rsidP="003827E2">
            <w:pPr>
              <w:pStyle w:val="ListBullet"/>
            </w:pPr>
            <w:r w:rsidRPr="003827E2">
              <w:t>explaining complex concepts and recommendations relating to risk control</w:t>
            </w:r>
          </w:p>
          <w:p w:rsidR="00000000" w:rsidRPr="003827E2" w:rsidP="003827E2">
            <w:pPr>
              <w:pStyle w:val="ListBullet"/>
            </w:pPr>
            <w:r w:rsidRPr="003827E2">
              <w:t>responding to diversity, including gender and disability</w:t>
            </w:r>
          </w:p>
          <w:p w:rsidR="00000000" w:rsidP="003827E2">
            <w:pPr>
              <w:pStyle w:val="ListBullet"/>
              <w:rPr>
                <w:lang w:val="en-NZ"/>
              </w:rPr>
            </w:pPr>
            <w:r w:rsidRPr="003827E2">
              <w:t>applying occupational health and safety and environmental procedures in t</w:t>
            </w:r>
            <w:r w:rsidRPr="003827E2">
              <w:t>he context of fraud and corruption anticipation and detection</w:t>
            </w:r>
          </w:p>
        </w:tc>
      </w:tr>
      <w:tr w:rsidTr="00CD4C73">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3827E2" w:rsidP="003827E2">
            <w:pPr>
              <w:pStyle w:val="BodyText"/>
            </w:pPr>
            <w:r w:rsidRPr="003827E2">
              <w:rPr>
                <w:rStyle w:val="SpecialBold"/>
              </w:rPr>
              <w:t>Knowledge requirements</w:t>
            </w:r>
          </w:p>
          <w:p w:rsidR="00000000" w:rsidRPr="003827E2" w:rsidP="003827E2">
            <w:pPr>
              <w:pStyle w:val="BodyText"/>
            </w:pPr>
            <w:r w:rsidRPr="003827E2">
              <w:t>Look for evidence that confirms knowledge and understanding of:</w:t>
            </w:r>
          </w:p>
          <w:p w:rsidR="00000000" w:rsidRPr="003827E2" w:rsidP="003827E2">
            <w:pPr>
              <w:pStyle w:val="ListBullet"/>
            </w:pPr>
            <w:r w:rsidRPr="003827E2">
              <w:t xml:space="preserve">agency structure and core business activities </w:t>
            </w:r>
          </w:p>
          <w:p w:rsidR="00000000" w:rsidRPr="003827E2" w:rsidP="003827E2">
            <w:pPr>
              <w:pStyle w:val="ListBullet"/>
            </w:pPr>
            <w:r w:rsidRPr="003827E2">
              <w:t>legislation, policies and procedures relating to anticipation and detection of fraud and corruption activities, including privacy and confidentiality requirements</w:t>
            </w:r>
          </w:p>
          <w:p w:rsidR="00000000" w:rsidRPr="003827E2" w:rsidP="003827E2">
            <w:pPr>
              <w:pStyle w:val="ListBullet"/>
            </w:pPr>
            <w:r w:rsidRPr="003827E2">
              <w:t>agency procedures relating to public interest disclosures, protected disclosures or whistlebl</w:t>
            </w:r>
            <w:r w:rsidRPr="003827E2">
              <w:t>owing legislation</w:t>
            </w:r>
          </w:p>
          <w:p w:rsidR="00000000" w:rsidRPr="003827E2" w:rsidP="003827E2">
            <w:pPr>
              <w:pStyle w:val="ListBullet"/>
            </w:pPr>
            <w:r w:rsidRPr="003827E2">
              <w:t>fraud and corruption and how they relate to the specific functions and activities of the organisation, together with an understanding of ethical standards required by the organisation of its staff, contractors and suppliers</w:t>
            </w:r>
          </w:p>
          <w:p w:rsidR="00000000" w:rsidRPr="003827E2" w:rsidP="003827E2">
            <w:pPr>
              <w:pStyle w:val="ListBullet"/>
            </w:pPr>
            <w:r w:rsidRPr="003827E2">
              <w:t>jurisdictional</w:t>
            </w:r>
            <w:r w:rsidRPr="003827E2">
              <w:t xml:space="preserve"> fraud and corruption control requirements </w:t>
            </w:r>
          </w:p>
          <w:p w:rsidR="00000000" w:rsidRPr="003827E2" w:rsidP="003827E2">
            <w:pPr>
              <w:pStyle w:val="ListBullet"/>
            </w:pPr>
            <w:r w:rsidRPr="003827E2">
              <w:t>agency fraud/corruption control plan</w:t>
            </w:r>
          </w:p>
          <w:p w:rsidR="00000000" w:rsidRPr="003827E2" w:rsidP="003827E2">
            <w:pPr>
              <w:pStyle w:val="ListBullet"/>
            </w:pPr>
            <w:r w:rsidRPr="003827E2">
              <w:t>internal and external reporting guidelines</w:t>
            </w:r>
          </w:p>
          <w:p w:rsidR="00000000" w:rsidRPr="003827E2" w:rsidP="003827E2">
            <w:pPr>
              <w:pStyle w:val="ListBullet"/>
            </w:pPr>
            <w:r w:rsidRPr="003827E2">
              <w:t>best practice initiatives in fraud and corruption control</w:t>
            </w:r>
          </w:p>
          <w:p w:rsidR="00000000" w:rsidRPr="003827E2" w:rsidP="003827E2">
            <w:pPr>
              <w:pStyle w:val="ListBullet"/>
            </w:pPr>
            <w:r w:rsidRPr="003827E2">
              <w:t xml:space="preserve">anti-discrimination and diversity legislation </w:t>
            </w:r>
          </w:p>
        </w:tc>
      </w:tr>
    </w:tbl>
    <w:p w:rsidR="00000000" w:rsidRPr="003827E2" w:rsidP="003827E2">
      <w:pPr>
        <w:pStyle w:val="BodyText"/>
      </w:pPr>
    </w:p>
    <w:p w:rsidR="00000000" w:rsidRPr="003827E2" w:rsidP="003827E2">
      <w:pPr>
        <w:pStyle w:val="AllowPageBreak"/>
      </w:pPr>
    </w:p>
    <w:p w:rsidR="00000000" w:rsidRPr="003827E2" w:rsidP="003827E2">
      <w:pPr>
        <w:pStyle w:val="Heading1"/>
      </w:pPr>
      <w:bookmarkStart w:id="10" w:name="O_495079"/>
      <w:bookmarkEnd w:id="10"/>
      <w:r w:rsidRPr="003827E2">
        <w:t>Evidence Guide</w:t>
      </w:r>
    </w:p>
    <w:tbl>
      <w:tblPr>
        <w:tblW w:w="9322" w:type="dxa"/>
        <w:tblLayout w:type="fixed"/>
        <w:tblCellMar>
          <w:left w:w="62" w:type="dxa"/>
          <w:right w:w="62" w:type="dxa"/>
        </w:tblCellMar>
        <w:tblLook w:val="0000"/>
      </w:tblPr>
      <w:tblGrid>
        <w:gridCol w:w="2660"/>
        <w:gridCol w:w="6662"/>
      </w:tblGrid>
      <w:tr w:rsidTr="00CD4C73">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3827E2">
            <w:pPr>
              <w:pStyle w:val="BodyText"/>
              <w:rPr>
                <w:lang w:val="en-NZ"/>
              </w:rPr>
            </w:pPr>
            <w:r w:rsidRPr="003827E2">
              <w:t>The Evidence Guide specifies the evidence required to demonstrate achievement in the unit of competency as a whole. It must be read in conjunction with the Unit descriptor, Performance Criteria, the Range Statement and the Assessment Guideli</w:t>
            </w:r>
            <w:r w:rsidRPr="003827E2">
              <w:t>nes for the Public Sector Training Package.</w:t>
            </w:r>
          </w:p>
        </w:tc>
      </w:tr>
      <w:tr w:rsidTr="00CD4C7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3827E2" w:rsidP="003827E2">
            <w:pPr>
              <w:pStyle w:val="BodyText"/>
            </w:pPr>
            <w:r w:rsidRPr="003827E2">
              <w:rPr>
                <w:rStyle w:val="SpecialBold"/>
              </w:rPr>
              <w:t>Units to be assessed together</w:t>
            </w:r>
            <w:r w:rsidRPr="003827E2">
              <w:t xml:space="preserve"> </w:t>
            </w:r>
          </w:p>
        </w:tc>
        <w:tc>
          <w:tcPr>
            <w:tcW w:w="6662" w:type="dxa"/>
            <w:tcBorders>
              <w:top w:val="nil"/>
              <w:left w:val="nil"/>
              <w:bottom w:val="nil"/>
              <w:right w:val="nil"/>
            </w:tcBorders>
            <w:tcMar>
              <w:top w:w="0" w:type="dxa"/>
              <w:left w:w="62" w:type="dxa"/>
              <w:bottom w:w="0" w:type="dxa"/>
              <w:right w:w="62" w:type="dxa"/>
            </w:tcMar>
          </w:tcPr>
          <w:p w:rsidR="00000000" w:rsidRPr="003827E2" w:rsidP="003827E2">
            <w:pPr>
              <w:pStyle w:val="ListBullet"/>
            </w:pPr>
            <w:r w:rsidRPr="003827E2">
              <w:rPr>
                <w:rStyle w:val="Emphasis"/>
              </w:rPr>
              <w:t>Pre</w:t>
            </w:r>
            <w:r w:rsidRPr="003827E2">
              <w:t>-</w:t>
            </w:r>
            <w:r w:rsidRPr="003827E2">
              <w:rPr>
                <w:rStyle w:val="Emphasis"/>
              </w:rPr>
              <w:t>requisite</w:t>
            </w:r>
            <w:r w:rsidRPr="003827E2">
              <w:t xml:space="preserve"> units that </w:t>
            </w:r>
            <w:r w:rsidRPr="003827E2">
              <w:rPr>
                <w:rStyle w:val="Underline"/>
              </w:rPr>
              <w:t>must</w:t>
            </w:r>
            <w:r w:rsidRPr="003827E2">
              <w:t xml:space="preserve"> be achieved </w:t>
            </w:r>
            <w:r w:rsidRPr="003827E2">
              <w:rPr>
                <w:rStyle w:val="Underline"/>
              </w:rPr>
              <w:t>prior</w:t>
            </w:r>
            <w:r w:rsidRPr="003827E2">
              <w:t xml:space="preserve"> to this unit:</w:t>
            </w:r>
            <w:r w:rsidRPr="003827E2">
              <w:rPr>
                <w:rStyle w:val="Emphasis"/>
              </w:rPr>
              <w:t>Nil</w:t>
            </w:r>
          </w:p>
          <w:p w:rsidR="00000000" w:rsidRPr="003827E2" w:rsidP="003827E2">
            <w:pPr>
              <w:pStyle w:val="ListBullet"/>
            </w:pPr>
            <w:r w:rsidRPr="003827E2">
              <w:rPr>
                <w:rStyle w:val="Emphasis"/>
              </w:rPr>
              <w:t>Co</w:t>
            </w:r>
            <w:r w:rsidRPr="003827E2">
              <w:t>-</w:t>
            </w:r>
            <w:r w:rsidRPr="003827E2">
              <w:rPr>
                <w:rStyle w:val="Emphasis"/>
              </w:rPr>
              <w:t>requisite</w:t>
            </w:r>
            <w:r w:rsidRPr="003827E2">
              <w:t xml:space="preserve"> units that </w:t>
            </w:r>
            <w:r w:rsidRPr="003827E2">
              <w:rPr>
                <w:rStyle w:val="Underline"/>
              </w:rPr>
              <w:t>must</w:t>
            </w:r>
            <w:r w:rsidRPr="003827E2">
              <w:t xml:space="preserve"> be assessed </w:t>
            </w:r>
            <w:r w:rsidRPr="003827E2">
              <w:rPr>
                <w:rStyle w:val="Underline"/>
              </w:rPr>
              <w:t>with</w:t>
            </w:r>
            <w:r w:rsidRPr="003827E2">
              <w:t xml:space="preserve"> this unit:</w:t>
            </w:r>
            <w:r w:rsidRPr="003827E2">
              <w:rPr>
                <w:rStyle w:val="Emphasis"/>
              </w:rPr>
              <w:t>Nil</w:t>
            </w:r>
          </w:p>
          <w:p w:rsidR="00000000" w:rsidRPr="003827E2" w:rsidP="003827E2">
            <w:pPr>
              <w:pStyle w:val="ListBullet"/>
            </w:pPr>
            <w:r w:rsidRPr="003827E2">
              <w:rPr>
                <w:rStyle w:val="Emphasis"/>
              </w:rPr>
              <w:t>Co</w:t>
            </w:r>
            <w:r w:rsidRPr="003827E2">
              <w:t>-</w:t>
            </w:r>
            <w:r w:rsidRPr="003827E2">
              <w:rPr>
                <w:rStyle w:val="Emphasis"/>
              </w:rPr>
              <w:t>assessed units</w:t>
            </w:r>
            <w:r w:rsidRPr="003827E2">
              <w:t xml:space="preserve"> that </w:t>
            </w:r>
            <w:r w:rsidRPr="003827E2">
              <w:rPr>
                <w:rStyle w:val="Underline"/>
              </w:rPr>
              <w:t>may</w:t>
            </w:r>
            <w:r w:rsidRPr="003827E2">
              <w:t xml:space="preserve"> be assessed with this unit</w:t>
            </w:r>
            <w:r w:rsidRPr="003827E2">
              <w:t xml:space="preserve"> to increase the efficiency and realism of the assessment process include, but are not limited to:</w:t>
            </w:r>
          </w:p>
          <w:p w:rsidR="00000000" w:rsidRPr="003827E2" w:rsidP="003827E2">
            <w:pPr>
              <w:pStyle w:val="ListBullet2"/>
            </w:pPr>
            <w:r w:rsidRPr="003827E2">
              <w:t>PSPETHC501B Promote the values and ethos of public service</w:t>
            </w:r>
          </w:p>
          <w:p w:rsidR="00000000" w:rsidRPr="003827E2" w:rsidP="003827E2">
            <w:pPr>
              <w:pStyle w:val="ListBullet2"/>
            </w:pPr>
            <w:r w:rsidRPr="003827E2">
              <w:t>PSPFRAU504B Conduct fraud risk assessments</w:t>
            </w:r>
          </w:p>
          <w:p w:rsidR="00000000" w:rsidRPr="003827E2" w:rsidP="003827E2">
            <w:pPr>
              <w:pStyle w:val="ListBullet2"/>
            </w:pPr>
            <w:r w:rsidRPr="003827E2">
              <w:t>PSPFRAU505B Develop fraud control plans</w:t>
            </w:r>
          </w:p>
          <w:p w:rsidR="00000000" w:rsidRPr="003827E2" w:rsidP="003827E2">
            <w:pPr>
              <w:pStyle w:val="ListBullet2"/>
            </w:pPr>
            <w:r w:rsidRPr="003827E2">
              <w:t>PSPGOV502B Develop client services</w:t>
            </w:r>
          </w:p>
          <w:p w:rsidR="00000000" w:rsidRPr="003827E2" w:rsidP="003827E2">
            <w:pPr>
              <w:pStyle w:val="ListBullet2"/>
            </w:pPr>
            <w:r w:rsidRPr="003827E2">
              <w:t>PSPGOV504B Undertake research and analysis</w:t>
            </w:r>
          </w:p>
          <w:p w:rsidR="00000000" w:rsidRPr="003827E2" w:rsidP="003827E2">
            <w:pPr>
              <w:pStyle w:val="ListBullet2"/>
            </w:pPr>
            <w:r w:rsidRPr="003827E2">
              <w:t>PSPLEGN501B Promote compliance with legislation in the public sector</w:t>
            </w:r>
          </w:p>
          <w:p w:rsidR="00000000" w:rsidP="003827E2">
            <w:pPr>
              <w:pStyle w:val="ListBullet2"/>
              <w:rPr>
                <w:lang w:val="en-NZ"/>
              </w:rPr>
            </w:pPr>
            <w:r w:rsidRPr="003827E2">
              <w:t>PSPREG502A Coordinate investigation processes</w:t>
            </w:r>
          </w:p>
        </w:tc>
      </w:tr>
      <w:tr w:rsidTr="00CD4C7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827E2">
            <w:pPr>
              <w:pStyle w:val="BodyText"/>
              <w:rPr>
                <w:lang w:val="en-NZ"/>
              </w:rPr>
            </w:pPr>
            <w:r w:rsidRPr="003827E2">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3827E2" w:rsidP="003827E2">
            <w:pPr>
              <w:pStyle w:val="BodyText"/>
            </w:pPr>
            <w:r w:rsidRPr="003827E2">
              <w:t>In addition to integrated de</w:t>
            </w:r>
            <w:r w:rsidRPr="003827E2">
              <w:t>monstration of the elements and their related performance criteria, look for evidence that confirms:</w:t>
            </w:r>
          </w:p>
          <w:p w:rsidR="00000000" w:rsidRPr="003827E2" w:rsidP="003827E2">
            <w:pPr>
              <w:pStyle w:val="ListBullet"/>
            </w:pPr>
            <w:r w:rsidRPr="003827E2">
              <w:t xml:space="preserve">the knowledge requirements of this unit </w:t>
            </w:r>
          </w:p>
          <w:p w:rsidR="00000000" w:rsidRPr="003827E2" w:rsidP="003827E2">
            <w:pPr>
              <w:pStyle w:val="ListBullet"/>
            </w:pPr>
            <w:r w:rsidRPr="003827E2">
              <w:t>the skill requirements of this unit</w:t>
            </w:r>
          </w:p>
          <w:p w:rsidR="00000000" w:rsidRPr="003827E2" w:rsidP="003827E2">
            <w:pPr>
              <w:pStyle w:val="ListBullet"/>
            </w:pPr>
            <w:r w:rsidRPr="003827E2">
              <w:t xml:space="preserve">application of the Employability Skills as they relate to this unit </w:t>
            </w:r>
            <w:r w:rsidRPr="003827E2">
              <w:t>(see Employability Summaries in Qualifications Framework)</w:t>
            </w:r>
          </w:p>
          <w:p w:rsidR="00000000" w:rsidP="003827E2">
            <w:pPr>
              <w:pStyle w:val="ListBullet"/>
              <w:rPr>
                <w:lang w:val="en-NZ"/>
              </w:rPr>
            </w:pPr>
            <w:r w:rsidRPr="003827E2">
              <w:t>detection of possible fraud and corruption activity in a range of (3 or more) contexts (or occasions, over time)</w:t>
            </w:r>
          </w:p>
        </w:tc>
      </w:tr>
      <w:tr w:rsidTr="00CD4C7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827E2">
            <w:pPr>
              <w:pStyle w:val="BodyText"/>
              <w:rPr>
                <w:lang w:val="en-NZ"/>
              </w:rPr>
            </w:pPr>
            <w:r w:rsidRPr="003827E2">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3827E2" w:rsidP="003827E2">
            <w:pPr>
              <w:pStyle w:val="BodyText"/>
            </w:pPr>
            <w:r w:rsidRPr="003827E2">
              <w:t>These resources include:</w:t>
            </w:r>
          </w:p>
          <w:p w:rsidR="00000000" w:rsidRPr="003827E2" w:rsidP="003827E2">
            <w:pPr>
              <w:pStyle w:val="ListBullet"/>
            </w:pPr>
            <w:r w:rsidRPr="003827E2">
              <w:t>legislation, po</w:t>
            </w:r>
            <w:r w:rsidRPr="003827E2">
              <w:t>licy and procedures relating to fraud and corruption control, including privacy and confidentiality requirements</w:t>
            </w:r>
          </w:p>
          <w:p w:rsidR="00000000" w:rsidRPr="003827E2" w:rsidP="003827E2">
            <w:pPr>
              <w:pStyle w:val="ListBullet"/>
            </w:pPr>
            <w:r w:rsidRPr="003827E2">
              <w:t>methods for anticipating and detecting possible fraud and corruption activity</w:t>
            </w:r>
          </w:p>
          <w:p w:rsidR="00000000" w:rsidRPr="003827E2" w:rsidP="003827E2">
            <w:pPr>
              <w:pStyle w:val="ListBullet"/>
            </w:pPr>
            <w:r w:rsidRPr="003827E2">
              <w:t>fraud and corruption control guidelines</w:t>
            </w:r>
          </w:p>
          <w:p w:rsidR="00000000" w:rsidRPr="003827E2" w:rsidP="003827E2">
            <w:pPr>
              <w:pStyle w:val="ListBullet"/>
            </w:pPr>
            <w:r w:rsidRPr="003827E2">
              <w:t>fraud investigation stand</w:t>
            </w:r>
            <w:r w:rsidRPr="003827E2">
              <w:t>ards</w:t>
            </w:r>
          </w:p>
          <w:p w:rsidR="00000000" w:rsidRPr="003827E2" w:rsidP="003827E2">
            <w:pPr>
              <w:pStyle w:val="ListBullet"/>
            </w:pPr>
            <w:r w:rsidRPr="003827E2">
              <w:t>agency procedures relating to public interest disclosures, protected disclosures or whistleblowing legislation</w:t>
            </w:r>
          </w:p>
          <w:p w:rsidR="00000000" w:rsidRPr="003827E2" w:rsidP="003827E2">
            <w:pPr>
              <w:pStyle w:val="ListBullet"/>
            </w:pPr>
            <w:r w:rsidRPr="003827E2">
              <w:t>public sector values and codes of conduct</w:t>
            </w:r>
          </w:p>
          <w:p w:rsidR="00000000" w:rsidP="003827E2">
            <w:pPr>
              <w:pStyle w:val="ListBullet"/>
              <w:rPr>
                <w:lang w:val="en-NZ"/>
              </w:rPr>
            </w:pPr>
            <w:r w:rsidRPr="003827E2">
              <w:t>case studies and workplace scenarios to capture the range of fraud and corruption situations likel</w:t>
            </w:r>
            <w:r w:rsidRPr="003827E2">
              <w:t>y to be encountered</w:t>
            </w:r>
          </w:p>
        </w:tc>
      </w:tr>
      <w:tr w:rsidTr="00CD4C7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827E2">
            <w:pPr>
              <w:pStyle w:val="BodyText"/>
              <w:rPr>
                <w:lang w:val="en-NZ"/>
              </w:rPr>
            </w:pPr>
            <w:r w:rsidRPr="003827E2">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3827E2" w:rsidP="003827E2">
            <w:pPr>
              <w:pStyle w:val="BodyText"/>
            </w:pPr>
            <w:r w:rsidRPr="003827E2">
              <w:t xml:space="preserve">Valid assessment of this unit requires: </w:t>
            </w:r>
          </w:p>
          <w:p w:rsidR="00000000" w:rsidRPr="003827E2" w:rsidP="003827E2">
            <w:pPr>
              <w:pStyle w:val="ListBullet"/>
            </w:pPr>
            <w:r w:rsidRPr="003827E2">
              <w:t xml:space="preserve">a workplace environment or one that closely resembles normal work practice and </w:t>
            </w:r>
            <w:r w:rsidRPr="003827E2">
              <w:t>replicates the range of conditions likely to be encountered when anticipating and detecting possible fraud and corruption activity, including coping with difficulties, irregularities and breakdowns in routine</w:t>
            </w:r>
          </w:p>
          <w:p w:rsidR="00000000" w:rsidRPr="003827E2" w:rsidP="003827E2">
            <w:pPr>
              <w:pStyle w:val="ListBullet"/>
            </w:pPr>
            <w:r w:rsidRPr="003827E2">
              <w:t>detection of possible fraud and corruption acti</w:t>
            </w:r>
            <w:r w:rsidRPr="003827E2">
              <w:t>vity in a range of (3 or more) contexts (or occasions, over time)</w:t>
            </w:r>
          </w:p>
          <w:p w:rsidR="00000000" w:rsidRPr="003827E2" w:rsidP="003827E2">
            <w:pPr>
              <w:pStyle w:val="BodyText"/>
            </w:pPr>
            <w:r w:rsidRPr="003827E2">
              <w:t>Assessment methods should reflect workplace demands, such as literacy, and the needs of particular groups, such as:</w:t>
            </w:r>
          </w:p>
          <w:p w:rsidR="00000000" w:rsidRPr="003827E2" w:rsidP="003827E2">
            <w:pPr>
              <w:pStyle w:val="ListBullet"/>
            </w:pPr>
            <w:r w:rsidRPr="003827E2">
              <w:t>people with disabilities</w:t>
            </w:r>
          </w:p>
          <w:p w:rsidR="00000000" w:rsidRPr="003827E2" w:rsidP="003827E2">
            <w:pPr>
              <w:pStyle w:val="ListBullet"/>
            </w:pPr>
            <w:r w:rsidRPr="003827E2">
              <w:t>people from culturally and linguistically divers</w:t>
            </w:r>
            <w:r w:rsidRPr="003827E2">
              <w:t>e backgrounds</w:t>
            </w:r>
          </w:p>
          <w:p w:rsidR="00000000" w:rsidRPr="003827E2" w:rsidP="003827E2">
            <w:pPr>
              <w:pStyle w:val="ListBullet"/>
            </w:pPr>
            <w:r w:rsidRPr="003827E2">
              <w:t>Aboriginal and Torres Strait Islander people</w:t>
            </w:r>
          </w:p>
          <w:p w:rsidR="00000000" w:rsidRPr="003827E2" w:rsidP="003827E2">
            <w:pPr>
              <w:pStyle w:val="ListBullet"/>
            </w:pPr>
            <w:r w:rsidRPr="003827E2">
              <w:t>women</w:t>
            </w:r>
          </w:p>
          <w:p w:rsidR="00000000" w:rsidRPr="003827E2" w:rsidP="003827E2">
            <w:pPr>
              <w:pStyle w:val="ListBullet"/>
            </w:pPr>
            <w:r w:rsidRPr="003827E2">
              <w:t>young people</w:t>
            </w:r>
          </w:p>
          <w:p w:rsidR="00000000" w:rsidRPr="003827E2" w:rsidP="003827E2">
            <w:pPr>
              <w:pStyle w:val="ListBullet"/>
            </w:pPr>
            <w:r w:rsidRPr="003827E2">
              <w:t>older people</w:t>
            </w:r>
          </w:p>
          <w:p w:rsidR="00000000" w:rsidRPr="003827E2" w:rsidP="003827E2">
            <w:pPr>
              <w:pStyle w:val="ListBullet"/>
            </w:pPr>
            <w:r w:rsidRPr="003827E2">
              <w:t>people in rural and remote locations</w:t>
            </w:r>
          </w:p>
          <w:p w:rsidR="00000000" w:rsidRPr="003827E2" w:rsidP="003827E2">
            <w:pPr>
              <w:pStyle w:val="BodyText"/>
            </w:pPr>
            <w:r w:rsidRPr="003827E2">
              <w:t>Assessment methods suitable for valid and reliable assessment of this competency may include, but are not limited to, a combinat</w:t>
            </w:r>
            <w:r w:rsidRPr="003827E2">
              <w:t xml:space="preserve">ion of 2 or more of: </w:t>
            </w:r>
          </w:p>
          <w:p w:rsidR="00000000" w:rsidRPr="003827E2" w:rsidP="003827E2">
            <w:pPr>
              <w:pStyle w:val="ListBullet"/>
            </w:pPr>
            <w:r w:rsidRPr="003827E2">
              <w:t>case studies</w:t>
            </w:r>
          </w:p>
          <w:p w:rsidR="00000000" w:rsidRPr="003827E2" w:rsidP="003827E2">
            <w:pPr>
              <w:pStyle w:val="ListBullet"/>
            </w:pPr>
            <w:r w:rsidRPr="003827E2">
              <w:t xml:space="preserve">portfolios </w:t>
            </w:r>
          </w:p>
          <w:p w:rsidR="00000000" w:rsidRPr="003827E2" w:rsidP="003827E2">
            <w:pPr>
              <w:pStyle w:val="ListBullet"/>
            </w:pPr>
            <w:r w:rsidRPr="003827E2">
              <w:t>projects</w:t>
            </w:r>
          </w:p>
          <w:p w:rsidR="00000000" w:rsidRPr="003827E2" w:rsidP="003827E2">
            <w:pPr>
              <w:pStyle w:val="ListBullet"/>
            </w:pPr>
            <w:r w:rsidRPr="003827E2">
              <w:t>questioning</w:t>
            </w:r>
          </w:p>
          <w:p w:rsidR="00000000" w:rsidRPr="003827E2" w:rsidP="003827E2">
            <w:pPr>
              <w:pStyle w:val="ListBullet"/>
            </w:pPr>
            <w:r w:rsidRPr="003827E2">
              <w:t>scenarios</w:t>
            </w:r>
          </w:p>
          <w:p w:rsidR="00000000" w:rsidP="003827E2">
            <w:pPr>
              <w:pStyle w:val="ListBullet"/>
              <w:rPr>
                <w:lang w:val="en-NZ"/>
              </w:rPr>
            </w:pPr>
            <w:r w:rsidRPr="003827E2">
              <w:t xml:space="preserve">authenticated evidence from the workplace and/or training courses   </w:t>
            </w:r>
          </w:p>
        </w:tc>
      </w:tr>
      <w:tr w:rsidTr="00CD4C7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827E2">
            <w:pPr>
              <w:pStyle w:val="BodyText"/>
              <w:rPr>
                <w:lang w:val="en-NZ"/>
              </w:rPr>
            </w:pPr>
            <w:r w:rsidRPr="003827E2">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3827E2" w:rsidP="003827E2">
            <w:pPr>
              <w:pStyle w:val="BodyText"/>
            </w:pPr>
            <w:r w:rsidRPr="003827E2">
              <w:t>Evidence must be gathered over time in a range of contexts to ensure the person can achieve the unit outcome and apply the competency in different situations or environments</w:t>
            </w:r>
          </w:p>
        </w:tc>
      </w:tr>
    </w:tbl>
    <w:p w:rsidR="00000000" w:rsidRPr="003827E2" w:rsidP="003827E2">
      <w:pPr>
        <w:pStyle w:val="BodyText"/>
      </w:pPr>
    </w:p>
    <w:p w:rsidR="00000000" w:rsidRPr="003827E2" w:rsidP="003827E2">
      <w:pPr>
        <w:pStyle w:val="AllowPageBreak"/>
      </w:pPr>
    </w:p>
    <w:p w:rsidR="00000000" w:rsidRPr="003827E2" w:rsidP="003827E2">
      <w:pPr>
        <w:pStyle w:val="Heading1"/>
      </w:pPr>
      <w:bookmarkStart w:id="11" w:name="O_495083"/>
      <w:bookmarkEnd w:id="11"/>
      <w:r w:rsidRPr="003827E2">
        <w:t>Range Statement</w:t>
      </w:r>
    </w:p>
    <w:tbl>
      <w:tblPr>
        <w:tblW w:w="9322" w:type="dxa"/>
        <w:tblLayout w:type="fixed"/>
        <w:tblCellMar>
          <w:left w:w="62" w:type="dxa"/>
          <w:right w:w="62" w:type="dxa"/>
        </w:tblCellMar>
        <w:tblLook w:val="0000"/>
      </w:tblPr>
      <w:tblGrid>
        <w:gridCol w:w="2660"/>
        <w:gridCol w:w="6662"/>
      </w:tblGrid>
      <w:tr w:rsidTr="00CD4C73">
        <w:tblPrEx>
          <w:tblW w:w="9322" w:type="dxa"/>
          <w:tblLayout w:type="fixed"/>
          <w:tblCellMar>
            <w:left w:w="62" w:type="dxa"/>
            <w:right w:w="62" w:type="dxa"/>
          </w:tblCellMar>
          <w:tblLook w:val="0000"/>
        </w:tblPrEx>
        <w:tc>
          <w:tcPr>
            <w:tcW w:w="93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27E2">
            <w:pPr>
              <w:pStyle w:val="BodyText"/>
              <w:rPr>
                <w:lang w:val="en-NZ"/>
              </w:rPr>
            </w:pPr>
            <w:r w:rsidRPr="003827E2">
              <w:t xml:space="preserve">The Range Statement provides information about </w:t>
            </w:r>
            <w:r w:rsidRPr="003827E2">
              <w:t>the context in which the unit of competency is carried out. The variables cater for differences between States and Territories and the Commonwealth, and between organisations and workplaces. They allow for different work requirements, work practices and kn</w:t>
            </w:r>
            <w:r w:rsidRPr="003827E2">
              <w:t xml:space="preserve">owledge. The Range Statement also provides a focus for assessment. It relates to the unit as a whole. Text in </w:t>
            </w:r>
            <w:r w:rsidRPr="003827E2">
              <w:rPr>
                <w:rStyle w:val="BoldandItalics"/>
              </w:rPr>
              <w:t xml:space="preserve">bold italics </w:t>
            </w:r>
            <w:r w:rsidRPr="003827E2">
              <w:t>in the Performance Criteria is explained here.</w:t>
            </w:r>
          </w:p>
        </w:tc>
      </w:tr>
      <w:tr w:rsidTr="00CD4C73">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27E2">
            <w:pPr>
              <w:pStyle w:val="BodyText"/>
              <w:rPr>
                <w:lang w:val="en-NZ"/>
              </w:rPr>
            </w:pPr>
            <w:r w:rsidRPr="003827E2">
              <w:rPr>
                <w:rStyle w:val="BoldandItalics"/>
              </w:rPr>
              <w:t xml:space="preserve">Methods </w:t>
            </w:r>
            <w:r w:rsidRPr="003827E2">
              <w:t>used to anticipate or detect possible fraud and corruption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27E2" w:rsidP="003827E2">
            <w:pPr>
              <w:pStyle w:val="ListBullet"/>
            </w:pPr>
            <w:r w:rsidRPr="003827E2">
              <w:t>the analysis of information about fraud and corruption received in the agency</w:t>
            </w:r>
          </w:p>
          <w:p w:rsidR="00000000" w:rsidRPr="003827E2" w:rsidP="003827E2">
            <w:pPr>
              <w:pStyle w:val="ListBullet"/>
            </w:pPr>
            <w:r w:rsidRPr="003827E2">
              <w:t>the analysis of information about fraud and corruption compiled by an external agency</w:t>
            </w:r>
          </w:p>
          <w:p w:rsidR="00000000" w:rsidRPr="003827E2" w:rsidP="003827E2">
            <w:pPr>
              <w:pStyle w:val="ListBullet"/>
            </w:pPr>
            <w:r w:rsidRPr="003827E2">
              <w:t>analysis of fraud and corruption cases reported and/or investigated</w:t>
            </w:r>
          </w:p>
          <w:p w:rsidR="00000000" w:rsidRPr="003827E2" w:rsidP="003827E2">
            <w:pPr>
              <w:pStyle w:val="ListBullet"/>
            </w:pPr>
            <w:r w:rsidRPr="003827E2">
              <w:t>analysis of data matching across program areas</w:t>
            </w:r>
          </w:p>
          <w:p w:rsidR="00000000" w:rsidRPr="003827E2" w:rsidP="003827E2">
            <w:pPr>
              <w:pStyle w:val="ListBullet"/>
            </w:pPr>
            <w:r w:rsidRPr="003827E2">
              <w:t>incidence of and reasons for any discrepancy</w:t>
            </w:r>
          </w:p>
          <w:p w:rsidR="00000000" w:rsidP="003827E2">
            <w:pPr>
              <w:pStyle w:val="ListBullet"/>
              <w:rPr>
                <w:lang w:val="en-NZ"/>
              </w:rPr>
            </w:pPr>
            <w:r w:rsidRPr="003827E2">
              <w:t>analysis of other/similar agency risks and trends, both national and international</w:t>
            </w:r>
          </w:p>
        </w:tc>
      </w:tr>
      <w:tr w:rsidTr="00CD4C73">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27E2">
            <w:pPr>
              <w:pStyle w:val="BodyText"/>
              <w:rPr>
                <w:lang w:val="en-NZ"/>
              </w:rPr>
            </w:pPr>
            <w:r w:rsidRPr="003827E2">
              <w:rPr>
                <w:rStyle w:val="BoldandItalics"/>
              </w:rPr>
              <w:t>Identification of risks</w:t>
            </w:r>
            <w:r w:rsidRPr="003827E2">
              <w:rPr>
                <w:rStyle w:val="SpecialBold"/>
              </w:rPr>
              <w:t xml:space="preserve"> </w:t>
            </w:r>
            <w:r w:rsidRPr="003827E2">
              <w:t>may come from:</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27E2" w:rsidP="003827E2">
            <w:pPr>
              <w:pStyle w:val="ListBullet"/>
            </w:pPr>
            <w:r w:rsidRPr="003827E2">
              <w:t xml:space="preserve">analysis of trends in data </w:t>
            </w:r>
          </w:p>
          <w:p w:rsidR="00000000" w:rsidP="003827E2">
            <w:pPr>
              <w:pStyle w:val="ListBullet"/>
              <w:rPr>
                <w:lang w:val="en-NZ"/>
              </w:rPr>
            </w:pPr>
            <w:r w:rsidRPr="003827E2">
              <w:t xml:space="preserve">analysis of </w:t>
            </w:r>
            <w:r w:rsidRPr="003827E2">
              <w:t>information coming from inside or outside the agency</w:t>
            </w:r>
          </w:p>
        </w:tc>
      </w:tr>
      <w:tr w:rsidTr="00CD4C73">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27E2">
            <w:pPr>
              <w:pStyle w:val="BodyText"/>
              <w:rPr>
                <w:lang w:val="en-NZ"/>
              </w:rPr>
            </w:pPr>
            <w:r w:rsidRPr="003827E2">
              <w:rPr>
                <w:rStyle w:val="BoldandItalics"/>
              </w:rPr>
              <w:t xml:space="preserve">Projects </w:t>
            </w:r>
            <w:r w:rsidRPr="003827E2">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27E2" w:rsidP="003827E2">
            <w:pPr>
              <w:pStyle w:val="ListBullet"/>
            </w:pPr>
            <w:r w:rsidRPr="003827E2">
              <w:t>large data matching/analysis exercises</w:t>
            </w:r>
          </w:p>
          <w:p w:rsidR="00000000" w:rsidRPr="003827E2" w:rsidP="003827E2">
            <w:pPr>
              <w:pStyle w:val="ListBullet"/>
            </w:pPr>
            <w:r w:rsidRPr="003827E2">
              <w:t>information gathering operations</w:t>
            </w:r>
          </w:p>
          <w:p w:rsidR="00000000" w:rsidRPr="003827E2" w:rsidP="003827E2">
            <w:pPr>
              <w:pStyle w:val="ListBullet"/>
            </w:pPr>
            <w:r w:rsidRPr="003827E2">
              <w:t>targeting particular types of fraud and corruption</w:t>
            </w:r>
          </w:p>
          <w:p w:rsidR="00000000" w:rsidRPr="003827E2" w:rsidP="003827E2">
            <w:pPr>
              <w:pStyle w:val="ListBullet"/>
            </w:pPr>
            <w:r w:rsidRPr="003827E2">
              <w:t>targeting new or changed operations within the agency</w:t>
            </w:r>
          </w:p>
          <w:p w:rsidR="00000000" w:rsidRPr="003827E2" w:rsidP="003827E2">
            <w:pPr>
              <w:pStyle w:val="ListBullet"/>
            </w:pPr>
            <w:r w:rsidRPr="003827E2">
              <w:t>targeting specific areas identified from larger scale trend analysis</w:t>
            </w:r>
          </w:p>
          <w:p w:rsidR="00000000" w:rsidRPr="003827E2" w:rsidP="003827E2">
            <w:pPr>
              <w:pStyle w:val="ListBullet"/>
            </w:pPr>
            <w:r w:rsidRPr="003827E2">
              <w:t>testing program methodology</w:t>
            </w:r>
          </w:p>
          <w:p w:rsidR="00000000" w:rsidRPr="003827E2" w:rsidP="003827E2">
            <w:pPr>
              <w:pStyle w:val="ListBullet"/>
            </w:pPr>
            <w:r w:rsidRPr="003827E2">
              <w:t>targeting specific groups in agency programs</w:t>
            </w:r>
          </w:p>
          <w:p w:rsidR="00000000" w:rsidRPr="003827E2" w:rsidP="003827E2">
            <w:pPr>
              <w:pStyle w:val="ListBullet"/>
            </w:pPr>
            <w:r w:rsidRPr="003827E2">
              <w:t>researching</w:t>
            </w:r>
          </w:p>
          <w:p w:rsidR="00000000" w:rsidP="003827E2">
            <w:pPr>
              <w:pStyle w:val="ListBullet"/>
              <w:rPr>
                <w:lang w:val="en-NZ"/>
              </w:rPr>
            </w:pPr>
            <w:r w:rsidRPr="003827E2">
              <w:t>surveying</w:t>
            </w:r>
          </w:p>
        </w:tc>
      </w:tr>
      <w:tr w:rsidTr="00CD4C73">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27E2">
            <w:pPr>
              <w:pStyle w:val="BodyText"/>
              <w:rPr>
                <w:lang w:val="en-NZ"/>
              </w:rPr>
            </w:pPr>
            <w:r w:rsidRPr="003827E2">
              <w:rPr>
                <w:rStyle w:val="BoldandItalics"/>
              </w:rPr>
              <w:t>Legislative requirements</w:t>
            </w:r>
            <w:r w:rsidRPr="003827E2">
              <w:rPr>
                <w:rStyle w:val="SpecialBold"/>
              </w:rPr>
              <w:t xml:space="preserve"> </w:t>
            </w:r>
            <w:r w:rsidRPr="003827E2">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27E2" w:rsidP="003827E2">
            <w:pPr>
              <w:pStyle w:val="ListBullet"/>
            </w:pPr>
            <w:r w:rsidRPr="003827E2">
              <w:t>privacy</w:t>
            </w:r>
          </w:p>
          <w:p w:rsidR="00000000" w:rsidP="003827E2">
            <w:pPr>
              <w:pStyle w:val="ListBullet"/>
              <w:rPr>
                <w:lang w:val="en-NZ"/>
              </w:rPr>
            </w:pPr>
            <w:r w:rsidRPr="003827E2">
              <w:t>confidentiality</w:t>
            </w:r>
          </w:p>
        </w:tc>
      </w:tr>
      <w:tr w:rsidTr="00CD4C73">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27E2">
            <w:pPr>
              <w:pStyle w:val="BodyText"/>
              <w:rPr>
                <w:lang w:val="en-NZ"/>
              </w:rPr>
            </w:pPr>
            <w:r w:rsidRPr="003827E2">
              <w:rPr>
                <w:rStyle w:val="BoldandItalics"/>
              </w:rPr>
              <w:t>Evaluation criteria</w:t>
            </w:r>
            <w:r w:rsidRPr="003827E2">
              <w:rPr>
                <w:rStyle w:val="SpecialBold"/>
              </w:rPr>
              <w:t xml:space="preserve"> </w:t>
            </w:r>
            <w:r w:rsidRPr="003827E2">
              <w:t>may inc</w:t>
            </w:r>
            <w:r w:rsidRPr="003827E2">
              <w:t>lude</w:t>
            </w:r>
            <w:r w:rsidRPr="003827E2">
              <w:rPr>
                <w:rStyle w:val="SpecialBold"/>
              </w:rPr>
              <w: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27E2" w:rsidP="003827E2">
            <w:pPr>
              <w:pStyle w:val="ListBullet"/>
            </w:pPr>
            <w:r w:rsidRPr="003827E2">
              <w:t>political implications of fraud and corruption control and their impact on government policy</w:t>
            </w:r>
          </w:p>
          <w:p w:rsidR="00000000" w:rsidRPr="003827E2" w:rsidP="003827E2">
            <w:pPr>
              <w:pStyle w:val="ListBullet"/>
            </w:pPr>
            <w:r w:rsidRPr="003827E2">
              <w:t>public interest factors</w:t>
            </w:r>
          </w:p>
          <w:p w:rsidR="00000000" w:rsidRPr="003827E2" w:rsidP="003827E2">
            <w:pPr>
              <w:pStyle w:val="ListBullet"/>
            </w:pPr>
            <w:r w:rsidRPr="003827E2">
              <w:t>revenue limitations</w:t>
            </w:r>
          </w:p>
          <w:p w:rsidR="00000000" w:rsidRPr="003827E2" w:rsidP="003827E2">
            <w:pPr>
              <w:pStyle w:val="ListBullet"/>
            </w:pPr>
            <w:r w:rsidRPr="003827E2">
              <w:t>strategic direction and organisational values of the agency</w:t>
            </w:r>
          </w:p>
          <w:p w:rsidR="00000000" w:rsidRPr="003827E2" w:rsidP="003827E2">
            <w:pPr>
              <w:pStyle w:val="ListBullet"/>
            </w:pPr>
            <w:r w:rsidRPr="003827E2">
              <w:t>the variety of agency functions in which fraud and corruption may occur</w:t>
            </w:r>
          </w:p>
          <w:p w:rsidR="00000000" w:rsidRPr="003827E2" w:rsidP="003827E2">
            <w:pPr>
              <w:pStyle w:val="ListBullet"/>
            </w:pPr>
            <w:r w:rsidRPr="003827E2">
              <w:t>changes to agency operations</w:t>
            </w:r>
          </w:p>
          <w:p w:rsidR="00000000" w:rsidRPr="003827E2" w:rsidP="003827E2">
            <w:pPr>
              <w:pStyle w:val="ListBullet"/>
            </w:pPr>
            <w:r w:rsidRPr="003827E2">
              <w:t>information gathering or accessing powers and limitations</w:t>
            </w:r>
          </w:p>
          <w:p w:rsidR="00000000" w:rsidRPr="003827E2" w:rsidP="003827E2">
            <w:pPr>
              <w:pStyle w:val="ListBullet"/>
            </w:pPr>
            <w:r w:rsidRPr="003827E2">
              <w:t>various sources of information or data</w:t>
            </w:r>
          </w:p>
          <w:p w:rsidR="00000000" w:rsidRPr="003827E2" w:rsidP="003827E2">
            <w:pPr>
              <w:pStyle w:val="ListBullet"/>
            </w:pPr>
            <w:r w:rsidRPr="003827E2">
              <w:t>likely outcome</w:t>
            </w:r>
          </w:p>
          <w:p w:rsidR="00000000" w:rsidRPr="003827E2" w:rsidP="003827E2">
            <w:pPr>
              <w:pStyle w:val="ListBullet"/>
            </w:pPr>
            <w:r w:rsidRPr="003827E2">
              <w:t>workloads</w:t>
            </w:r>
          </w:p>
          <w:p w:rsidR="00000000" w:rsidP="003827E2">
            <w:pPr>
              <w:pStyle w:val="ListBullet"/>
              <w:rPr>
                <w:lang w:val="en-NZ"/>
              </w:rPr>
            </w:pPr>
            <w:r w:rsidRPr="003827E2">
              <w:t>application of privacy and confid</w:t>
            </w:r>
            <w:r w:rsidRPr="003827E2">
              <w:t>entiality provisions</w:t>
            </w:r>
          </w:p>
        </w:tc>
      </w:tr>
      <w:tr w:rsidTr="00CD4C73">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27E2">
            <w:pPr>
              <w:pStyle w:val="BodyText"/>
              <w:rPr>
                <w:lang w:val="en-NZ"/>
              </w:rPr>
            </w:pPr>
            <w:r w:rsidRPr="003827E2">
              <w:rPr>
                <w:rStyle w:val="BoldandItalics"/>
              </w:rPr>
              <w:t xml:space="preserve">Actions </w:t>
            </w:r>
            <w:r w:rsidRPr="003827E2">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27E2" w:rsidP="003827E2">
            <w:pPr>
              <w:pStyle w:val="ListBullet"/>
            </w:pPr>
            <w:r w:rsidRPr="003827E2">
              <w:t>the preparation of operational briefing material</w:t>
            </w:r>
          </w:p>
          <w:p w:rsidR="00000000" w:rsidRPr="003827E2" w:rsidP="003827E2">
            <w:pPr>
              <w:pStyle w:val="ListBullet"/>
            </w:pPr>
            <w:r w:rsidRPr="003827E2">
              <w:t>initiation of a particular investigation</w:t>
            </w:r>
          </w:p>
          <w:p w:rsidR="00000000" w:rsidRPr="003827E2" w:rsidP="003827E2">
            <w:pPr>
              <w:pStyle w:val="ListBullet"/>
            </w:pPr>
            <w:r w:rsidRPr="003827E2">
              <w:t>recommendation for legislative change</w:t>
            </w:r>
          </w:p>
          <w:p w:rsidR="00000000" w:rsidRPr="003827E2" w:rsidP="003827E2">
            <w:pPr>
              <w:pStyle w:val="ListBullet"/>
            </w:pPr>
            <w:r w:rsidRPr="003827E2">
              <w:t>administrative change</w:t>
            </w:r>
          </w:p>
          <w:p w:rsidR="00000000" w:rsidRPr="003827E2" w:rsidP="003827E2">
            <w:pPr>
              <w:pStyle w:val="ListBullet"/>
            </w:pPr>
            <w:r w:rsidRPr="003827E2">
              <w:t>changes to agency policy and procedures</w:t>
            </w:r>
          </w:p>
          <w:p w:rsidR="00000000" w:rsidRPr="003827E2" w:rsidP="003827E2">
            <w:pPr>
              <w:pStyle w:val="ListBullet"/>
            </w:pPr>
            <w:r w:rsidRPr="003827E2">
              <w:t>review of position des</w:t>
            </w:r>
            <w:r w:rsidRPr="003827E2">
              <w:t>criptions or organisational structure</w:t>
            </w:r>
          </w:p>
          <w:p w:rsidR="00000000" w:rsidRPr="003827E2" w:rsidP="003827E2">
            <w:pPr>
              <w:pStyle w:val="ListBullet"/>
            </w:pPr>
            <w:r w:rsidRPr="003827E2">
              <w:t>improved awareness through education</w:t>
            </w:r>
          </w:p>
          <w:p w:rsidR="00000000" w:rsidRPr="003827E2" w:rsidP="003827E2">
            <w:pPr>
              <w:pStyle w:val="ListBullet"/>
            </w:pPr>
            <w:r w:rsidRPr="003827E2">
              <w:t>referral to another agency</w:t>
            </w:r>
          </w:p>
          <w:p w:rsidR="00000000" w:rsidP="003827E2">
            <w:pPr>
              <w:pStyle w:val="ListBullet"/>
              <w:rPr>
                <w:lang w:val="en-NZ"/>
              </w:rPr>
            </w:pPr>
            <w:r w:rsidRPr="003827E2">
              <w:t>seeking opinion from prosecution agencies</w:t>
            </w:r>
          </w:p>
        </w:tc>
      </w:tr>
      <w:tr w:rsidTr="00CD4C73">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27E2">
            <w:pPr>
              <w:pStyle w:val="BodyText"/>
              <w:rPr>
                <w:lang w:val="en-NZ"/>
              </w:rPr>
            </w:pPr>
            <w:r w:rsidRPr="003827E2">
              <w:rPr>
                <w:rStyle w:val="BoldandItalics"/>
              </w:rPr>
              <w:t xml:space="preserve">Recommendations </w:t>
            </w:r>
            <w:r w:rsidRPr="003827E2">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27E2" w:rsidP="003827E2">
            <w:pPr>
              <w:pStyle w:val="ListBullet"/>
            </w:pPr>
            <w:r w:rsidRPr="003827E2">
              <w:t>staffing issues</w:t>
            </w:r>
          </w:p>
          <w:p w:rsidR="00000000" w:rsidRPr="003827E2" w:rsidP="003827E2">
            <w:pPr>
              <w:pStyle w:val="ListBullet"/>
            </w:pPr>
            <w:r w:rsidRPr="003827E2">
              <w:t>cultural change</w:t>
            </w:r>
          </w:p>
          <w:p w:rsidR="00000000" w:rsidRPr="003827E2" w:rsidP="003827E2">
            <w:pPr>
              <w:pStyle w:val="ListBullet"/>
            </w:pPr>
            <w:r w:rsidRPr="003827E2">
              <w:t>fraud and corruption controls</w:t>
            </w:r>
          </w:p>
        </w:tc>
      </w:tr>
    </w:tbl>
    <w:p w:rsidR="00CD4C73" w:rsidP="003827E2">
      <w:pPr>
        <w:pStyle w:val="BodyText"/>
      </w:pPr>
    </w:p>
    <w:p w:rsidR="00CD4C73" w:rsidP="003827E2">
      <w:pPr>
        <w:pStyle w:val="BodyText"/>
      </w:pPr>
    </w:p>
    <w:p w:rsidR="00000000" w:rsidRPr="003827E2" w:rsidP="003827E2">
      <w:pPr>
        <w:pStyle w:val="Heading1"/>
      </w:pPr>
      <w:bookmarkStart w:id="12" w:name="O_495081"/>
      <w:bookmarkEnd w:id="12"/>
      <w:r w:rsidRPr="003827E2">
        <w:t>Unit Sector(s)</w:t>
      </w:r>
    </w:p>
    <w:p w:rsidR="00000000" w:rsidRPr="003827E2" w:rsidP="003827E2">
      <w:pPr>
        <w:pStyle w:val="BodyText"/>
      </w:pPr>
      <w:r w:rsidRPr="003827E2">
        <w:t>Not applicable.</w:t>
      </w:r>
    </w:p>
    <w:p w:rsidR="00000000" w:rsidRPr="003827E2" w:rsidP="003827E2">
      <w:pPr>
        <w:pStyle w:val="AllowPageBreak"/>
      </w:pPr>
    </w:p>
    <w:p w:rsidR="00000000" w:rsidRPr="003827E2" w:rsidP="003827E2">
      <w:pPr>
        <w:pStyle w:val="Heading1"/>
      </w:pPr>
      <w:bookmarkStart w:id="13" w:name="O_495087"/>
      <w:bookmarkEnd w:id="13"/>
      <w:r w:rsidRPr="003827E2">
        <w:t>Competency field</w:t>
      </w:r>
    </w:p>
    <w:p w:rsidR="00000000" w:rsidRPr="003827E2" w:rsidP="003827E2">
      <w:pPr>
        <w:pStyle w:val="BodyText"/>
      </w:pPr>
      <w:r w:rsidRPr="003827E2">
        <w:t>Fraud Control.</w:t>
      </w:r>
    </w:p>
    <w:p w:rsidR="00000000" w:rsidRPr="003827E2" w:rsidP="003827E2"/>
    <w:sectPr w:rsidSect="003827E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7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D4C73" w:rsidP="00CD4C7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7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C73" w:rsidP="003827E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D4C73" w:rsidP="003827E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CD4C73" w:rsidP="003827E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7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7E2" w:rsidRPr="00CD4C73" w:rsidP="00CD4C7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7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C73" w:rsidRPr="002D2AF8" w:rsidP="003827E2">
    <w:pPr>
      <w:pStyle w:val="Header"/>
      <w:framePr w:wrap="around"/>
    </w:pPr>
    <w:r>
      <w:fldChar w:fldCharType="begin"/>
    </w:r>
    <w:r>
      <w:instrText xml:space="preserve"> TITLE   \* MERGEFORMAT </w:instrText>
    </w:r>
    <w:r>
      <w:fldChar w:fldCharType="separate"/>
    </w:r>
    <w:r>
      <w:t>PSPFRAU502B Anticipate and detect possible fraud activity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2/11/2012</w:t>
    </w:r>
    <w:r>
      <w:fldChar w:fldCharType="end"/>
    </w:r>
  </w:p>
  <w:p w:rsidR="00CD4C73" w:rsidP="003827E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99441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EF025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BE885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27E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827E2"/>
    <w:pPr>
      <w:spacing w:before="360" w:after="60"/>
      <w:outlineLvl w:val="0"/>
    </w:pPr>
    <w:rPr>
      <w:sz w:val="32"/>
    </w:rPr>
  </w:style>
  <w:style w:type="paragraph" w:styleId="Heading2">
    <w:name w:val="heading 2"/>
    <w:basedOn w:val="HeadingBase"/>
    <w:next w:val="BodyText"/>
    <w:link w:val="Heading2Char"/>
    <w:qFormat/>
    <w:rsid w:val="003827E2"/>
    <w:pPr>
      <w:keepLines/>
      <w:spacing w:before="240" w:after="120"/>
      <w:outlineLvl w:val="1"/>
    </w:pPr>
    <w:rPr>
      <w:sz w:val="28"/>
      <w:szCs w:val="40"/>
    </w:rPr>
  </w:style>
  <w:style w:type="paragraph" w:styleId="Heading3">
    <w:name w:val="heading 3"/>
    <w:basedOn w:val="HeadingBase"/>
    <w:next w:val="BodyText"/>
    <w:link w:val="Heading3Char"/>
    <w:qFormat/>
    <w:rsid w:val="003827E2"/>
    <w:pPr>
      <w:spacing w:before="180" w:after="120"/>
      <w:outlineLvl w:val="2"/>
    </w:pPr>
    <w:rPr>
      <w:spacing w:val="-10"/>
      <w:kern w:val="32"/>
    </w:rPr>
  </w:style>
  <w:style w:type="paragraph" w:styleId="Heading4">
    <w:name w:val="heading 4"/>
    <w:basedOn w:val="HeadingBase"/>
    <w:next w:val="BodyText"/>
    <w:link w:val="Heading4Char"/>
    <w:qFormat/>
    <w:rsid w:val="003827E2"/>
    <w:pPr>
      <w:spacing w:before="160" w:after="120"/>
      <w:outlineLvl w:val="3"/>
    </w:pPr>
    <w:rPr>
      <w:sz w:val="22"/>
    </w:rPr>
  </w:style>
  <w:style w:type="paragraph" w:styleId="Heading5">
    <w:name w:val="heading 5"/>
    <w:basedOn w:val="HeadingBase"/>
    <w:next w:val="Normal"/>
    <w:link w:val="Heading5Char"/>
    <w:qFormat/>
    <w:rsid w:val="003827E2"/>
    <w:pPr>
      <w:spacing w:before="80"/>
      <w:outlineLvl w:val="4"/>
    </w:pPr>
    <w:rPr>
      <w:color w:val="918585"/>
      <w:sz w:val="20"/>
    </w:rPr>
  </w:style>
  <w:style w:type="paragraph" w:styleId="Heading6">
    <w:name w:val="heading 6"/>
    <w:basedOn w:val="HeadingBase"/>
    <w:next w:val="Normal"/>
    <w:link w:val="Heading6Char"/>
    <w:qFormat/>
    <w:rsid w:val="003827E2"/>
    <w:pPr>
      <w:spacing w:before="60"/>
      <w:outlineLvl w:val="5"/>
    </w:pPr>
    <w:rPr>
      <w:color w:val="918585"/>
      <w:sz w:val="20"/>
    </w:rPr>
  </w:style>
  <w:style w:type="paragraph" w:styleId="Heading7">
    <w:name w:val="heading 7"/>
    <w:basedOn w:val="Normal"/>
    <w:next w:val="Normal"/>
    <w:link w:val="Heading7Char"/>
    <w:qFormat/>
    <w:rsid w:val="003827E2"/>
    <w:pPr>
      <w:ind w:left="720"/>
      <w:outlineLvl w:val="6"/>
    </w:pPr>
    <w:rPr>
      <w:i/>
    </w:rPr>
  </w:style>
  <w:style w:type="paragraph" w:styleId="Heading8">
    <w:name w:val="heading 8"/>
    <w:basedOn w:val="Normal"/>
    <w:next w:val="Normal"/>
    <w:link w:val="Heading8Char"/>
    <w:qFormat/>
    <w:rsid w:val="003827E2"/>
    <w:pPr>
      <w:ind w:left="720"/>
      <w:outlineLvl w:val="7"/>
    </w:pPr>
    <w:rPr>
      <w:i/>
    </w:rPr>
  </w:style>
  <w:style w:type="paragraph" w:styleId="Heading9">
    <w:name w:val="heading 9"/>
    <w:basedOn w:val="Normal"/>
    <w:next w:val="Normal"/>
    <w:link w:val="Heading9Char"/>
    <w:qFormat/>
    <w:rsid w:val="003827E2"/>
    <w:pPr>
      <w:ind w:left="720"/>
      <w:outlineLvl w:val="8"/>
    </w:pPr>
    <w:rPr>
      <w:i/>
    </w:rPr>
  </w:style>
  <w:style w:type="character" w:default="1" w:styleId="DefaultParagraphFont">
    <w:name w:val="Default Paragraph Font"/>
    <w:uiPriority w:val="1"/>
    <w:unhideWhenUsed/>
    <w:rsid w:val="003827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827E2"/>
  </w:style>
  <w:style w:type="character" w:customStyle="1" w:styleId="Heading1Char">
    <w:name w:val="Heading 1 Char"/>
    <w:basedOn w:val="DefaultParagraphFont"/>
    <w:link w:val="Heading1"/>
    <w:rsid w:val="003827E2"/>
    <w:rPr>
      <w:rFonts w:ascii="Times New Roman" w:eastAsia="Times New Roman" w:hAnsi="Times New Roman" w:cs="Times New Roman"/>
      <w:b/>
      <w:sz w:val="32"/>
      <w:szCs w:val="20"/>
      <w:lang w:eastAsia="en-US"/>
    </w:rPr>
  </w:style>
  <w:style w:type="paragraph" w:styleId="BodyText">
    <w:name w:val="Body Text"/>
    <w:basedOn w:val="Normal"/>
    <w:link w:val="BodyTextChar"/>
    <w:rsid w:val="003827E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827E2"/>
    <w:rPr>
      <w:rFonts w:ascii="Times New Roman" w:eastAsia="Times New Roman" w:hAnsi="Times New Roman" w:cs="Times New Roman"/>
      <w:sz w:val="24"/>
      <w:lang w:eastAsia="en-US"/>
    </w:rPr>
  </w:style>
  <w:style w:type="paragraph" w:styleId="Footer">
    <w:name w:val="footer"/>
    <w:basedOn w:val="Normal"/>
    <w:link w:val="FooterChar"/>
    <w:rsid w:val="003827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827E2"/>
    <w:rPr>
      <w:rFonts w:ascii="Times New Roman" w:eastAsia="Times New Roman" w:hAnsi="Times New Roman" w:cs="Times New Roman"/>
      <w:sz w:val="16"/>
      <w:lang w:eastAsia="en-US"/>
    </w:rPr>
  </w:style>
  <w:style w:type="paragraph" w:styleId="List">
    <w:name w:val="List"/>
    <w:basedOn w:val="BodyText"/>
    <w:next w:val="BodyText"/>
    <w:rsid w:val="003827E2"/>
    <w:pPr>
      <w:tabs>
        <w:tab w:val="left" w:pos="340"/>
      </w:tabs>
      <w:spacing w:before="60" w:after="60"/>
      <w:ind w:left="340" w:hanging="340"/>
    </w:pPr>
  </w:style>
  <w:style w:type="paragraph" w:styleId="ListBullet">
    <w:name w:val="List Bullet"/>
    <w:basedOn w:val="List"/>
    <w:rsid w:val="003827E2"/>
    <w:pPr>
      <w:numPr>
        <w:numId w:val="13"/>
      </w:numPr>
      <w:tabs>
        <w:tab w:val="clear" w:pos="340"/>
      </w:tabs>
      <w:spacing w:before="40" w:after="40"/>
    </w:pPr>
  </w:style>
  <w:style w:type="character" w:customStyle="1" w:styleId="SpecialBold">
    <w:name w:val="Special Bold"/>
    <w:basedOn w:val="DefaultParagraphFont"/>
    <w:rsid w:val="003827E2"/>
    <w:rPr>
      <w:b/>
      <w:spacing w:val="0"/>
    </w:rPr>
  </w:style>
  <w:style w:type="paragraph" w:styleId="ListBullet2">
    <w:name w:val="List Bullet 2"/>
    <w:basedOn w:val="List2"/>
    <w:rsid w:val="003827E2"/>
    <w:pPr>
      <w:numPr>
        <w:numId w:val="14"/>
      </w:numPr>
      <w:tabs>
        <w:tab w:val="clear" w:pos="680"/>
      </w:tabs>
    </w:pPr>
  </w:style>
  <w:style w:type="character" w:styleId="Emphasis">
    <w:name w:val="Emphasis"/>
    <w:basedOn w:val="DefaultParagraphFont"/>
    <w:qFormat/>
    <w:rsid w:val="003827E2"/>
    <w:rPr>
      <w:i/>
    </w:rPr>
  </w:style>
  <w:style w:type="paragraph" w:customStyle="1" w:styleId="SuperHeading">
    <w:name w:val="SuperHeading"/>
    <w:basedOn w:val="Normal"/>
    <w:rsid w:val="003827E2"/>
    <w:pPr>
      <w:spacing w:before="240" w:after="120"/>
      <w:outlineLvl w:val="0"/>
    </w:pPr>
    <w:rPr>
      <w:rFonts w:ascii="Times New Roman" w:hAnsi="Times New Roman"/>
      <w:b/>
      <w:sz w:val="28"/>
    </w:rPr>
  </w:style>
  <w:style w:type="paragraph" w:customStyle="1" w:styleId="AllowPageBreak">
    <w:name w:val="AllowPageBreak"/>
    <w:rsid w:val="003827E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3827E2"/>
    <w:rPr>
      <w:u w:val="single"/>
    </w:rPr>
  </w:style>
  <w:style w:type="character" w:customStyle="1" w:styleId="BoldandItalics">
    <w:name w:val="Bold and Italics"/>
    <w:qFormat/>
    <w:rsid w:val="003827E2"/>
    <w:rPr>
      <w:b/>
      <w:i/>
      <w:u w:val="none"/>
    </w:rPr>
  </w:style>
  <w:style w:type="character" w:customStyle="1" w:styleId="Heading2Char">
    <w:name w:val="Heading 2 Char"/>
    <w:basedOn w:val="DefaultParagraphFont"/>
    <w:link w:val="Heading2"/>
    <w:rsid w:val="003827E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827E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827E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827E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827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827E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827E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827E2"/>
    <w:rPr>
      <w:rFonts w:ascii="Courier New" w:eastAsia="Times New Roman" w:hAnsi="Courier New" w:cs="Times New Roman"/>
      <w:i/>
      <w:szCs w:val="20"/>
      <w:lang w:eastAsia="en-US"/>
    </w:rPr>
  </w:style>
  <w:style w:type="paragraph" w:customStyle="1" w:styleId="HeadingBase">
    <w:name w:val="Heading Base"/>
    <w:rsid w:val="003827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827E2"/>
    <w:pPr>
      <w:tabs>
        <w:tab w:val="right" w:leader="dot" w:pos="9072"/>
      </w:tabs>
      <w:ind w:left="567"/>
    </w:pPr>
    <w:rPr>
      <w:szCs w:val="22"/>
    </w:rPr>
  </w:style>
  <w:style w:type="paragraph" w:customStyle="1" w:styleId="TOCBase">
    <w:name w:val="TOC Base"/>
    <w:rsid w:val="003827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827E2"/>
    <w:pPr>
      <w:tabs>
        <w:tab w:val="right" w:leader="dot" w:pos="9072"/>
      </w:tabs>
      <w:spacing w:before="40" w:after="40"/>
      <w:ind w:left="284"/>
    </w:pPr>
    <w:rPr>
      <w:rFonts w:ascii="Times New Roman" w:hAnsi="Times New Roman"/>
    </w:rPr>
  </w:style>
  <w:style w:type="paragraph" w:styleId="TOC1">
    <w:name w:val="toc 1"/>
    <w:basedOn w:val="TOCBase"/>
    <w:next w:val="Normal"/>
    <w:rsid w:val="003827E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827E2"/>
    <w:pPr>
      <w:spacing w:before="5040"/>
      <w:jc w:val="center"/>
    </w:pPr>
    <w:rPr>
      <w:sz w:val="48"/>
      <w:szCs w:val="72"/>
      <w:lang w:val="en-US"/>
    </w:rPr>
  </w:style>
  <w:style w:type="character" w:customStyle="1" w:styleId="TitleChar">
    <w:name w:val="Title Char"/>
    <w:basedOn w:val="DefaultParagraphFont"/>
    <w:link w:val="Title"/>
    <w:rsid w:val="003827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827E2"/>
    <w:pPr>
      <w:tabs>
        <w:tab w:val="left" w:pos="3600"/>
        <w:tab w:val="left" w:pos="3958"/>
      </w:tabs>
    </w:pPr>
  </w:style>
  <w:style w:type="paragraph" w:customStyle="1" w:styleId="Note">
    <w:name w:val="Note"/>
    <w:basedOn w:val="BodyText"/>
    <w:rsid w:val="003827E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827E2"/>
    <w:pPr>
      <w:framePr w:wrap="auto" w:hAnchor="text" w:y="6049"/>
    </w:pPr>
    <w:rPr>
      <w:color w:val="000000"/>
      <w:sz w:val="40"/>
    </w:rPr>
  </w:style>
  <w:style w:type="paragraph" w:customStyle="1" w:styleId="TOCTitle">
    <w:name w:val="TOCTitle"/>
    <w:basedOn w:val="Heading1"/>
    <w:rsid w:val="003827E2"/>
    <w:pPr>
      <w:spacing w:after="240"/>
      <w:jc w:val="center"/>
      <w:outlineLvl w:val="9"/>
    </w:pPr>
    <w:rPr>
      <w:caps/>
    </w:rPr>
  </w:style>
  <w:style w:type="paragraph" w:customStyle="1" w:styleId="Version">
    <w:name w:val="Version"/>
    <w:rsid w:val="003827E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827E2"/>
    <w:pPr>
      <w:keepNext w:val="0"/>
      <w:tabs>
        <w:tab w:val="right" w:pos="4176"/>
      </w:tabs>
      <w:ind w:left="198" w:hanging="198"/>
    </w:pPr>
    <w:rPr>
      <w:rFonts w:ascii="Garamond" w:hAnsi="Garamond"/>
    </w:rPr>
  </w:style>
  <w:style w:type="paragraph" w:styleId="IndexHeading">
    <w:name w:val="index heading"/>
    <w:basedOn w:val="Normal"/>
    <w:next w:val="Index1"/>
    <w:semiHidden/>
    <w:rsid w:val="003827E2"/>
    <w:pPr>
      <w:spacing w:before="120" w:after="120"/>
    </w:pPr>
    <w:rPr>
      <w:rFonts w:ascii="Arial" w:hAnsi="Arial"/>
      <w:b/>
      <w:color w:val="918585"/>
      <w:sz w:val="24"/>
    </w:rPr>
  </w:style>
  <w:style w:type="paragraph" w:styleId="Header">
    <w:name w:val="header"/>
    <w:basedOn w:val="Normal"/>
    <w:link w:val="HeaderChar"/>
    <w:rsid w:val="003827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827E2"/>
    <w:rPr>
      <w:rFonts w:ascii="Times New Roman" w:eastAsia="Times New Roman" w:hAnsi="Times New Roman" w:cs="Times New Roman"/>
      <w:sz w:val="16"/>
      <w:szCs w:val="20"/>
      <w:lang w:val="en-GB" w:eastAsia="en-US"/>
    </w:rPr>
  </w:style>
  <w:style w:type="paragraph" w:customStyle="1" w:styleId="Chapter">
    <w:name w:val="Chapter"/>
    <w:basedOn w:val="Normal"/>
    <w:rsid w:val="003827E2"/>
    <w:pPr>
      <w:spacing w:before="240"/>
    </w:pPr>
    <w:rPr>
      <w:rFonts w:ascii="Times New Roman" w:hAnsi="Times New Roman"/>
      <w:smallCaps/>
      <w:spacing w:val="80"/>
      <w:sz w:val="28"/>
    </w:rPr>
  </w:style>
  <w:style w:type="paragraph" w:customStyle="1" w:styleId="InChapter">
    <w:name w:val="InChapter"/>
    <w:basedOn w:val="Heading3"/>
    <w:rsid w:val="003827E2"/>
    <w:pPr>
      <w:spacing w:after="240"/>
      <w:outlineLvl w:val="9"/>
    </w:pPr>
    <w:rPr>
      <w:noProof/>
    </w:rPr>
  </w:style>
  <w:style w:type="paragraph" w:styleId="Index2">
    <w:name w:val="index 2"/>
    <w:basedOn w:val="Normal"/>
    <w:next w:val="Normal"/>
    <w:semiHidden/>
    <w:rsid w:val="003827E2"/>
    <w:pPr>
      <w:tabs>
        <w:tab w:val="right" w:pos="4176"/>
      </w:tabs>
      <w:ind w:left="568" w:hanging="284"/>
    </w:pPr>
    <w:rPr>
      <w:rFonts w:ascii="Garamond" w:hAnsi="Garamond"/>
    </w:rPr>
  </w:style>
  <w:style w:type="paragraph" w:customStyle="1" w:styleId="Byline">
    <w:name w:val="Byline"/>
    <w:rsid w:val="003827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827E2"/>
    <w:pPr>
      <w:tabs>
        <w:tab w:val="clear" w:pos="3600"/>
        <w:tab w:val="clear" w:pos="3958"/>
      </w:tabs>
      <w:jc w:val="right"/>
    </w:pPr>
  </w:style>
  <w:style w:type="paragraph" w:styleId="Caption">
    <w:name w:val="caption"/>
    <w:basedOn w:val="BodyText"/>
    <w:next w:val="Normal"/>
    <w:qFormat/>
    <w:rsid w:val="003827E2"/>
    <w:pPr>
      <w:framePr w:w="2268" w:hSpace="181" w:vSpace="181" w:wrap="around" w:vAnchor="text" w:hAnchor="page" w:x="1135" w:y="285" w:anchorLock="1"/>
    </w:pPr>
    <w:rPr>
      <w:i/>
    </w:rPr>
  </w:style>
  <w:style w:type="paragraph" w:customStyle="1" w:styleId="MiniTOCTitle">
    <w:name w:val="MiniTOCTitle"/>
    <w:basedOn w:val="Heading4"/>
    <w:rsid w:val="003827E2"/>
    <w:pPr>
      <w:spacing w:before="240"/>
      <w:outlineLvl w:val="9"/>
    </w:pPr>
    <w:rPr>
      <w:noProof/>
      <w:sz w:val="24"/>
    </w:rPr>
  </w:style>
  <w:style w:type="paragraph" w:customStyle="1" w:styleId="MiniTOCItem">
    <w:name w:val="MiniTOCItem"/>
    <w:basedOn w:val="ListBullet"/>
    <w:rsid w:val="003827E2"/>
    <w:pPr>
      <w:numPr>
        <w:numId w:val="0"/>
      </w:numPr>
      <w:tabs>
        <w:tab w:val="right" w:leader="dot" w:pos="6521"/>
      </w:tabs>
      <w:spacing w:before="0" w:after="0"/>
    </w:pPr>
  </w:style>
  <w:style w:type="paragraph" w:customStyle="1" w:styleId="TOFTitle">
    <w:name w:val="TOFTitle"/>
    <w:basedOn w:val="TOCTitle"/>
    <w:rsid w:val="003827E2"/>
  </w:style>
  <w:style w:type="paragraph" w:styleId="TableofFigures">
    <w:name w:val="table of figures"/>
    <w:basedOn w:val="Normal"/>
    <w:next w:val="Normal"/>
    <w:semiHidden/>
    <w:rsid w:val="003827E2"/>
    <w:pPr>
      <w:tabs>
        <w:tab w:val="right" w:leader="dot" w:pos="9072"/>
      </w:tabs>
      <w:ind w:left="970" w:hanging="403"/>
    </w:pPr>
    <w:rPr>
      <w:rFonts w:ascii="Times New Roman" w:hAnsi="Times New Roman"/>
      <w:b/>
    </w:rPr>
  </w:style>
  <w:style w:type="paragraph" w:styleId="ListNumber">
    <w:name w:val="List Number"/>
    <w:basedOn w:val="List"/>
    <w:rsid w:val="003827E2"/>
    <w:pPr>
      <w:numPr>
        <w:numId w:val="11"/>
      </w:numPr>
    </w:pPr>
  </w:style>
  <w:style w:type="character" w:customStyle="1" w:styleId="WingdingSymbols">
    <w:name w:val="Wingding Symbols"/>
    <w:rsid w:val="003827E2"/>
    <w:rPr>
      <w:rFonts w:ascii="Wingdings" w:hAnsi="Wingdings"/>
    </w:rPr>
  </w:style>
  <w:style w:type="paragraph" w:customStyle="1" w:styleId="TableHeading">
    <w:name w:val="Table Heading"/>
    <w:basedOn w:val="HeadingBase"/>
    <w:rsid w:val="003827E2"/>
    <w:pPr>
      <w:keepLines/>
      <w:pBdr>
        <w:bottom w:val="single" w:sz="6" w:space="1" w:color="918585"/>
      </w:pBdr>
      <w:spacing w:before="240"/>
    </w:pPr>
  </w:style>
  <w:style w:type="character" w:customStyle="1" w:styleId="HotSpot">
    <w:name w:val="HotSpot"/>
    <w:rsid w:val="003827E2"/>
    <w:rPr>
      <w:color w:val="0033CC"/>
      <w:u w:val="none"/>
    </w:rPr>
  </w:style>
  <w:style w:type="paragraph" w:customStyle="1" w:styleId="BodyTextRight">
    <w:name w:val="Body Text Right"/>
    <w:basedOn w:val="BodyText"/>
    <w:rsid w:val="003827E2"/>
    <w:pPr>
      <w:spacing w:before="0" w:after="0"/>
      <w:jc w:val="right"/>
    </w:pPr>
  </w:style>
  <w:style w:type="paragraph" w:styleId="Index3">
    <w:name w:val="index 3"/>
    <w:basedOn w:val="ListNumber2"/>
    <w:next w:val="Normal"/>
    <w:semiHidden/>
    <w:rsid w:val="003827E2"/>
    <w:pPr>
      <w:numPr>
        <w:numId w:val="0"/>
      </w:numPr>
      <w:tabs>
        <w:tab w:val="right" w:leader="dot" w:pos="4176"/>
      </w:tabs>
    </w:pPr>
  </w:style>
  <w:style w:type="paragraph" w:styleId="ListNumber2">
    <w:name w:val="List Number 2"/>
    <w:basedOn w:val="List2"/>
    <w:rsid w:val="003827E2"/>
    <w:pPr>
      <w:numPr>
        <w:numId w:val="10"/>
      </w:numPr>
      <w:tabs>
        <w:tab w:val="clear" w:pos="1060"/>
      </w:tabs>
    </w:pPr>
  </w:style>
  <w:style w:type="paragraph" w:customStyle="1" w:styleId="MarginNote">
    <w:name w:val="Margin Note"/>
    <w:basedOn w:val="BodyText"/>
    <w:rsid w:val="003827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827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827E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827E2"/>
    <w:rPr>
      <w:sz w:val="32"/>
    </w:rPr>
  </w:style>
  <w:style w:type="paragraph" w:customStyle="1" w:styleId="HeadingProcedure">
    <w:name w:val="Heading Procedure"/>
    <w:basedOn w:val="HeadingBase"/>
    <w:next w:val="Normal"/>
    <w:rsid w:val="003827E2"/>
    <w:pPr>
      <w:tabs>
        <w:tab w:val="left" w:pos="0"/>
      </w:tabs>
      <w:spacing w:before="120" w:after="60"/>
    </w:pPr>
    <w:rPr>
      <w:i/>
      <w:color w:val="918585"/>
      <w:sz w:val="22"/>
    </w:rPr>
  </w:style>
  <w:style w:type="paragraph" w:customStyle="1" w:styleId="TableBodyText">
    <w:name w:val="Table Body Text"/>
    <w:basedOn w:val="BodyText"/>
    <w:rsid w:val="003827E2"/>
    <w:pPr>
      <w:spacing w:before="60" w:after="60"/>
    </w:pPr>
  </w:style>
  <w:style w:type="paragraph" w:styleId="ListContinue">
    <w:name w:val="List Continue"/>
    <w:basedOn w:val="List"/>
    <w:rsid w:val="003827E2"/>
    <w:pPr>
      <w:ind w:firstLine="0"/>
    </w:pPr>
  </w:style>
  <w:style w:type="paragraph" w:customStyle="1" w:styleId="ListNote">
    <w:name w:val="List Note"/>
    <w:basedOn w:val="List"/>
    <w:rsid w:val="003827E2"/>
    <w:pPr>
      <w:pBdr>
        <w:top w:val="single" w:sz="6" w:space="2" w:color="918585"/>
        <w:bottom w:val="single" w:sz="6" w:space="2" w:color="918585"/>
      </w:pBdr>
      <w:tabs>
        <w:tab w:val="left" w:pos="1021"/>
      </w:tabs>
      <w:ind w:firstLine="0"/>
    </w:pPr>
  </w:style>
  <w:style w:type="paragraph" w:customStyle="1" w:styleId="Warning">
    <w:name w:val="Warning"/>
    <w:basedOn w:val="BodyText"/>
    <w:rsid w:val="003827E2"/>
    <w:pPr>
      <w:shd w:val="clear" w:color="auto" w:fill="D9D9D9"/>
      <w:tabs>
        <w:tab w:val="left" w:pos="992"/>
      </w:tabs>
      <w:ind w:left="119" w:right="119"/>
    </w:pPr>
    <w:rPr>
      <w:sz w:val="20"/>
    </w:rPr>
  </w:style>
  <w:style w:type="paragraph" w:customStyle="1" w:styleId="MarginIcons">
    <w:name w:val="Margin Icons"/>
    <w:basedOn w:val="BodyText"/>
    <w:rsid w:val="003827E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827E2"/>
    <w:rPr>
      <w:rFonts w:ascii="Courier New" w:hAnsi="Courier New"/>
    </w:rPr>
  </w:style>
  <w:style w:type="paragraph" w:customStyle="1" w:styleId="NoteBullet">
    <w:name w:val="Note Bullet"/>
    <w:basedOn w:val="Note"/>
    <w:rsid w:val="003827E2"/>
    <w:pPr>
      <w:tabs>
        <w:tab w:val="clear" w:pos="680"/>
      </w:tabs>
      <w:spacing w:before="60" w:after="60"/>
    </w:pPr>
  </w:style>
  <w:style w:type="paragraph" w:customStyle="1" w:styleId="SubHeading2">
    <w:name w:val="SubHeading2"/>
    <w:basedOn w:val="HeadingBase"/>
    <w:rsid w:val="003827E2"/>
    <w:pPr>
      <w:spacing w:before="240" w:after="60"/>
    </w:pPr>
    <w:rPr>
      <w:sz w:val="20"/>
    </w:rPr>
  </w:style>
  <w:style w:type="paragraph" w:customStyle="1" w:styleId="SubHeading1">
    <w:name w:val="SubHeading1"/>
    <w:basedOn w:val="HeadingBase"/>
    <w:rsid w:val="003827E2"/>
    <w:pPr>
      <w:spacing w:before="240" w:after="60"/>
    </w:pPr>
    <w:rPr>
      <w:color w:val="918585"/>
      <w:sz w:val="22"/>
    </w:rPr>
  </w:style>
  <w:style w:type="paragraph" w:customStyle="1" w:styleId="SideHeading">
    <w:name w:val="Side Heading"/>
    <w:basedOn w:val="HeadingBase"/>
    <w:rsid w:val="003827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827E2"/>
    <w:pPr>
      <w:numPr>
        <w:numId w:val="12"/>
      </w:numPr>
    </w:pPr>
  </w:style>
  <w:style w:type="paragraph" w:styleId="PlainText">
    <w:name w:val="Plain Text"/>
    <w:basedOn w:val="Normal"/>
    <w:link w:val="PlainTextChar"/>
    <w:rsid w:val="003827E2"/>
    <w:rPr>
      <w:sz w:val="20"/>
    </w:rPr>
  </w:style>
  <w:style w:type="character" w:customStyle="1" w:styleId="PlainTextChar">
    <w:name w:val="Plain Text Char"/>
    <w:basedOn w:val="DefaultParagraphFont"/>
    <w:link w:val="PlainText"/>
    <w:rsid w:val="003827E2"/>
    <w:rPr>
      <w:rFonts w:ascii="Courier New" w:eastAsia="Times New Roman" w:hAnsi="Courier New" w:cs="Times New Roman"/>
      <w:sz w:val="20"/>
      <w:szCs w:val="20"/>
      <w:lang w:eastAsia="en-US"/>
    </w:rPr>
  </w:style>
  <w:style w:type="character" w:customStyle="1" w:styleId="MenuOption">
    <w:name w:val="Menu Option"/>
    <w:basedOn w:val="DefaultParagraphFont"/>
    <w:rsid w:val="003827E2"/>
    <w:rPr>
      <w:b/>
      <w:smallCaps/>
    </w:rPr>
  </w:style>
  <w:style w:type="paragraph" w:customStyle="1" w:styleId="TableListNumber">
    <w:name w:val="Table List Number"/>
    <w:basedOn w:val="ListNumber"/>
    <w:rsid w:val="003827E2"/>
    <w:pPr>
      <w:numPr>
        <w:numId w:val="0"/>
      </w:numPr>
    </w:pPr>
  </w:style>
  <w:style w:type="paragraph" w:styleId="TOC4">
    <w:name w:val="toc 4"/>
    <w:basedOn w:val="TOCBase"/>
    <w:next w:val="Normal"/>
    <w:semiHidden/>
    <w:rsid w:val="003827E2"/>
    <w:pPr>
      <w:tabs>
        <w:tab w:val="right" w:leader="dot" w:pos="9071"/>
      </w:tabs>
      <w:ind w:left="1701"/>
    </w:pPr>
  </w:style>
  <w:style w:type="paragraph" w:customStyle="1" w:styleId="ListAlpha">
    <w:name w:val="List Alpha"/>
    <w:basedOn w:val="List"/>
    <w:rsid w:val="003827E2"/>
    <w:pPr>
      <w:numPr>
        <w:numId w:val="9"/>
      </w:numPr>
    </w:pPr>
  </w:style>
  <w:style w:type="paragraph" w:customStyle="1" w:styleId="ListAlpha2">
    <w:name w:val="List Alpha 2"/>
    <w:basedOn w:val="List2"/>
    <w:rsid w:val="003827E2"/>
    <w:pPr>
      <w:numPr>
        <w:numId w:val="8"/>
      </w:numPr>
    </w:pPr>
  </w:style>
  <w:style w:type="paragraph" w:styleId="List2">
    <w:name w:val="List 2"/>
    <w:basedOn w:val="BodyText"/>
    <w:rsid w:val="003827E2"/>
    <w:pPr>
      <w:tabs>
        <w:tab w:val="left" w:pos="680"/>
      </w:tabs>
      <w:spacing w:before="60" w:after="60"/>
      <w:ind w:left="680" w:hanging="340"/>
    </w:pPr>
  </w:style>
  <w:style w:type="paragraph" w:styleId="List3">
    <w:name w:val="List 3"/>
    <w:basedOn w:val="BodyText"/>
    <w:rsid w:val="003827E2"/>
    <w:pPr>
      <w:tabs>
        <w:tab w:val="left" w:pos="1021"/>
      </w:tabs>
      <w:spacing w:before="60" w:after="60"/>
      <w:ind w:left="1020" w:hanging="340"/>
    </w:pPr>
  </w:style>
  <w:style w:type="paragraph" w:styleId="List4">
    <w:name w:val="List 4"/>
    <w:basedOn w:val="BodyText"/>
    <w:rsid w:val="003827E2"/>
    <w:pPr>
      <w:tabs>
        <w:tab w:val="left" w:pos="1361"/>
      </w:tabs>
      <w:spacing w:before="60" w:after="60"/>
      <w:ind w:left="1361" w:hanging="340"/>
    </w:pPr>
  </w:style>
  <w:style w:type="paragraph" w:styleId="List5">
    <w:name w:val="List 5"/>
    <w:basedOn w:val="BodyText"/>
    <w:rsid w:val="003827E2"/>
    <w:pPr>
      <w:tabs>
        <w:tab w:val="left" w:pos="1701"/>
      </w:tabs>
      <w:spacing w:before="60" w:after="60"/>
      <w:ind w:left="1701" w:hanging="340"/>
    </w:pPr>
  </w:style>
  <w:style w:type="paragraph" w:styleId="ListBullet3">
    <w:name w:val="List Bullet 3"/>
    <w:basedOn w:val="List3"/>
    <w:rsid w:val="003827E2"/>
    <w:pPr>
      <w:numPr>
        <w:numId w:val="15"/>
      </w:numPr>
      <w:tabs>
        <w:tab w:val="clear" w:pos="1021"/>
      </w:tabs>
      <w:ind w:left="1037" w:hanging="357"/>
    </w:pPr>
  </w:style>
  <w:style w:type="paragraph" w:styleId="ListBullet4">
    <w:name w:val="List Bullet 4"/>
    <w:basedOn w:val="List4"/>
    <w:rsid w:val="003827E2"/>
    <w:pPr>
      <w:numPr>
        <w:numId w:val="3"/>
      </w:numPr>
    </w:pPr>
  </w:style>
  <w:style w:type="paragraph" w:styleId="ListBullet5">
    <w:name w:val="List Bullet 5"/>
    <w:basedOn w:val="List5"/>
    <w:rsid w:val="003827E2"/>
    <w:pPr>
      <w:numPr>
        <w:numId w:val="4"/>
      </w:numPr>
    </w:pPr>
  </w:style>
  <w:style w:type="paragraph" w:styleId="ListContinue2">
    <w:name w:val="List Continue 2"/>
    <w:basedOn w:val="List2"/>
    <w:rsid w:val="003827E2"/>
    <w:pPr>
      <w:ind w:firstLine="0"/>
    </w:pPr>
  </w:style>
  <w:style w:type="paragraph" w:styleId="ListContinue3">
    <w:name w:val="List Continue 3"/>
    <w:basedOn w:val="List3"/>
    <w:rsid w:val="003827E2"/>
    <w:pPr>
      <w:ind w:left="1021" w:firstLine="0"/>
    </w:pPr>
  </w:style>
  <w:style w:type="paragraph" w:styleId="ListContinue4">
    <w:name w:val="List Continue 4"/>
    <w:basedOn w:val="List4"/>
    <w:rsid w:val="003827E2"/>
    <w:pPr>
      <w:ind w:firstLine="0"/>
    </w:pPr>
  </w:style>
  <w:style w:type="paragraph" w:styleId="ListContinue5">
    <w:name w:val="List Continue 5"/>
    <w:basedOn w:val="List5"/>
    <w:rsid w:val="003827E2"/>
    <w:pPr>
      <w:ind w:firstLine="0"/>
    </w:pPr>
  </w:style>
  <w:style w:type="paragraph" w:styleId="ListNumber3">
    <w:name w:val="List Number 3"/>
    <w:basedOn w:val="List3"/>
    <w:rsid w:val="003827E2"/>
    <w:pPr>
      <w:numPr>
        <w:numId w:val="5"/>
      </w:numPr>
    </w:pPr>
  </w:style>
  <w:style w:type="paragraph" w:styleId="ListNumber4">
    <w:name w:val="List Number 4"/>
    <w:basedOn w:val="List4"/>
    <w:rsid w:val="003827E2"/>
    <w:pPr>
      <w:numPr>
        <w:numId w:val="6"/>
      </w:numPr>
    </w:pPr>
  </w:style>
  <w:style w:type="paragraph" w:styleId="ListNumber5">
    <w:name w:val="List Number 5"/>
    <w:basedOn w:val="List5"/>
    <w:rsid w:val="003827E2"/>
    <w:pPr>
      <w:numPr>
        <w:numId w:val="7"/>
      </w:numPr>
    </w:pPr>
  </w:style>
  <w:style w:type="paragraph" w:styleId="BlockText">
    <w:name w:val="Block Text"/>
    <w:basedOn w:val="Normal"/>
    <w:rsid w:val="003827E2"/>
    <w:pPr>
      <w:spacing w:after="120"/>
      <w:ind w:left="1440" w:right="1440"/>
    </w:pPr>
  </w:style>
  <w:style w:type="character" w:customStyle="1" w:styleId="Subscript">
    <w:name w:val="Subscript"/>
    <w:basedOn w:val="DefaultParagraphFont"/>
    <w:rsid w:val="003827E2"/>
    <w:rPr>
      <w:sz w:val="16"/>
      <w:vertAlign w:val="subscript"/>
    </w:rPr>
  </w:style>
  <w:style w:type="character" w:customStyle="1" w:styleId="Superscript">
    <w:name w:val="Superscript"/>
    <w:basedOn w:val="DefaultParagraphFont"/>
    <w:rsid w:val="003827E2"/>
    <w:rPr>
      <w:sz w:val="16"/>
      <w:vertAlign w:val="superscript"/>
    </w:rPr>
  </w:style>
  <w:style w:type="character" w:customStyle="1" w:styleId="Symbols">
    <w:name w:val="Symbols"/>
    <w:basedOn w:val="DefaultParagraphFont"/>
    <w:rsid w:val="003827E2"/>
    <w:rPr>
      <w:rFonts w:ascii="Symbol" w:hAnsi="Symbol"/>
    </w:rPr>
  </w:style>
  <w:style w:type="character" w:customStyle="1" w:styleId="MenuOptions">
    <w:name w:val="Menu Options"/>
    <w:basedOn w:val="DefaultParagraphFont"/>
    <w:rsid w:val="003827E2"/>
    <w:rPr>
      <w:rFonts w:ascii="Arial Narrow" w:hAnsi="Arial Narrow"/>
      <w:smallCaps/>
    </w:rPr>
  </w:style>
  <w:style w:type="character" w:customStyle="1" w:styleId="Buttons">
    <w:name w:val="Buttons"/>
    <w:basedOn w:val="DefaultParagraphFont"/>
    <w:rsid w:val="003827E2"/>
    <w:rPr>
      <w:b/>
    </w:rPr>
  </w:style>
  <w:style w:type="character" w:customStyle="1" w:styleId="Underlined">
    <w:name w:val="Underlined"/>
    <w:basedOn w:val="DefaultParagraphFont"/>
    <w:rsid w:val="003827E2"/>
    <w:rPr>
      <w:u w:val="single"/>
    </w:rPr>
  </w:style>
  <w:style w:type="paragraph" w:customStyle="1" w:styleId="TableBodyTextRight">
    <w:name w:val="Table Body Text Right"/>
    <w:basedOn w:val="TableBodyText"/>
    <w:rsid w:val="003827E2"/>
    <w:pPr>
      <w:widowControl w:val="0"/>
      <w:autoSpaceDE w:val="0"/>
      <w:autoSpaceDN w:val="0"/>
      <w:adjustRightInd w:val="0"/>
      <w:jc w:val="right"/>
    </w:pPr>
    <w:rPr>
      <w:rFonts w:cs="Arial"/>
      <w:szCs w:val="18"/>
    </w:rPr>
  </w:style>
  <w:style w:type="paragraph" w:customStyle="1" w:styleId="CopyrightText">
    <w:name w:val="Copyright Text"/>
    <w:basedOn w:val="BodyText"/>
    <w:rsid w:val="003827E2"/>
    <w:rPr>
      <w:sz w:val="18"/>
    </w:rPr>
  </w:style>
  <w:style w:type="paragraph" w:customStyle="1" w:styleId="BodySmallRight">
    <w:name w:val="Body Small Right"/>
    <w:basedOn w:val="BodyTextRight"/>
    <w:rsid w:val="003827E2"/>
    <w:rPr>
      <w:sz w:val="18"/>
      <w:szCs w:val="18"/>
    </w:rPr>
  </w:style>
  <w:style w:type="paragraph" w:customStyle="1" w:styleId="MarginEdition">
    <w:name w:val="Margin Edition"/>
    <w:basedOn w:val="MarginNote"/>
    <w:rsid w:val="003827E2"/>
    <w:pPr>
      <w:spacing w:before="0" w:after="0"/>
    </w:pPr>
    <w:rPr>
      <w:rFonts w:ascii="Times New Roman" w:hAnsi="Times New Roman"/>
      <w:color w:val="999999"/>
    </w:rPr>
  </w:style>
  <w:style w:type="paragraph" w:customStyle="1" w:styleId="Spacer">
    <w:name w:val="Spacer"/>
    <w:basedOn w:val="Normal"/>
    <w:rsid w:val="003827E2"/>
    <w:rPr>
      <w:sz w:val="2"/>
      <w:szCs w:val="2"/>
    </w:rPr>
  </w:style>
  <w:style w:type="character" w:customStyle="1" w:styleId="Small">
    <w:name w:val="Small"/>
    <w:basedOn w:val="DefaultParagraphFont"/>
    <w:rsid w:val="003827E2"/>
    <w:rPr>
      <w:sz w:val="16"/>
    </w:rPr>
  </w:style>
  <w:style w:type="paragraph" w:customStyle="1" w:styleId="WideTable">
    <w:name w:val="Wide Table"/>
    <w:basedOn w:val="Normal"/>
    <w:rsid w:val="003827E2"/>
    <w:pPr>
      <w:ind w:left="-1418"/>
    </w:pPr>
    <w:rPr>
      <w:sz w:val="2"/>
      <w:szCs w:val="2"/>
    </w:rPr>
  </w:style>
  <w:style w:type="character" w:styleId="PageNumber">
    <w:name w:val="page number"/>
    <w:basedOn w:val="DefaultParagraphFont"/>
    <w:rsid w:val="003827E2"/>
  </w:style>
  <w:style w:type="paragraph" w:styleId="Quote">
    <w:name w:val="Quote"/>
    <w:basedOn w:val="Heading1"/>
    <w:link w:val="QuoteChar"/>
    <w:qFormat/>
    <w:rsid w:val="003827E2"/>
    <w:rPr>
      <w:b w:val="0"/>
      <w:sz w:val="72"/>
      <w:szCs w:val="72"/>
      <w:lang w:val="en-NZ"/>
    </w:rPr>
  </w:style>
  <w:style w:type="character" w:customStyle="1" w:styleId="QuoteChar">
    <w:name w:val="Quote Char"/>
    <w:basedOn w:val="DefaultParagraphFont"/>
    <w:link w:val="Quote"/>
    <w:rsid w:val="003827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827E2"/>
    <w:pPr>
      <w:pageBreakBefore/>
    </w:pPr>
  </w:style>
  <w:style w:type="paragraph" w:customStyle="1" w:styleId="Border">
    <w:name w:val="Border"/>
    <w:basedOn w:val="Normal"/>
    <w:qFormat/>
    <w:rsid w:val="003827E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827E2"/>
    <w:rPr>
      <w:b/>
      <w:bCs/>
      <w:i/>
      <w:iCs/>
      <w:color w:val="auto"/>
    </w:rPr>
  </w:style>
  <w:style w:type="paragraph" w:styleId="IntenseQuote">
    <w:name w:val="Intense Quote"/>
    <w:basedOn w:val="Normal"/>
    <w:next w:val="Normal"/>
    <w:link w:val="IntenseQuoteChar"/>
    <w:uiPriority w:val="30"/>
    <w:qFormat/>
    <w:rsid w:val="003827E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827E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827E2"/>
    <w:rPr>
      <w:smallCaps/>
      <w:color w:val="auto"/>
      <w:u w:val="single"/>
    </w:rPr>
  </w:style>
  <w:style w:type="character" w:styleId="IntenseReference">
    <w:name w:val="Intense Reference"/>
    <w:basedOn w:val="DefaultParagraphFont"/>
    <w:uiPriority w:val="32"/>
    <w:qFormat/>
    <w:rsid w:val="003827E2"/>
    <w:rPr>
      <w:b/>
      <w:bCs/>
      <w:smallCaps/>
      <w:color w:val="auto"/>
      <w:spacing w:val="5"/>
      <w:u w:val="single"/>
    </w:rPr>
  </w:style>
  <w:style w:type="paragraph" w:customStyle="1" w:styleId="2ColumnHeading">
    <w:name w:val="2Column Heading"/>
    <w:basedOn w:val="BodyText"/>
    <w:qFormat/>
    <w:rsid w:val="003827E2"/>
    <w:pPr>
      <w:spacing w:after="60"/>
      <w:ind w:left="-2268"/>
    </w:pPr>
    <w:rPr>
      <w:b/>
    </w:rPr>
  </w:style>
  <w:style w:type="paragraph" w:customStyle="1" w:styleId="Heading1TOC">
    <w:name w:val="Heading1 TOC"/>
    <w:basedOn w:val="Normal"/>
    <w:qFormat/>
    <w:rsid w:val="003827E2"/>
    <w:pPr>
      <w:spacing w:before="240" w:after="120"/>
    </w:pPr>
    <w:rPr>
      <w:rFonts w:ascii="Times New Roman" w:hAnsi="Times New Roman"/>
      <w:b/>
      <w:sz w:val="32"/>
    </w:rPr>
  </w:style>
  <w:style w:type="paragraph" w:customStyle="1" w:styleId="Heading2TOC">
    <w:name w:val="Heading2 TOC"/>
    <w:basedOn w:val="Normal"/>
    <w:qFormat/>
    <w:rsid w:val="003827E2"/>
    <w:pPr>
      <w:spacing w:before="240" w:after="60"/>
    </w:pPr>
    <w:rPr>
      <w:rFonts w:ascii="Times New Roman" w:hAnsi="Times New Roman"/>
      <w:b/>
      <w:sz w:val="28"/>
    </w:rPr>
  </w:style>
  <w:style w:type="paragraph" w:styleId="BalloonText">
    <w:name w:val="Balloon Text"/>
    <w:basedOn w:val="Normal"/>
    <w:link w:val="BalloonTextChar"/>
    <w:rsid w:val="003827E2"/>
    <w:rPr>
      <w:rFonts w:ascii="Tahoma" w:hAnsi="Tahoma" w:cs="Tahoma"/>
      <w:sz w:val="16"/>
      <w:szCs w:val="16"/>
    </w:rPr>
  </w:style>
  <w:style w:type="character" w:customStyle="1" w:styleId="BalloonTextChar">
    <w:name w:val="Balloon Text Char"/>
    <w:basedOn w:val="DefaultParagraphFont"/>
    <w:link w:val="BalloonText"/>
    <w:rsid w:val="003827E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827E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827E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827E2"/>
    <w:rPr>
      <w:b/>
      <w:color w:val="660033"/>
      <w:spacing w:val="0"/>
    </w:rPr>
  </w:style>
  <w:style w:type="paragraph" w:customStyle="1" w:styleId="Nameditemlist">
    <w:name w:val="Named item list"/>
    <w:basedOn w:val="BodyText"/>
    <w:qFormat/>
    <w:rsid w:val="003827E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1718</Words>
  <Characters>10963</Characters>
  <Application>Microsoft Office Word</Application>
  <DocSecurity>0</DocSecurity>
  <Lines>327</Lines>
  <Paragraphs>192</Paragraphs>
  <ScaleCrop>false</ScaleCrop>
  <Company>Author-it Software Corporation Ltd.</Company>
  <LinksUpToDate>false</LinksUpToDate>
  <CharactersWithSpaces>12610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PSPFRAU502B Anticipate and detect possible fraud activity</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2012-11-01T03:20:00Z</dcterms:created>
  <dcterms:modified xsi:type="dcterms:W3CDTF">2012-11-01T03:20:00Z</dcterms:modified>
</cp:coreProperties>
</file>