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639B" w:rsidP="00B8639B">
      <w:pPr>
        <w:pStyle w:val="Title"/>
      </w:pPr>
      <w:bookmarkStart w:id="0" w:name="_GoBack"/>
      <w:bookmarkEnd w:id="0"/>
      <w:r>
        <w:fldChar w:fldCharType="begin"/>
      </w:r>
      <w:r>
        <w:instrText xml:space="preserve"> TITLE   \* MERGEFORMAT </w:instrText>
      </w:r>
      <w:r>
        <w:fldChar w:fldCharType="separate"/>
      </w:r>
      <w:r>
        <w:t>PSPFRAU501B Communicate fraud control awareness</w:t>
      </w:r>
      <w:r>
        <w:fldChar w:fldCharType="end"/>
      </w:r>
    </w:p>
    <w:p w:rsidR="00B8639B" w:rsidP="00B8639B">
      <w:pPr>
        <w:pStyle w:val="Version"/>
        <w:sectPr w:rsidSect="007F6E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7F6E19" w:rsidP="007F6E19">
      <w:pPr>
        <w:pStyle w:val="SuperHeading"/>
      </w:pPr>
      <w:r w:rsidRPr="007F6E19">
        <w:t>PSPFRAU501B Communicate fraud control awareness</w:t>
      </w:r>
    </w:p>
    <w:p w:rsidR="00000000" w:rsidRPr="007F6E19" w:rsidP="007F6E19">
      <w:pPr>
        <w:pStyle w:val="SuperHeading"/>
      </w:pPr>
    </w:p>
    <w:p w:rsidR="00000000" w:rsidRPr="007F6E19" w:rsidP="007F6E19">
      <w:pPr>
        <w:pStyle w:val="Heading1"/>
      </w:pPr>
      <w:bookmarkStart w:id="1" w:name="O_495061"/>
      <w:bookmarkEnd w:id="1"/>
      <w:r w:rsidRPr="007F6E19">
        <w:t>Modification History</w:t>
      </w:r>
    </w:p>
    <w:tbl>
      <w:tblPr>
        <w:tblW w:w="0" w:type="auto"/>
        <w:tblLayout w:type="fixed"/>
        <w:tblCellMar>
          <w:left w:w="62" w:type="dxa"/>
          <w:right w:w="62" w:type="dxa"/>
        </w:tblCellMar>
        <w:tblLook w:val="0000"/>
      </w:tblPr>
      <w:tblGrid>
        <w:gridCol w:w="3052"/>
        <w:gridCol w:w="3052"/>
        <w:gridCol w:w="3052"/>
      </w:tblGrid>
      <w:tr w:rsidTr="00B8639B">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6E19" w:rsidP="007F6E19">
            <w:pPr>
              <w:pStyle w:val="BodyText"/>
            </w:pPr>
            <w:r w:rsidRPr="007F6E19">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6E19" w:rsidP="007F6E19">
            <w:pPr>
              <w:pStyle w:val="BodyText"/>
            </w:pPr>
            <w:r w:rsidRPr="007F6E19">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E19">
            <w:pPr>
              <w:pStyle w:val="BodyText"/>
              <w:rPr>
                <w:lang w:val="en-NZ"/>
              </w:rPr>
            </w:pPr>
            <w:r w:rsidRPr="007F6E19">
              <w:rPr>
                <w:rStyle w:val="SpecialBold"/>
              </w:rPr>
              <w:t>Comments</w:t>
            </w:r>
          </w:p>
        </w:tc>
      </w:tr>
      <w:tr w:rsidTr="00B8639B">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E19">
            <w:pPr>
              <w:pStyle w:val="BodyText"/>
              <w:rPr>
                <w:lang w:val="en-NZ"/>
              </w:rPr>
            </w:pPr>
            <w:r w:rsidRPr="007F6E19">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E19">
            <w:pPr>
              <w:pStyle w:val="BodyText"/>
              <w:rPr>
                <w:lang w:val="en-NZ"/>
              </w:rPr>
            </w:pPr>
            <w:r w:rsidRPr="007F6E19">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E19">
            <w:pPr>
              <w:pStyle w:val="BodyText"/>
              <w:rPr>
                <w:lang w:val="en-NZ"/>
              </w:rPr>
            </w:pPr>
            <w:r w:rsidRPr="007F6E19">
              <w:t xml:space="preserve">Unit descriptor edited. </w:t>
            </w:r>
          </w:p>
        </w:tc>
      </w:tr>
      <w:tr w:rsidTr="00B8639B">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E19">
            <w:pPr>
              <w:pStyle w:val="BodyText"/>
              <w:rPr>
                <w:lang w:val="en-NZ"/>
              </w:rPr>
            </w:pPr>
            <w:r w:rsidRPr="007F6E19">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E19">
            <w:pPr>
              <w:pStyle w:val="BodyText"/>
              <w:rPr>
                <w:lang w:val="en-NZ"/>
              </w:rPr>
            </w:pPr>
            <w:r w:rsidRPr="007F6E19">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E19">
            <w:pPr>
              <w:pStyle w:val="BodyText"/>
              <w:rPr>
                <w:lang w:val="en-NZ"/>
              </w:rPr>
            </w:pPr>
            <w:r w:rsidRPr="007F6E19">
              <w:t>Layout adjusted. No changes to content.</w:t>
            </w:r>
          </w:p>
        </w:tc>
      </w:tr>
      <w:tr w:rsidTr="00B8639B">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E19">
            <w:pPr>
              <w:pStyle w:val="BodyText"/>
              <w:rPr>
                <w:lang w:val="en-NZ"/>
              </w:rPr>
            </w:pPr>
            <w:r w:rsidRPr="007F6E19">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E19">
            <w:pPr>
              <w:pStyle w:val="BodyText"/>
              <w:rPr>
                <w:lang w:val="en-NZ"/>
              </w:rPr>
            </w:pPr>
            <w:r w:rsidRPr="007F6E19">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6E19" w:rsidP="007F6E19">
            <w:pPr>
              <w:pStyle w:val="BodyText"/>
            </w:pPr>
            <w:r w:rsidRPr="007F6E19">
              <w:t>Primary release.</w:t>
            </w:r>
          </w:p>
        </w:tc>
      </w:tr>
    </w:tbl>
    <w:p w:rsidR="00B8639B" w:rsidP="007F6E19">
      <w:pPr>
        <w:pStyle w:val="BodyText"/>
      </w:pPr>
    </w:p>
    <w:p w:rsidR="00B8639B" w:rsidP="007F6E19">
      <w:pPr>
        <w:pStyle w:val="BodyText"/>
      </w:pPr>
    </w:p>
    <w:p w:rsidR="00000000" w:rsidRPr="007F6E19" w:rsidP="007F6E19">
      <w:pPr>
        <w:pStyle w:val="Heading1"/>
      </w:pPr>
      <w:bookmarkStart w:id="2" w:name="O_495060"/>
      <w:bookmarkEnd w:id="2"/>
      <w:r w:rsidRPr="007F6E19">
        <w:t>Unit Descriptor</w:t>
      </w:r>
    </w:p>
    <w:p w:rsidR="00000000" w:rsidRPr="007F6E19" w:rsidP="007F6E19">
      <w:pPr>
        <w:pStyle w:val="BodyText"/>
      </w:pPr>
      <w:r w:rsidRPr="007F6E19">
        <w:t>This unit covers fraud and corruption awa</w:t>
      </w:r>
      <w:r w:rsidRPr="007F6E19">
        <w:t>reness raising to improve compliance. It includes planning and designing fraud and corruption control awareness activities, promoting compliance, developing and nurturing cooperative client relationships, conducting fraud and corruption awareness activitie</w:t>
      </w:r>
      <w:r w:rsidRPr="007F6E19">
        <w:t>s and evaluating their success.</w:t>
      </w:r>
    </w:p>
    <w:p w:rsidR="00000000" w:rsidRPr="007F6E19" w:rsidP="007F6E19">
      <w:pPr>
        <w:pStyle w:val="BodyText"/>
      </w:pPr>
      <w:r w:rsidRPr="007F6E19">
        <w:rPr>
          <w:rStyle w:val="Emphasis"/>
        </w:rPr>
        <w:t>Fraud</w:t>
      </w:r>
      <w:r w:rsidRPr="007F6E19">
        <w:t xml:space="preserve"> in the unit title incorporates both </w:t>
      </w:r>
      <w:r w:rsidRPr="007F6E19">
        <w:rPr>
          <w:rStyle w:val="Emphasis"/>
        </w:rPr>
        <w:t>fraud and corruption</w:t>
      </w:r>
      <w:r w:rsidRPr="007F6E19">
        <w:t xml:space="preserve">. </w:t>
      </w:r>
    </w:p>
    <w:p w:rsidR="00000000" w:rsidRPr="007F6E19" w:rsidP="007F6E19">
      <w:pPr>
        <w:pStyle w:val="BodyText"/>
      </w:pPr>
      <w:r w:rsidRPr="007F6E19">
        <w:t>In practice, communicating fraud and corruption control awareness may overlap with other generalist or specialist public sector workplace activities such as ac</w:t>
      </w:r>
      <w:r w:rsidRPr="007F6E19">
        <w:t>ting ethically, promoting compliance with legislation, delivering client services, implementing fraud and corruption control activities, etc.</w:t>
      </w:r>
    </w:p>
    <w:p w:rsidR="00000000" w:rsidRPr="007F6E19" w:rsidP="007F6E19">
      <w:pPr>
        <w:pStyle w:val="BodyText"/>
      </w:pPr>
      <w:r w:rsidRPr="007F6E19">
        <w:t>This unit replaces and is equivalent to PSPFRAU501A Communicate fraud control awareness.</w:t>
      </w:r>
    </w:p>
    <w:p w:rsidR="00000000" w:rsidRPr="007F6E19" w:rsidP="007F6E19">
      <w:pPr>
        <w:pStyle w:val="BodyText"/>
      </w:pPr>
      <w:r w:rsidRPr="007F6E19">
        <w:t>No licensing, legislative</w:t>
      </w:r>
      <w:r w:rsidRPr="007F6E19">
        <w:t>, regulatory or certification requirements apply to this unit at the time of publication</w:t>
      </w:r>
    </w:p>
    <w:p w:rsidR="00000000" w:rsidRPr="007F6E19" w:rsidP="007F6E19">
      <w:pPr>
        <w:pStyle w:val="AllowPageBreak"/>
      </w:pPr>
    </w:p>
    <w:p w:rsidR="00000000" w:rsidRPr="007F6E19" w:rsidP="007F6E19">
      <w:pPr>
        <w:pStyle w:val="Heading1"/>
      </w:pPr>
      <w:bookmarkStart w:id="3" w:name="O_495073"/>
      <w:bookmarkEnd w:id="3"/>
      <w:r w:rsidRPr="007F6E19">
        <w:t>Application of the Unit</w:t>
      </w:r>
    </w:p>
    <w:p w:rsidR="00000000" w:rsidRPr="007F6E19" w:rsidP="007F6E19">
      <w:pPr>
        <w:pStyle w:val="BodyText"/>
      </w:pPr>
      <w:r w:rsidRPr="007F6E19">
        <w:t>Not applicable.</w:t>
      </w:r>
    </w:p>
    <w:p w:rsidR="00000000" w:rsidRPr="007F6E19" w:rsidP="007F6E19">
      <w:pPr>
        <w:pStyle w:val="AllowPageBreak"/>
      </w:pPr>
    </w:p>
    <w:p w:rsidR="00000000" w:rsidRPr="007F6E19" w:rsidP="007F6E19">
      <w:pPr>
        <w:pStyle w:val="Heading1"/>
      </w:pPr>
      <w:bookmarkStart w:id="4" w:name="O_495066"/>
      <w:bookmarkEnd w:id="4"/>
      <w:r w:rsidRPr="007F6E19">
        <w:t>Licensing/Regulatory Information</w:t>
      </w:r>
    </w:p>
    <w:p w:rsidR="00000000" w:rsidRPr="007F6E19" w:rsidP="007F6E19">
      <w:pPr>
        <w:pStyle w:val="BodyText"/>
      </w:pPr>
      <w:r w:rsidRPr="007F6E19">
        <w:t>Not applicable.</w:t>
      </w:r>
    </w:p>
    <w:p w:rsidR="00000000" w:rsidRPr="007F6E19" w:rsidP="007F6E19">
      <w:pPr>
        <w:pStyle w:val="AllowPageBreak"/>
      </w:pPr>
    </w:p>
    <w:p w:rsidR="00000000" w:rsidRPr="007F6E19" w:rsidP="007F6E19">
      <w:pPr>
        <w:pStyle w:val="Heading1"/>
      </w:pPr>
      <w:bookmarkStart w:id="5" w:name="O_495062"/>
      <w:bookmarkEnd w:id="5"/>
      <w:r w:rsidRPr="007F6E19">
        <w:t>Pre-Requisites</w:t>
      </w:r>
    </w:p>
    <w:p w:rsidR="00000000" w:rsidRPr="007F6E19" w:rsidP="007F6E19">
      <w:pPr>
        <w:pStyle w:val="BodyText"/>
      </w:pPr>
      <w:r w:rsidRPr="007F6E19">
        <w:t>Not applicable.</w:t>
      </w:r>
    </w:p>
    <w:p w:rsidR="00000000" w:rsidRPr="007F6E19" w:rsidP="007F6E19">
      <w:pPr>
        <w:pStyle w:val="AllowPageBreak"/>
      </w:pPr>
    </w:p>
    <w:p w:rsidR="00000000" w:rsidRPr="007F6E19" w:rsidP="007F6E19">
      <w:pPr>
        <w:pStyle w:val="Heading1"/>
      </w:pPr>
      <w:bookmarkStart w:id="6" w:name="O_495069"/>
      <w:bookmarkEnd w:id="6"/>
      <w:r w:rsidRPr="007F6E19">
        <w:t>Employability Skills Information</w:t>
      </w:r>
    </w:p>
    <w:p w:rsidR="00000000" w:rsidRPr="007F6E19" w:rsidP="007F6E19">
      <w:pPr>
        <w:pStyle w:val="BodyText"/>
      </w:pPr>
      <w:r w:rsidRPr="007F6E19">
        <w:t>This unit contains employability skills.</w:t>
      </w:r>
    </w:p>
    <w:p w:rsidR="00000000" w:rsidRPr="007F6E19" w:rsidP="007F6E19">
      <w:pPr>
        <w:pStyle w:val="AllowPageBreak"/>
      </w:pPr>
    </w:p>
    <w:p w:rsidR="00000000" w:rsidRPr="007F6E19" w:rsidP="007F6E19">
      <w:pPr>
        <w:pStyle w:val="Heading1"/>
      </w:pPr>
      <w:bookmarkStart w:id="7" w:name="O_495070"/>
      <w:bookmarkEnd w:id="7"/>
      <w:r w:rsidRPr="007F6E19">
        <w:t>Elements and Performance Criteria Pre-Content</w:t>
      </w:r>
    </w:p>
    <w:tbl>
      <w:tblPr>
        <w:tblW w:w="9322" w:type="dxa"/>
        <w:tblLayout w:type="fixed"/>
        <w:tblCellMar>
          <w:left w:w="62" w:type="dxa"/>
          <w:right w:w="62" w:type="dxa"/>
        </w:tblCellMar>
        <w:tblLook w:val="0000"/>
      </w:tblPr>
      <w:tblGrid>
        <w:gridCol w:w="2660"/>
        <w:gridCol w:w="6662"/>
      </w:tblGrid>
      <w:tr w:rsidTr="00B8639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F6E19">
            <w:pPr>
              <w:pStyle w:val="BodyText"/>
              <w:rPr>
                <w:lang w:val="en-NZ"/>
              </w:rPr>
            </w:pPr>
            <w:r w:rsidRPr="007F6E19">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7F6E19" w:rsidP="007F6E19">
            <w:pPr>
              <w:pStyle w:val="BodyText"/>
            </w:pPr>
            <w:r w:rsidRPr="007F6E19">
              <w:t>Together, performance c</w:t>
            </w:r>
            <w:r w:rsidRPr="007F6E19">
              <w:t xml:space="preserve">riteria specify the requirements for competent performance. Text in </w:t>
            </w:r>
            <w:r w:rsidRPr="007F6E19">
              <w:rPr>
                <w:rStyle w:val="BoldandItalics"/>
              </w:rPr>
              <w:t>bold italics</w:t>
            </w:r>
            <w:r w:rsidRPr="007F6E19">
              <w:t xml:space="preserve">  is explained in the Range Statement following.</w:t>
            </w:r>
          </w:p>
        </w:tc>
      </w:tr>
    </w:tbl>
    <w:p w:rsidR="00000000" w:rsidRPr="007F6E19" w:rsidP="007F6E19">
      <w:pPr>
        <w:pStyle w:val="BodyText"/>
      </w:pPr>
    </w:p>
    <w:p w:rsidR="00000000" w:rsidRPr="007F6E19" w:rsidP="007F6E19">
      <w:pPr>
        <w:pStyle w:val="AllowPageBreak"/>
      </w:pPr>
    </w:p>
    <w:p w:rsidR="00000000" w:rsidRPr="007F6E19" w:rsidP="007F6E19">
      <w:pPr>
        <w:pStyle w:val="Heading1"/>
      </w:pPr>
      <w:bookmarkStart w:id="8" w:name="O_495071"/>
      <w:bookmarkEnd w:id="8"/>
      <w:r w:rsidRPr="007F6E19">
        <w:t>Elements and Performance Criteria</w:t>
      </w:r>
    </w:p>
    <w:tbl>
      <w:tblPr>
        <w:tblW w:w="9322" w:type="dxa"/>
        <w:tblLayout w:type="fixed"/>
        <w:tblCellMar>
          <w:left w:w="62" w:type="dxa"/>
          <w:right w:w="62" w:type="dxa"/>
        </w:tblCellMar>
        <w:tblLook w:val="0000"/>
      </w:tblPr>
      <w:tblGrid>
        <w:gridCol w:w="2660"/>
        <w:gridCol w:w="6662"/>
      </w:tblGrid>
      <w:tr w:rsidTr="00B8639B">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7F6E19" w:rsidP="007F6E19">
            <w:pPr>
              <w:pStyle w:val="BodyText"/>
            </w:pPr>
            <w:r w:rsidRPr="007F6E19">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7F6E19">
            <w:pPr>
              <w:pStyle w:val="BodyText"/>
              <w:rPr>
                <w:lang w:val="en-NZ"/>
              </w:rPr>
            </w:pPr>
            <w:r w:rsidRPr="007F6E19">
              <w:rPr>
                <w:rStyle w:val="SpecialBold"/>
              </w:rPr>
              <w:t>PERFORMANCE CRITERIA</w:t>
            </w:r>
          </w:p>
        </w:tc>
      </w:tr>
      <w:tr w:rsidTr="00B8639B">
        <w:tblPrEx>
          <w:tblW w:w="9322" w:type="dxa"/>
          <w:tblLayout w:type="fixed"/>
          <w:tblCellMar>
            <w:left w:w="62" w:type="dxa"/>
            <w:right w:w="62" w:type="dxa"/>
          </w:tblCellMar>
          <w:tblLook w:val="0000"/>
        </w:tblPrEx>
        <w:trPr>
          <w:trHeight w:val="2258"/>
        </w:trPr>
        <w:tc>
          <w:tcPr>
            <w:tcW w:w="2660" w:type="dxa"/>
            <w:tcBorders>
              <w:top w:val="nil"/>
              <w:left w:val="nil"/>
              <w:bottom w:val="nil"/>
              <w:right w:val="nil"/>
            </w:tcBorders>
            <w:tcMar>
              <w:top w:w="0" w:type="dxa"/>
              <w:left w:w="62" w:type="dxa"/>
              <w:bottom w:w="0" w:type="dxa"/>
              <w:right w:w="62" w:type="dxa"/>
            </w:tcMar>
          </w:tcPr>
          <w:p w:rsidR="00000000" w:rsidP="007F6E19">
            <w:pPr>
              <w:pStyle w:val="List"/>
              <w:rPr>
                <w:lang w:val="en-NZ"/>
              </w:rPr>
            </w:pPr>
            <w:r w:rsidRPr="007F6E19">
              <w:rPr>
                <w:rStyle w:val="SpecialBold"/>
              </w:rPr>
              <w:t>1</w:t>
            </w:r>
            <w:r w:rsidRPr="007F6E19">
              <w:t xml:space="preserve">.  </w:t>
            </w:r>
            <w:r w:rsidRPr="007F6E19">
              <w:tab/>
            </w:r>
            <w:r w:rsidRPr="007F6E19">
              <w:rPr>
                <w:rStyle w:val="SpecialBold"/>
              </w:rPr>
              <w:t>Plan fraud and corruption control awareness activities</w:t>
            </w:r>
          </w:p>
        </w:tc>
        <w:tc>
          <w:tcPr>
            <w:tcW w:w="6662" w:type="dxa"/>
            <w:tcBorders>
              <w:top w:val="nil"/>
              <w:left w:val="nil"/>
              <w:bottom w:val="nil"/>
              <w:right w:val="nil"/>
            </w:tcBorders>
            <w:tcMar>
              <w:top w:w="0" w:type="dxa"/>
              <w:left w:w="62" w:type="dxa"/>
              <w:bottom w:w="0" w:type="dxa"/>
              <w:right w:w="62" w:type="dxa"/>
            </w:tcMar>
          </w:tcPr>
          <w:p w:rsidR="00000000" w:rsidRPr="007F6E19" w:rsidP="007F6E19">
            <w:pPr>
              <w:pStyle w:val="List"/>
            </w:pPr>
            <w:r w:rsidRPr="007F6E19">
              <w:t>1.1</w:t>
            </w:r>
            <w:r w:rsidRPr="007F6E19">
              <w:tab/>
            </w:r>
            <w:r w:rsidRPr="007F6E19">
              <w:rPr>
                <w:rStyle w:val="BoldandItalics"/>
              </w:rPr>
              <w:t xml:space="preserve">Need </w:t>
            </w:r>
            <w:r w:rsidRPr="007F6E19">
              <w:t>for activities is determined, taking into account identified client needs, feedback from clients and staff and priorities identified in the organisation's fraud and corruption control plan.</w:t>
            </w:r>
          </w:p>
          <w:p w:rsidR="00000000" w:rsidRPr="007F6E19" w:rsidP="007F6E19">
            <w:pPr>
              <w:pStyle w:val="List"/>
            </w:pPr>
            <w:r w:rsidRPr="007F6E19">
              <w:t>1.</w:t>
            </w:r>
            <w:r w:rsidRPr="007F6E19">
              <w:t>2</w:t>
            </w:r>
            <w:r w:rsidRPr="007F6E19">
              <w:tab/>
              <w:t>Ideas for new or improved activities are initiated, gathered and assessed, taking into account legislative and policy directions and the human, financial and physical resources required.</w:t>
            </w:r>
          </w:p>
          <w:p w:rsidR="00000000" w:rsidP="007F6E19">
            <w:pPr>
              <w:pStyle w:val="List"/>
              <w:rPr>
                <w:lang w:val="en-NZ"/>
              </w:rPr>
            </w:pPr>
            <w:r w:rsidRPr="007F6E19">
              <w:t>1.3</w:t>
            </w:r>
            <w:r w:rsidRPr="007F6E19">
              <w:tab/>
              <w:t xml:space="preserve">Approval for </w:t>
            </w:r>
            <w:r w:rsidRPr="007F6E19">
              <w:rPr>
                <w:rStyle w:val="BoldandItalics"/>
              </w:rPr>
              <w:t xml:space="preserve">fraud and corruption awareness-raising activities </w:t>
            </w:r>
            <w:r w:rsidRPr="007F6E19">
              <w:t>is obtained in accordance with organisational guidelines.</w:t>
            </w:r>
          </w:p>
        </w:tc>
      </w:tr>
      <w:tr w:rsidTr="00B8639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F6E19">
            <w:pPr>
              <w:pStyle w:val="List"/>
              <w:rPr>
                <w:lang w:val="en-NZ"/>
              </w:rPr>
            </w:pPr>
            <w:r w:rsidRPr="007F6E19">
              <w:rPr>
                <w:rStyle w:val="SpecialBold"/>
              </w:rPr>
              <w:t>2</w:t>
            </w:r>
            <w:r w:rsidRPr="007F6E19">
              <w:t xml:space="preserve">.  </w:t>
            </w:r>
            <w:r w:rsidRPr="007F6E19">
              <w:tab/>
            </w:r>
            <w:r w:rsidRPr="007F6E19">
              <w:rPr>
                <w:rStyle w:val="SpecialBold"/>
              </w:rPr>
              <w:t>Design fraud and corruption control awareness activities</w:t>
            </w:r>
          </w:p>
        </w:tc>
        <w:tc>
          <w:tcPr>
            <w:tcW w:w="6662" w:type="dxa"/>
            <w:tcBorders>
              <w:top w:val="nil"/>
              <w:left w:val="nil"/>
              <w:bottom w:val="nil"/>
              <w:right w:val="nil"/>
            </w:tcBorders>
            <w:tcMar>
              <w:top w:w="0" w:type="dxa"/>
              <w:left w:w="62" w:type="dxa"/>
              <w:bottom w:w="0" w:type="dxa"/>
              <w:right w:w="62" w:type="dxa"/>
            </w:tcMar>
          </w:tcPr>
          <w:p w:rsidR="00000000" w:rsidRPr="007F6E19" w:rsidP="007F6E19">
            <w:pPr>
              <w:pStyle w:val="List"/>
            </w:pPr>
            <w:r w:rsidRPr="007F6E19">
              <w:t>2.1</w:t>
            </w:r>
            <w:r w:rsidRPr="007F6E19">
              <w:tab/>
              <w:t>Individuals and groups are targeted, and formal and informal networks are established and used regularly as communication channels.</w:t>
            </w:r>
          </w:p>
          <w:p w:rsidR="00000000" w:rsidRPr="007F6E19" w:rsidP="007F6E19">
            <w:pPr>
              <w:pStyle w:val="List"/>
            </w:pPr>
            <w:r w:rsidRPr="007F6E19">
              <w:t>2.2</w:t>
            </w:r>
            <w:r w:rsidRPr="007F6E19">
              <w:tab/>
            </w:r>
            <w:r w:rsidRPr="007F6E19">
              <w:rPr>
                <w:rStyle w:val="BoldandItalics"/>
              </w:rPr>
              <w:t xml:space="preserve">Precedents </w:t>
            </w:r>
            <w:r w:rsidRPr="007F6E19">
              <w:t>in fraud and corruption control are incorporated into fraud and corruption control awareness activities.</w:t>
            </w:r>
          </w:p>
          <w:p w:rsidR="00000000" w:rsidRPr="007F6E19" w:rsidP="007F6E19">
            <w:pPr>
              <w:pStyle w:val="List"/>
            </w:pPr>
            <w:r w:rsidRPr="007F6E19">
              <w:t>2.3</w:t>
            </w:r>
            <w:r w:rsidRPr="007F6E19">
              <w:tab/>
              <w:t>A range of media is employed to ensure awareness raising and information sharing activities are implemented as required.</w:t>
            </w:r>
          </w:p>
          <w:p w:rsidR="00000000" w:rsidRPr="007F6E19" w:rsidP="007F6E19">
            <w:pPr>
              <w:pStyle w:val="List"/>
            </w:pPr>
            <w:r w:rsidRPr="007F6E19">
              <w:t>2.4</w:t>
            </w:r>
            <w:r w:rsidRPr="007F6E19">
              <w:tab/>
              <w:t xml:space="preserve">Fraud </w:t>
            </w:r>
            <w:r w:rsidRPr="007F6E19">
              <w:t>and corruption control awareness activities are linked in an integrated and cohesive manner with organisational ethical and fraud and corruption control guidelines, codes of conduct and related aspects of corporate policy.</w:t>
            </w:r>
          </w:p>
          <w:p w:rsidR="00000000" w:rsidRPr="007F6E19" w:rsidP="007F6E19">
            <w:pPr>
              <w:pStyle w:val="List"/>
            </w:pPr>
            <w:r w:rsidRPr="007F6E19">
              <w:t>2.5</w:t>
            </w:r>
            <w:r w:rsidRPr="007F6E19">
              <w:tab/>
              <w:t xml:space="preserve">Fraud and corruption control </w:t>
            </w:r>
            <w:r w:rsidRPr="007F6E19">
              <w:t>awareness activities are based on a knowledge of the organisation's corporate objectives, strategic plan, core business, the culture and values of the organisation and a knowledge of the organisation's client base.</w:t>
            </w:r>
          </w:p>
          <w:p w:rsidR="00000000" w:rsidP="007F6E19">
            <w:pPr>
              <w:pStyle w:val="List"/>
              <w:rPr>
                <w:lang w:val="en-NZ"/>
              </w:rPr>
            </w:pPr>
            <w:r w:rsidRPr="007F6E19">
              <w:t>2.6</w:t>
            </w:r>
            <w:r w:rsidRPr="007F6E19">
              <w:tab/>
              <w:t>Fraud and corruption control awarenes</w:t>
            </w:r>
            <w:r w:rsidRPr="007F6E19">
              <w:t>s activities are based on a knowledge of the obligations and protections relating to public interest disclosures, protected disclosures or whistleblowing legislation.</w:t>
            </w:r>
          </w:p>
        </w:tc>
      </w:tr>
      <w:tr w:rsidTr="00B8639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F6E19">
            <w:pPr>
              <w:pStyle w:val="List"/>
              <w:rPr>
                <w:lang w:val="en-NZ"/>
              </w:rPr>
            </w:pPr>
            <w:r w:rsidRPr="007F6E19">
              <w:rPr>
                <w:rStyle w:val="SpecialBold"/>
              </w:rPr>
              <w:t>3</w:t>
            </w:r>
            <w:r w:rsidRPr="007F6E19">
              <w:t xml:space="preserve">.  </w:t>
            </w:r>
            <w:r w:rsidRPr="007F6E19">
              <w:tab/>
            </w:r>
            <w:r w:rsidRPr="007F6E19">
              <w:rPr>
                <w:rStyle w:val="SpecialBold"/>
              </w:rPr>
              <w:t>Promote compliance</w:t>
            </w:r>
          </w:p>
        </w:tc>
        <w:tc>
          <w:tcPr>
            <w:tcW w:w="6662" w:type="dxa"/>
            <w:tcBorders>
              <w:top w:val="nil"/>
              <w:left w:val="nil"/>
              <w:bottom w:val="nil"/>
              <w:right w:val="nil"/>
            </w:tcBorders>
            <w:tcMar>
              <w:top w:w="0" w:type="dxa"/>
              <w:left w:w="62" w:type="dxa"/>
              <w:bottom w:w="0" w:type="dxa"/>
              <w:right w:w="62" w:type="dxa"/>
            </w:tcMar>
          </w:tcPr>
          <w:p w:rsidR="00000000" w:rsidRPr="007F6E19" w:rsidP="007F6E19">
            <w:pPr>
              <w:pStyle w:val="List"/>
            </w:pPr>
            <w:r w:rsidRPr="007F6E19">
              <w:t>3.1</w:t>
            </w:r>
            <w:r w:rsidRPr="007F6E19">
              <w:tab/>
              <w:t>Incidents and effects of non-compliance are publicised in ac</w:t>
            </w:r>
            <w:r w:rsidRPr="007F6E19">
              <w:t>cordance with organisational requirements.</w:t>
            </w:r>
          </w:p>
          <w:p w:rsidR="00000000" w:rsidP="007F6E19">
            <w:pPr>
              <w:pStyle w:val="List"/>
              <w:rPr>
                <w:lang w:val="en-NZ"/>
              </w:rPr>
            </w:pPr>
            <w:r w:rsidRPr="007F6E19">
              <w:t>3.2</w:t>
            </w:r>
            <w:r w:rsidRPr="007F6E19">
              <w:tab/>
            </w:r>
            <w:r w:rsidRPr="007F6E19">
              <w:rPr>
                <w:rStyle w:val="BoldandItalics"/>
              </w:rPr>
              <w:t xml:space="preserve">Information </w:t>
            </w:r>
            <w:r w:rsidRPr="007F6E19">
              <w:t>to promote compliance is provided in line with audience needs, both internally and externally.</w:t>
            </w:r>
          </w:p>
        </w:tc>
      </w:tr>
      <w:tr w:rsidTr="00B8639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F6E19">
            <w:pPr>
              <w:pStyle w:val="List"/>
              <w:rPr>
                <w:lang w:val="en-NZ"/>
              </w:rPr>
            </w:pPr>
            <w:r w:rsidRPr="007F6E19">
              <w:rPr>
                <w:rStyle w:val="SpecialBold"/>
              </w:rPr>
              <w:t>4</w:t>
            </w:r>
            <w:r w:rsidRPr="007F6E19">
              <w:t xml:space="preserve">.  </w:t>
            </w:r>
            <w:r w:rsidRPr="007F6E19">
              <w:tab/>
            </w:r>
            <w:r w:rsidRPr="007F6E19">
              <w:rPr>
                <w:rStyle w:val="SpecialBold"/>
              </w:rPr>
              <w:t>Develop and nurture cooperative client relationships</w:t>
            </w:r>
          </w:p>
        </w:tc>
        <w:tc>
          <w:tcPr>
            <w:tcW w:w="6662" w:type="dxa"/>
            <w:tcBorders>
              <w:top w:val="nil"/>
              <w:left w:val="nil"/>
              <w:bottom w:val="nil"/>
              <w:right w:val="nil"/>
            </w:tcBorders>
            <w:tcMar>
              <w:top w:w="0" w:type="dxa"/>
              <w:left w:w="62" w:type="dxa"/>
              <w:bottom w:w="0" w:type="dxa"/>
              <w:right w:w="62" w:type="dxa"/>
            </w:tcMar>
          </w:tcPr>
          <w:p w:rsidR="00000000" w:rsidRPr="007F6E19" w:rsidP="007F6E19">
            <w:pPr>
              <w:pStyle w:val="List"/>
            </w:pPr>
            <w:r w:rsidRPr="007F6E19">
              <w:t>4.1</w:t>
            </w:r>
            <w:r w:rsidRPr="007F6E19">
              <w:tab/>
              <w:t>Expectations of clients and contractors</w:t>
            </w:r>
            <w:r w:rsidRPr="007F6E19">
              <w:t xml:space="preserve"> are established and documented.</w:t>
            </w:r>
          </w:p>
          <w:p w:rsidR="00000000" w:rsidRPr="007F6E19" w:rsidP="007F6E19">
            <w:pPr>
              <w:pStyle w:val="List"/>
            </w:pPr>
            <w:r w:rsidRPr="007F6E19">
              <w:t>4.2</w:t>
            </w:r>
            <w:r w:rsidRPr="007F6E19">
              <w:tab/>
              <w:t xml:space="preserve">Opportunities for establishing contacts and </w:t>
            </w:r>
            <w:r w:rsidRPr="007F6E19">
              <w:rPr>
                <w:rStyle w:val="BoldandItalics"/>
              </w:rPr>
              <w:t xml:space="preserve">networks </w:t>
            </w:r>
            <w:r w:rsidRPr="007F6E19">
              <w:t>with external and internal clients are anticipated in consultation with work colleagues and managers.</w:t>
            </w:r>
          </w:p>
          <w:p w:rsidR="00000000" w:rsidRPr="007F6E19" w:rsidP="007F6E19">
            <w:pPr>
              <w:pStyle w:val="List"/>
            </w:pPr>
            <w:r w:rsidRPr="007F6E19">
              <w:t>4.3</w:t>
            </w:r>
            <w:r w:rsidRPr="007F6E19">
              <w:tab/>
              <w:t>Changes in organisational focus are monitored for effects on</w:t>
            </w:r>
            <w:r w:rsidRPr="007F6E19">
              <w:t xml:space="preserve"> organisation-client relationships and action is taken to inform clients of changes in accordance with organisational policy and procedures.</w:t>
            </w:r>
          </w:p>
          <w:p w:rsidR="00000000" w:rsidRPr="007F6E19" w:rsidP="007F6E19">
            <w:pPr>
              <w:pStyle w:val="List"/>
            </w:pPr>
            <w:r w:rsidRPr="007F6E19">
              <w:t>4.4</w:t>
            </w:r>
            <w:r w:rsidRPr="007F6E19">
              <w:tab/>
              <w:t xml:space="preserve">Feedback on organisational activities is </w:t>
            </w:r>
            <w:r w:rsidRPr="007F6E19">
              <w:t>obtained and reported within the organisation in accordance with policy and procedures.</w:t>
            </w:r>
          </w:p>
          <w:p w:rsidR="00000000" w:rsidRPr="007F6E19" w:rsidP="007F6E19">
            <w:pPr>
              <w:pStyle w:val="List"/>
            </w:pPr>
            <w:r w:rsidRPr="007F6E19">
              <w:t>4.5</w:t>
            </w:r>
            <w:r w:rsidRPr="007F6E19">
              <w:tab/>
              <w:t xml:space="preserve">Organisation's fraud and corruption control philosophy, policy and procedures are imparted in a way which facilitates </w:t>
            </w:r>
            <w:r w:rsidRPr="007F6E19">
              <w:rPr>
                <w:rStyle w:val="BoldandItalics"/>
              </w:rPr>
              <w:t xml:space="preserve">stakeholder </w:t>
            </w:r>
            <w:r w:rsidRPr="007F6E19">
              <w:t>understanding.</w:t>
            </w:r>
          </w:p>
          <w:p w:rsidR="00000000" w:rsidP="007F6E19">
            <w:pPr>
              <w:pStyle w:val="List"/>
              <w:rPr>
                <w:lang w:val="en-NZ"/>
              </w:rPr>
            </w:pPr>
            <w:r w:rsidRPr="007F6E19">
              <w:t>4.6</w:t>
            </w:r>
            <w:r w:rsidRPr="007F6E19">
              <w:tab/>
              <w:t>Where required,</w:t>
            </w:r>
            <w:r w:rsidRPr="007F6E19">
              <w:t xml:space="preserve"> clients are advised when and how they may modify their practices to meet organisational standards.</w:t>
            </w:r>
          </w:p>
        </w:tc>
      </w:tr>
      <w:tr w:rsidTr="00B8639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F6E19">
            <w:pPr>
              <w:pStyle w:val="List"/>
              <w:rPr>
                <w:lang w:val="en-NZ"/>
              </w:rPr>
            </w:pPr>
            <w:r w:rsidRPr="007F6E19">
              <w:rPr>
                <w:rStyle w:val="SpecialBold"/>
              </w:rPr>
              <w:t>5</w:t>
            </w:r>
            <w:r w:rsidRPr="007F6E19">
              <w:t xml:space="preserve">.  </w:t>
            </w:r>
            <w:r w:rsidRPr="007F6E19">
              <w:tab/>
            </w:r>
            <w:r w:rsidRPr="007F6E19">
              <w:rPr>
                <w:rStyle w:val="SpecialBold"/>
              </w:rPr>
              <w:t>Conduct fraud and corruption awareness activities</w:t>
            </w:r>
          </w:p>
        </w:tc>
        <w:tc>
          <w:tcPr>
            <w:tcW w:w="6662" w:type="dxa"/>
            <w:tcBorders>
              <w:top w:val="nil"/>
              <w:left w:val="nil"/>
              <w:bottom w:val="nil"/>
              <w:right w:val="nil"/>
            </w:tcBorders>
            <w:tcMar>
              <w:top w:w="0" w:type="dxa"/>
              <w:left w:w="62" w:type="dxa"/>
              <w:bottom w:w="0" w:type="dxa"/>
              <w:right w:w="62" w:type="dxa"/>
            </w:tcMar>
          </w:tcPr>
          <w:p w:rsidR="00000000" w:rsidRPr="007F6E19" w:rsidP="007F6E19">
            <w:pPr>
              <w:pStyle w:val="List"/>
            </w:pPr>
            <w:r w:rsidRPr="007F6E19">
              <w:t>5.1</w:t>
            </w:r>
            <w:r w:rsidRPr="007F6E19">
              <w:tab/>
              <w:t xml:space="preserve">Fraud and corruption awareness activities are planned and are feasible within existing resource </w:t>
            </w:r>
            <w:r w:rsidRPr="007F6E19">
              <w:t>and time constraints.</w:t>
            </w:r>
          </w:p>
          <w:p w:rsidR="00000000" w:rsidRPr="007F6E19" w:rsidP="007F6E19">
            <w:pPr>
              <w:pStyle w:val="List"/>
            </w:pPr>
            <w:r w:rsidRPr="007F6E19">
              <w:t>5.2</w:t>
            </w:r>
            <w:r w:rsidRPr="007F6E19">
              <w:tab/>
              <w:t>Intended outcomes are identified and are based on realistic expectations of the target audience.</w:t>
            </w:r>
          </w:p>
          <w:p w:rsidR="00000000" w:rsidRPr="007F6E19" w:rsidP="007F6E19">
            <w:pPr>
              <w:pStyle w:val="List"/>
            </w:pPr>
            <w:r w:rsidRPr="007F6E19">
              <w:t>5.3</w:t>
            </w:r>
            <w:r w:rsidRPr="007F6E19">
              <w:tab/>
              <w:t>Activities are varied, refined and adapted as indicated by audience response or by changes in the organisation's fraud and corrup</w:t>
            </w:r>
            <w:r w:rsidRPr="007F6E19">
              <w:t>tion control strategy and procedures.</w:t>
            </w:r>
          </w:p>
          <w:p w:rsidR="00000000" w:rsidRPr="007F6E19" w:rsidP="007F6E19">
            <w:pPr>
              <w:pStyle w:val="List"/>
            </w:pPr>
            <w:r w:rsidRPr="007F6E19">
              <w:t>5.4</w:t>
            </w:r>
            <w:r w:rsidRPr="007F6E19">
              <w:tab/>
              <w:t>Adult learning techniques are utilised.</w:t>
            </w:r>
          </w:p>
          <w:p w:rsidR="00000000" w:rsidP="007F6E19">
            <w:pPr>
              <w:pStyle w:val="List"/>
              <w:rPr>
                <w:lang w:val="en-NZ"/>
              </w:rPr>
            </w:pPr>
            <w:r w:rsidRPr="007F6E19">
              <w:t>5.5</w:t>
            </w:r>
            <w:r w:rsidRPr="007F6E19">
              <w:tab/>
              <w:t>Fraud and corruption control awareness information is linked with codes of conduct, ethical requirements, and the fraud and corruption control guidelines of the organisat</w:t>
            </w:r>
            <w:r w:rsidRPr="007F6E19">
              <w:t>ion together with its broader corporate goals.</w:t>
            </w:r>
          </w:p>
        </w:tc>
      </w:tr>
      <w:tr w:rsidTr="00B8639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F6E19">
            <w:pPr>
              <w:pStyle w:val="List"/>
              <w:rPr>
                <w:lang w:val="en-NZ"/>
              </w:rPr>
            </w:pPr>
            <w:r w:rsidRPr="007F6E19">
              <w:rPr>
                <w:rStyle w:val="SpecialBold"/>
              </w:rPr>
              <w:t>6</w:t>
            </w:r>
            <w:r w:rsidRPr="007F6E19">
              <w:t xml:space="preserve">.  </w:t>
            </w:r>
            <w:r w:rsidRPr="007F6E19">
              <w:tab/>
            </w:r>
            <w:r w:rsidRPr="007F6E19">
              <w:rPr>
                <w:rStyle w:val="SpecialBold"/>
              </w:rPr>
              <w:t>Evaluate success of awareness-raising activities</w:t>
            </w:r>
          </w:p>
        </w:tc>
        <w:tc>
          <w:tcPr>
            <w:tcW w:w="6662" w:type="dxa"/>
            <w:tcBorders>
              <w:top w:val="nil"/>
              <w:left w:val="nil"/>
              <w:bottom w:val="nil"/>
              <w:right w:val="nil"/>
            </w:tcBorders>
            <w:tcMar>
              <w:top w:w="0" w:type="dxa"/>
              <w:left w:w="62" w:type="dxa"/>
              <w:bottom w:w="0" w:type="dxa"/>
              <w:right w:w="62" w:type="dxa"/>
            </w:tcMar>
          </w:tcPr>
          <w:p w:rsidR="00000000" w:rsidRPr="007F6E19" w:rsidP="007F6E19">
            <w:pPr>
              <w:pStyle w:val="List"/>
            </w:pPr>
            <w:r w:rsidRPr="007F6E19">
              <w:t>6.1</w:t>
            </w:r>
            <w:r w:rsidRPr="007F6E19">
              <w:tab/>
              <w:t>Fraud and corruption control awareness activities are assessed against predetermined objectives.</w:t>
            </w:r>
          </w:p>
          <w:p w:rsidR="00000000" w:rsidRPr="007F6E19" w:rsidP="007F6E19">
            <w:pPr>
              <w:pStyle w:val="List"/>
            </w:pPr>
            <w:r w:rsidRPr="007F6E19">
              <w:t>6.2</w:t>
            </w:r>
            <w:r w:rsidRPr="007F6E19">
              <w:tab/>
              <w:t xml:space="preserve">Results of evaluation are documented and used as </w:t>
            </w:r>
            <w:r w:rsidRPr="007F6E19">
              <w:t>the basis for planning future activities.</w:t>
            </w:r>
          </w:p>
          <w:p w:rsidR="00000000" w:rsidRPr="007F6E19" w:rsidP="007F6E19">
            <w:pPr>
              <w:pStyle w:val="List"/>
            </w:pPr>
            <w:r w:rsidRPr="007F6E19">
              <w:t>6.3</w:t>
            </w:r>
            <w:r w:rsidRPr="007F6E19">
              <w:tab/>
              <w:t>Opportunities for new fraud and corruption awareness activities are identified and acted on as required.</w:t>
            </w:r>
          </w:p>
          <w:p w:rsidR="00000000" w:rsidRPr="007F6E19" w:rsidP="007F6E19">
            <w:pPr>
              <w:pStyle w:val="List"/>
            </w:pPr>
            <w:r w:rsidRPr="007F6E19">
              <w:t>6.4</w:t>
            </w:r>
            <w:r w:rsidRPr="007F6E19">
              <w:tab/>
              <w:t xml:space="preserve">Evidence, if any, is obtained of a </w:t>
            </w:r>
            <w:r w:rsidRPr="007F6E19">
              <w:rPr>
                <w:rStyle w:val="BoldandItalics"/>
              </w:rPr>
              <w:t xml:space="preserve">decrease </w:t>
            </w:r>
            <w:r w:rsidRPr="007F6E19">
              <w:t>in the level of fraud and corruption as a result of the a</w:t>
            </w:r>
            <w:r w:rsidRPr="007F6E19">
              <w:t>ctivities.</w:t>
            </w:r>
          </w:p>
        </w:tc>
      </w:tr>
    </w:tbl>
    <w:p w:rsidR="00000000" w:rsidRPr="007F6E19" w:rsidP="007F6E19">
      <w:pPr>
        <w:pStyle w:val="BodyText"/>
      </w:pPr>
    </w:p>
    <w:p w:rsidR="00000000" w:rsidRPr="007F6E19" w:rsidP="007F6E19">
      <w:pPr>
        <w:pStyle w:val="AllowPageBreak"/>
      </w:pPr>
    </w:p>
    <w:p w:rsidR="00000000" w:rsidRPr="007F6E19" w:rsidP="007F6E19">
      <w:pPr>
        <w:pStyle w:val="Heading1"/>
      </w:pPr>
      <w:bookmarkStart w:id="9" w:name="O_495063"/>
      <w:bookmarkEnd w:id="9"/>
      <w:r w:rsidRPr="007F6E19">
        <w:t>Required Skills and Knowledge</w:t>
      </w:r>
    </w:p>
    <w:tbl>
      <w:tblPr>
        <w:tblW w:w="0" w:type="auto"/>
        <w:tblLayout w:type="fixed"/>
        <w:tblCellMar>
          <w:left w:w="62" w:type="dxa"/>
          <w:right w:w="62" w:type="dxa"/>
        </w:tblCellMar>
        <w:tblLook w:val="0000"/>
      </w:tblPr>
      <w:tblGrid>
        <w:gridCol w:w="8512"/>
      </w:tblGrid>
      <w:tr w:rsidTr="00B8639B">
        <w:tblPrEx>
          <w:tblW w:w="0" w:type="auto"/>
          <w:tblLayout w:type="fixed"/>
          <w:tblCellMar>
            <w:left w:w="62" w:type="dxa"/>
            <w:right w:w="62" w:type="dxa"/>
          </w:tblCellMar>
          <w:tblLook w:val="0000"/>
        </w:tblPrEx>
        <w:tc>
          <w:tcPr>
            <w:tcW w:w="8512" w:type="dxa"/>
            <w:tcBorders>
              <w:top w:val="nil"/>
              <w:left w:val="nil"/>
              <w:bottom w:val="nil"/>
              <w:right w:val="nil"/>
            </w:tcBorders>
            <w:tcMar>
              <w:top w:w="0" w:type="dxa"/>
              <w:left w:w="62" w:type="dxa"/>
              <w:bottom w:w="0" w:type="dxa"/>
              <w:right w:w="62" w:type="dxa"/>
            </w:tcMar>
          </w:tcPr>
          <w:p w:rsidR="00000000" w:rsidP="007F6E19">
            <w:pPr>
              <w:pStyle w:val="BodyText"/>
              <w:rPr>
                <w:lang w:val="en-NZ"/>
              </w:rPr>
            </w:pPr>
            <w:r w:rsidRPr="007F6E19">
              <w:t>This section describes the essential skills and knowledge and their level, required for this unit.</w:t>
            </w:r>
          </w:p>
        </w:tc>
      </w:tr>
      <w:tr w:rsidTr="00B8639B">
        <w:tblPrEx>
          <w:tblW w:w="0" w:type="auto"/>
          <w:tblLayout w:type="fixed"/>
          <w:tblCellMar>
            <w:left w:w="62" w:type="dxa"/>
            <w:right w:w="62" w:type="dxa"/>
          </w:tblCellMar>
          <w:tblLook w:val="0000"/>
        </w:tblPrEx>
        <w:tc>
          <w:tcPr>
            <w:tcW w:w="8512" w:type="dxa"/>
            <w:tcBorders>
              <w:top w:val="nil"/>
              <w:left w:val="nil"/>
              <w:bottom w:val="nil"/>
              <w:right w:val="nil"/>
            </w:tcBorders>
            <w:tcMar>
              <w:top w:w="0" w:type="dxa"/>
              <w:left w:w="62" w:type="dxa"/>
              <w:bottom w:w="0" w:type="dxa"/>
              <w:right w:w="62" w:type="dxa"/>
            </w:tcMar>
          </w:tcPr>
          <w:p w:rsidR="00000000" w:rsidRPr="007F6E19" w:rsidP="007F6E19">
            <w:pPr>
              <w:pStyle w:val="BodyText"/>
            </w:pPr>
            <w:r w:rsidRPr="007F6E19">
              <w:rPr>
                <w:rStyle w:val="SpecialBold"/>
              </w:rPr>
              <w:t>Skill requirements</w:t>
            </w:r>
          </w:p>
          <w:p w:rsidR="00000000" w:rsidRPr="007F6E19" w:rsidP="007F6E19">
            <w:pPr>
              <w:pStyle w:val="BodyText"/>
            </w:pPr>
            <w:r w:rsidRPr="007F6E19">
              <w:t>Look for evidence that confirms skills in:</w:t>
            </w:r>
          </w:p>
          <w:p w:rsidR="00000000" w:rsidRPr="007F6E19" w:rsidP="007F6E19">
            <w:pPr>
              <w:pStyle w:val="ListBullet"/>
            </w:pPr>
            <w:r w:rsidRPr="007F6E19">
              <w:t>designing fraud and corruption control activities</w:t>
            </w:r>
          </w:p>
          <w:p w:rsidR="00000000" w:rsidRPr="007F6E19" w:rsidP="007F6E19">
            <w:pPr>
              <w:pStyle w:val="ListBullet"/>
            </w:pPr>
            <w:r w:rsidRPr="007F6E19">
              <w:t>developing and maintaining client relationships</w:t>
            </w:r>
          </w:p>
          <w:p w:rsidR="00000000" w:rsidRPr="007F6E19" w:rsidP="007F6E19">
            <w:pPr>
              <w:pStyle w:val="ListBullet"/>
            </w:pPr>
            <w:r w:rsidRPr="007F6E19">
              <w:t>tailoring sessions to the needs of adult learners and a variety of audiences</w:t>
            </w:r>
          </w:p>
          <w:p w:rsidR="00000000" w:rsidRPr="007F6E19" w:rsidP="007F6E19">
            <w:pPr>
              <w:pStyle w:val="ListBullet"/>
            </w:pPr>
            <w:r w:rsidRPr="007F6E19">
              <w:t>explaining complex concepts and formal documents such as legislation, standards a</w:t>
            </w:r>
            <w:r w:rsidRPr="007F6E19">
              <w:t>nd codes of conduct</w:t>
            </w:r>
          </w:p>
          <w:p w:rsidR="00000000" w:rsidRPr="007F6E19" w:rsidP="007F6E19">
            <w:pPr>
              <w:pStyle w:val="ListBullet"/>
            </w:pPr>
            <w:r w:rsidRPr="007F6E19">
              <w:t xml:space="preserve">using a range of communication styles to suit different audiences and purposes </w:t>
            </w:r>
          </w:p>
          <w:p w:rsidR="00000000" w:rsidRPr="007F6E19" w:rsidP="007F6E19">
            <w:pPr>
              <w:pStyle w:val="ListBullet"/>
            </w:pPr>
            <w:r w:rsidRPr="007F6E19">
              <w:t>responding to diversity, including gender and disability</w:t>
            </w:r>
          </w:p>
          <w:p w:rsidR="00000000" w:rsidP="007F6E19">
            <w:pPr>
              <w:pStyle w:val="ListBullet"/>
              <w:rPr>
                <w:lang w:val="en-NZ"/>
              </w:rPr>
            </w:pPr>
            <w:r w:rsidRPr="007F6E19">
              <w:t>applying occupational health and safety and environmental procedures in the context of conducting f</w:t>
            </w:r>
            <w:r w:rsidRPr="007F6E19">
              <w:t>raud and corruption control activities</w:t>
            </w:r>
          </w:p>
        </w:tc>
      </w:tr>
      <w:tr w:rsidTr="00B8639B">
        <w:tblPrEx>
          <w:tblW w:w="0" w:type="auto"/>
          <w:tblLayout w:type="fixed"/>
          <w:tblCellMar>
            <w:left w:w="62" w:type="dxa"/>
            <w:right w:w="62" w:type="dxa"/>
          </w:tblCellMar>
          <w:tblLook w:val="0000"/>
        </w:tblPrEx>
        <w:tc>
          <w:tcPr>
            <w:tcW w:w="8512" w:type="dxa"/>
            <w:tcBorders>
              <w:top w:val="nil"/>
              <w:left w:val="nil"/>
              <w:bottom w:val="nil"/>
              <w:right w:val="nil"/>
            </w:tcBorders>
            <w:tcMar>
              <w:top w:w="0" w:type="dxa"/>
              <w:left w:w="62" w:type="dxa"/>
              <w:bottom w:w="0" w:type="dxa"/>
              <w:right w:w="62" w:type="dxa"/>
            </w:tcMar>
          </w:tcPr>
          <w:p w:rsidR="00000000" w:rsidRPr="007F6E19" w:rsidP="007F6E19">
            <w:pPr>
              <w:pStyle w:val="BodyText"/>
            </w:pPr>
            <w:r w:rsidRPr="007F6E19">
              <w:rPr>
                <w:rStyle w:val="SpecialBold"/>
              </w:rPr>
              <w:t>Knowledge requirements</w:t>
            </w:r>
          </w:p>
          <w:p w:rsidR="00000000" w:rsidRPr="007F6E19" w:rsidP="007F6E19">
            <w:pPr>
              <w:pStyle w:val="BodyText"/>
            </w:pPr>
            <w:r w:rsidRPr="007F6E19">
              <w:t>Look for evidence that confirms knowledge and understanding of:</w:t>
            </w:r>
          </w:p>
          <w:p w:rsidR="00000000" w:rsidRPr="007F6E19" w:rsidP="007F6E19">
            <w:pPr>
              <w:pStyle w:val="ListBullet"/>
            </w:pPr>
            <w:r w:rsidRPr="007F6E19">
              <w:t>agency structure and core business activities</w:t>
            </w:r>
          </w:p>
          <w:p w:rsidR="00000000" w:rsidRPr="007F6E19" w:rsidP="007F6E19">
            <w:pPr>
              <w:pStyle w:val="ListBullet"/>
            </w:pPr>
            <w:r w:rsidRPr="007F6E19">
              <w:t>fraud and corruption and how they relate to the specific functions and activities of the organisation, together with an understanding of ethical standards required by the organisation of its staff, contractors and suppliers</w:t>
            </w:r>
          </w:p>
          <w:p w:rsidR="00000000" w:rsidRPr="007F6E19" w:rsidP="007F6E19">
            <w:pPr>
              <w:pStyle w:val="ListBullet"/>
            </w:pPr>
            <w:r w:rsidRPr="007F6E19">
              <w:t>jurisdictional fraud and corrupt</w:t>
            </w:r>
            <w:r w:rsidRPr="007F6E19">
              <w:t xml:space="preserve">ion control requirements </w:t>
            </w:r>
          </w:p>
          <w:p w:rsidR="00000000" w:rsidRPr="007F6E19" w:rsidP="007F6E19">
            <w:pPr>
              <w:pStyle w:val="ListBullet"/>
            </w:pPr>
            <w:r w:rsidRPr="007F6E19">
              <w:t>the organisation's fraud and corruption risk management methodology</w:t>
            </w:r>
          </w:p>
          <w:p w:rsidR="00000000" w:rsidRPr="007F6E19" w:rsidP="007F6E19">
            <w:pPr>
              <w:pStyle w:val="ListBullet"/>
            </w:pPr>
            <w:r w:rsidRPr="007F6E19">
              <w:t xml:space="preserve">fraud and corruption risk factors in the organisation </w:t>
            </w:r>
          </w:p>
          <w:p w:rsidR="00000000" w:rsidRPr="007F6E19" w:rsidP="007F6E19">
            <w:pPr>
              <w:pStyle w:val="ListBullet"/>
            </w:pPr>
            <w:r w:rsidRPr="007F6E19">
              <w:t>identified instances of fraud and corruption</w:t>
            </w:r>
          </w:p>
          <w:p w:rsidR="00000000" w:rsidRPr="007F6E19" w:rsidP="007F6E19">
            <w:pPr>
              <w:pStyle w:val="ListBullet"/>
            </w:pPr>
            <w:r w:rsidRPr="007F6E19">
              <w:t xml:space="preserve">adult learning principles </w:t>
            </w:r>
          </w:p>
          <w:p w:rsidR="00000000" w:rsidRPr="007F6E19" w:rsidP="007F6E19">
            <w:pPr>
              <w:pStyle w:val="ListBullet"/>
            </w:pPr>
            <w:r w:rsidRPr="007F6E19">
              <w:t>anti-discrimination and diversity l</w:t>
            </w:r>
            <w:r w:rsidRPr="007F6E19">
              <w:t>egislation</w:t>
            </w:r>
          </w:p>
          <w:p w:rsidR="00000000" w:rsidRPr="007F6E19" w:rsidP="007F6E19">
            <w:pPr>
              <w:pStyle w:val="ListBullet"/>
            </w:pPr>
            <w:r w:rsidRPr="007F6E19">
              <w:t xml:space="preserve">legislation, policies and procedures relating to conduct of fraud and corruption control activities </w:t>
            </w:r>
          </w:p>
          <w:p w:rsidR="00000000" w:rsidRPr="007F6E19" w:rsidP="007F6E19">
            <w:pPr>
              <w:pStyle w:val="ListBullet"/>
            </w:pPr>
            <w:r w:rsidRPr="007F6E19">
              <w:t>procedures relating to public interest disclosures, protected disclosures or whistleblowing legislation</w:t>
            </w:r>
          </w:p>
        </w:tc>
      </w:tr>
    </w:tbl>
    <w:p w:rsidR="00000000" w:rsidRPr="007F6E19" w:rsidP="007F6E19">
      <w:pPr>
        <w:pStyle w:val="BodyText"/>
      </w:pPr>
    </w:p>
    <w:p w:rsidR="00000000" w:rsidRPr="007F6E19" w:rsidP="007F6E19">
      <w:pPr>
        <w:pStyle w:val="AllowPageBreak"/>
      </w:pPr>
    </w:p>
    <w:p w:rsidR="00000000" w:rsidRPr="007F6E19" w:rsidP="007F6E19">
      <w:pPr>
        <w:pStyle w:val="Heading1"/>
      </w:pPr>
      <w:bookmarkStart w:id="10" w:name="O_495065"/>
      <w:bookmarkEnd w:id="10"/>
      <w:r w:rsidRPr="007F6E19">
        <w:t>Evidence Guide</w:t>
      </w:r>
    </w:p>
    <w:tbl>
      <w:tblPr>
        <w:tblW w:w="9322" w:type="dxa"/>
        <w:tblLayout w:type="fixed"/>
        <w:tblCellMar>
          <w:left w:w="62" w:type="dxa"/>
          <w:right w:w="62" w:type="dxa"/>
        </w:tblCellMar>
        <w:tblLook w:val="0000"/>
      </w:tblPr>
      <w:tblGrid>
        <w:gridCol w:w="2660"/>
        <w:gridCol w:w="6662"/>
      </w:tblGrid>
      <w:tr w:rsidTr="00B8639B">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7F6E19">
            <w:pPr>
              <w:pStyle w:val="BodyText"/>
              <w:rPr>
                <w:lang w:val="en-NZ"/>
              </w:rPr>
            </w:pPr>
            <w:r w:rsidRPr="007F6E19">
              <w:t>The Evidence Guide specifies the evidence required to demonstrate achievement in the unit of competency as a whole. It must be read in conjunction with the Unit descriptor, Performance Criteria, the Range Statement and the Assessment Guidelines for the Pub</w:t>
            </w:r>
            <w:r w:rsidRPr="007F6E19">
              <w:t>lic Sector Training Package.</w:t>
            </w:r>
          </w:p>
        </w:tc>
      </w:tr>
      <w:tr w:rsidTr="00B8639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7F6E19" w:rsidP="007F6E19">
            <w:pPr>
              <w:pStyle w:val="BodyText"/>
            </w:pPr>
            <w:r w:rsidRPr="007F6E19">
              <w:rPr>
                <w:rStyle w:val="SpecialBold"/>
              </w:rPr>
              <w:t>Units to be assessed together</w:t>
            </w:r>
            <w:r w:rsidRPr="007F6E19">
              <w:t xml:space="preserve"> </w:t>
            </w:r>
          </w:p>
        </w:tc>
        <w:tc>
          <w:tcPr>
            <w:tcW w:w="6662" w:type="dxa"/>
            <w:tcBorders>
              <w:top w:val="nil"/>
              <w:left w:val="nil"/>
              <w:bottom w:val="nil"/>
              <w:right w:val="nil"/>
            </w:tcBorders>
            <w:tcMar>
              <w:top w:w="0" w:type="dxa"/>
              <w:left w:w="62" w:type="dxa"/>
              <w:bottom w:w="0" w:type="dxa"/>
              <w:right w:w="62" w:type="dxa"/>
            </w:tcMar>
          </w:tcPr>
          <w:p w:rsidR="00000000" w:rsidRPr="007F6E19" w:rsidP="007F6E19">
            <w:pPr>
              <w:pStyle w:val="ListBullet"/>
            </w:pPr>
            <w:r w:rsidRPr="007F6E19">
              <w:rPr>
                <w:rStyle w:val="Emphasis"/>
              </w:rPr>
              <w:t>Pre</w:t>
            </w:r>
            <w:r w:rsidRPr="007F6E19">
              <w:t>-</w:t>
            </w:r>
            <w:r w:rsidRPr="007F6E19">
              <w:rPr>
                <w:rStyle w:val="Emphasis"/>
              </w:rPr>
              <w:t>requisite</w:t>
            </w:r>
            <w:r w:rsidRPr="007F6E19">
              <w:t xml:space="preserve"> units that </w:t>
            </w:r>
            <w:r w:rsidRPr="007F6E19">
              <w:rPr>
                <w:rStyle w:val="Underline"/>
              </w:rPr>
              <w:t>must</w:t>
            </w:r>
            <w:r w:rsidRPr="007F6E19">
              <w:t xml:space="preserve"> be achieved </w:t>
            </w:r>
            <w:r w:rsidRPr="007F6E19">
              <w:rPr>
                <w:rStyle w:val="Underline"/>
              </w:rPr>
              <w:t>prior</w:t>
            </w:r>
            <w:r w:rsidRPr="007F6E19">
              <w:t xml:space="preserve"> to this unit:</w:t>
            </w:r>
            <w:r w:rsidRPr="007F6E19">
              <w:rPr>
                <w:rStyle w:val="Emphasis"/>
              </w:rPr>
              <w:t>Nil</w:t>
            </w:r>
          </w:p>
          <w:p w:rsidR="00000000" w:rsidRPr="007F6E19" w:rsidP="007F6E19">
            <w:pPr>
              <w:pStyle w:val="ListBullet"/>
            </w:pPr>
            <w:r w:rsidRPr="007F6E19">
              <w:rPr>
                <w:rStyle w:val="Emphasis"/>
              </w:rPr>
              <w:t>Co</w:t>
            </w:r>
            <w:r w:rsidRPr="007F6E19">
              <w:t>-</w:t>
            </w:r>
            <w:r w:rsidRPr="007F6E19">
              <w:rPr>
                <w:rStyle w:val="Emphasis"/>
              </w:rPr>
              <w:t>requisite</w:t>
            </w:r>
            <w:r w:rsidRPr="007F6E19">
              <w:t xml:space="preserve"> units that </w:t>
            </w:r>
            <w:r w:rsidRPr="007F6E19">
              <w:rPr>
                <w:rStyle w:val="Underline"/>
              </w:rPr>
              <w:t>must</w:t>
            </w:r>
            <w:r w:rsidRPr="007F6E19">
              <w:t xml:space="preserve"> be assessed </w:t>
            </w:r>
            <w:r w:rsidRPr="007F6E19">
              <w:rPr>
                <w:rStyle w:val="Underline"/>
              </w:rPr>
              <w:t>with</w:t>
            </w:r>
            <w:r w:rsidRPr="007F6E19">
              <w:t xml:space="preserve"> this unit:</w:t>
            </w:r>
            <w:r w:rsidRPr="007F6E19">
              <w:rPr>
                <w:rStyle w:val="Emphasis"/>
              </w:rPr>
              <w:t>Nil</w:t>
            </w:r>
          </w:p>
          <w:p w:rsidR="00000000" w:rsidRPr="007F6E19" w:rsidP="007F6E19">
            <w:pPr>
              <w:pStyle w:val="ListBullet"/>
            </w:pPr>
            <w:r w:rsidRPr="007F6E19">
              <w:rPr>
                <w:rStyle w:val="Emphasis"/>
              </w:rPr>
              <w:t>Co</w:t>
            </w:r>
            <w:r w:rsidRPr="007F6E19">
              <w:t>-</w:t>
            </w:r>
            <w:r w:rsidRPr="007F6E19">
              <w:rPr>
                <w:rStyle w:val="Emphasis"/>
              </w:rPr>
              <w:t>assessed units</w:t>
            </w:r>
            <w:r w:rsidRPr="007F6E19">
              <w:t xml:space="preserve"> that </w:t>
            </w:r>
            <w:r w:rsidRPr="007F6E19">
              <w:rPr>
                <w:rStyle w:val="Underline"/>
              </w:rPr>
              <w:t>may</w:t>
            </w:r>
            <w:r w:rsidRPr="007F6E19">
              <w:t xml:space="preserve"> be assessed with this unit to increase the efficiency and realism of the assessment process include, but are not limited to:</w:t>
            </w:r>
          </w:p>
          <w:p w:rsidR="00000000" w:rsidRPr="007F6E19" w:rsidP="007F6E19">
            <w:pPr>
              <w:pStyle w:val="ListBullet2"/>
            </w:pPr>
            <w:r w:rsidRPr="007F6E19">
              <w:t>PSPETHC501B Promote the values and ethos of public service</w:t>
            </w:r>
          </w:p>
          <w:p w:rsidR="00000000" w:rsidRPr="007F6E19" w:rsidP="007F6E19">
            <w:pPr>
              <w:pStyle w:val="ListBullet2"/>
            </w:pPr>
            <w:r w:rsidRPr="007F6E19">
              <w:t xml:space="preserve">PSPFRAU506B Implement fraud control activities </w:t>
            </w:r>
          </w:p>
          <w:p w:rsidR="00000000" w:rsidRPr="007F6E19" w:rsidP="007F6E19">
            <w:pPr>
              <w:pStyle w:val="ListBullet2"/>
            </w:pPr>
            <w:r w:rsidRPr="007F6E19">
              <w:t>PSPGOV502B Develop client services</w:t>
            </w:r>
          </w:p>
          <w:p w:rsidR="00000000" w:rsidP="007F6E19">
            <w:pPr>
              <w:pStyle w:val="ListBullet2"/>
              <w:rPr>
                <w:lang w:val="en-NZ"/>
              </w:rPr>
            </w:pPr>
            <w:r w:rsidRPr="007F6E19">
              <w:t>PSPLEGN501B Promote compliance with legislation in the public sector</w:t>
            </w:r>
          </w:p>
        </w:tc>
      </w:tr>
      <w:tr w:rsidTr="00B8639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F6E19">
            <w:pPr>
              <w:pStyle w:val="BodyText"/>
              <w:rPr>
                <w:lang w:val="en-NZ"/>
              </w:rPr>
            </w:pPr>
            <w:r w:rsidRPr="007F6E19">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7F6E19" w:rsidP="007F6E19">
            <w:pPr>
              <w:pStyle w:val="BodyText"/>
            </w:pPr>
            <w:r w:rsidRPr="007F6E19">
              <w:t>In addition to integrated demonstration of the elements and their related performance criteria, look for evidence tha</w:t>
            </w:r>
            <w:r w:rsidRPr="007F6E19">
              <w:t>t confirms:</w:t>
            </w:r>
          </w:p>
          <w:p w:rsidR="00000000" w:rsidRPr="007F6E19" w:rsidP="007F6E19">
            <w:pPr>
              <w:pStyle w:val="ListBullet"/>
            </w:pPr>
            <w:r w:rsidRPr="007F6E19">
              <w:t xml:space="preserve">the knowledge requirements of this unit </w:t>
            </w:r>
          </w:p>
          <w:p w:rsidR="00000000" w:rsidRPr="007F6E19" w:rsidP="007F6E19">
            <w:pPr>
              <w:pStyle w:val="ListBullet"/>
            </w:pPr>
            <w:r w:rsidRPr="007F6E19">
              <w:t>the skill requirements of this unit</w:t>
            </w:r>
          </w:p>
          <w:p w:rsidR="00000000" w:rsidRPr="007F6E19" w:rsidP="007F6E19">
            <w:pPr>
              <w:pStyle w:val="ListBullet"/>
            </w:pPr>
            <w:r w:rsidRPr="007F6E19">
              <w:t>application of the Employability Skills as they relate to this unit (see Employability Summaries in Qualifications Framework)</w:t>
            </w:r>
          </w:p>
          <w:p w:rsidR="00000000" w:rsidP="007F6E19">
            <w:pPr>
              <w:pStyle w:val="ListBullet"/>
              <w:rPr>
                <w:lang w:val="en-NZ"/>
              </w:rPr>
            </w:pPr>
            <w:r w:rsidRPr="007F6E19">
              <w:t>communication of fraud and corruption control awareness in a range of (3 or more) contexts (or occasions over time)</w:t>
            </w:r>
          </w:p>
        </w:tc>
      </w:tr>
      <w:tr w:rsidTr="00B8639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F6E19">
            <w:pPr>
              <w:pStyle w:val="BodyText"/>
              <w:rPr>
                <w:lang w:val="en-NZ"/>
              </w:rPr>
            </w:pPr>
            <w:r w:rsidRPr="007F6E19">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7F6E19" w:rsidP="007F6E19">
            <w:pPr>
              <w:pStyle w:val="BodyText"/>
            </w:pPr>
            <w:r w:rsidRPr="007F6E19">
              <w:t>These resources include:</w:t>
            </w:r>
          </w:p>
          <w:p w:rsidR="00000000" w:rsidRPr="007F6E19" w:rsidP="007F6E19">
            <w:pPr>
              <w:pStyle w:val="ListBullet"/>
            </w:pPr>
            <w:r w:rsidRPr="007F6E19">
              <w:t>legislation, policy and procedures relating to fraud and corruption co</w:t>
            </w:r>
            <w:r w:rsidRPr="007F6E19">
              <w:t>ntrol</w:t>
            </w:r>
          </w:p>
          <w:p w:rsidR="00000000" w:rsidRPr="007F6E19" w:rsidP="007F6E19">
            <w:pPr>
              <w:pStyle w:val="ListBullet"/>
            </w:pPr>
            <w:r w:rsidRPr="007F6E19">
              <w:t>procedures relating to public interest disclosures, protected disclosures or whistleblowing legislation</w:t>
            </w:r>
          </w:p>
          <w:p w:rsidR="00000000" w:rsidRPr="007F6E19" w:rsidP="007F6E19">
            <w:pPr>
              <w:pStyle w:val="ListBullet"/>
            </w:pPr>
            <w:r w:rsidRPr="007F6E19">
              <w:t>activities for minimising fraud and corruption</w:t>
            </w:r>
          </w:p>
          <w:p w:rsidR="00000000" w:rsidRPr="007F6E19" w:rsidP="007F6E19">
            <w:pPr>
              <w:pStyle w:val="ListBullet"/>
            </w:pPr>
            <w:r w:rsidRPr="007F6E19">
              <w:t>fraud and corruption control guidelines</w:t>
            </w:r>
          </w:p>
          <w:p w:rsidR="00000000" w:rsidRPr="007F6E19" w:rsidP="007F6E19">
            <w:pPr>
              <w:pStyle w:val="ListBullet"/>
            </w:pPr>
            <w:r w:rsidRPr="007F6E19">
              <w:t>fraud investigation standards</w:t>
            </w:r>
          </w:p>
          <w:p w:rsidR="00000000" w:rsidRPr="007F6E19" w:rsidP="007F6E19">
            <w:pPr>
              <w:pStyle w:val="ListBullet"/>
            </w:pPr>
            <w:r w:rsidRPr="007F6E19">
              <w:t>public sector values and code</w:t>
            </w:r>
            <w:r w:rsidRPr="007F6E19">
              <w:t>s of conduct</w:t>
            </w:r>
          </w:p>
          <w:p w:rsidR="00000000" w:rsidP="007F6E19">
            <w:pPr>
              <w:pStyle w:val="ListBullet"/>
              <w:rPr>
                <w:lang w:val="en-NZ"/>
              </w:rPr>
            </w:pPr>
            <w:r w:rsidRPr="007F6E19">
              <w:t>case studies and workplace scenarios to capture the range of fraud and corruption control situations likely to be encountered</w:t>
            </w:r>
          </w:p>
        </w:tc>
      </w:tr>
      <w:tr w:rsidTr="00B8639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F6E19">
            <w:pPr>
              <w:pStyle w:val="BodyText"/>
              <w:rPr>
                <w:lang w:val="en-NZ"/>
              </w:rPr>
            </w:pPr>
            <w:r w:rsidRPr="007F6E19">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7F6E19" w:rsidP="007F6E19">
            <w:pPr>
              <w:pStyle w:val="BodyText"/>
            </w:pPr>
            <w:r w:rsidRPr="007F6E19">
              <w:t xml:space="preserve">Valid assessment of this unit requires: </w:t>
            </w:r>
          </w:p>
          <w:p w:rsidR="00000000" w:rsidRPr="007F6E19" w:rsidP="007F6E19">
            <w:pPr>
              <w:pStyle w:val="ListBullet"/>
            </w:pPr>
            <w:r w:rsidRPr="007F6E19">
              <w:t>a workplace environment or one that closely resembles normal work practice and replicates the range of conditions likely to be encountered when communicating fraud and corruption control awareness, including coping with difficulties, irregularities and bre</w:t>
            </w:r>
            <w:r w:rsidRPr="007F6E19">
              <w:t>akdowns in routine</w:t>
            </w:r>
          </w:p>
          <w:p w:rsidR="00000000" w:rsidRPr="007F6E19" w:rsidP="007F6E19">
            <w:pPr>
              <w:pStyle w:val="ListBullet"/>
            </w:pPr>
            <w:r w:rsidRPr="007F6E19">
              <w:t>communication of fraud and corruption control awareness in a range of (3 or more) contexts (or occasions, over time)</w:t>
            </w:r>
          </w:p>
          <w:p w:rsidR="00000000" w:rsidRPr="007F6E19" w:rsidP="007F6E19">
            <w:pPr>
              <w:pStyle w:val="BodyText"/>
            </w:pPr>
            <w:r w:rsidRPr="007F6E19">
              <w:t>Assessment methods should reflect workplace demands, such as literacy, and the needs of particular groups, such as:</w:t>
            </w:r>
          </w:p>
          <w:p w:rsidR="00000000" w:rsidRPr="007F6E19" w:rsidP="007F6E19">
            <w:pPr>
              <w:pStyle w:val="ListBullet"/>
            </w:pPr>
            <w:r w:rsidRPr="007F6E19">
              <w:t>peo</w:t>
            </w:r>
            <w:r w:rsidRPr="007F6E19">
              <w:t>ple with disabilities</w:t>
            </w:r>
          </w:p>
          <w:p w:rsidR="00000000" w:rsidRPr="007F6E19" w:rsidP="007F6E19">
            <w:pPr>
              <w:pStyle w:val="ListBullet"/>
            </w:pPr>
            <w:r w:rsidRPr="007F6E19">
              <w:t>people from culturally and linguistically diverse backgrounds</w:t>
            </w:r>
          </w:p>
          <w:p w:rsidR="00000000" w:rsidRPr="007F6E19" w:rsidP="007F6E19">
            <w:pPr>
              <w:pStyle w:val="ListBullet"/>
            </w:pPr>
            <w:r w:rsidRPr="007F6E19">
              <w:t>Aboriginal and Torres Strait Islander people</w:t>
            </w:r>
          </w:p>
          <w:p w:rsidR="00000000" w:rsidRPr="007F6E19" w:rsidP="007F6E19">
            <w:pPr>
              <w:pStyle w:val="ListBullet"/>
            </w:pPr>
            <w:r w:rsidRPr="007F6E19">
              <w:t>women</w:t>
            </w:r>
          </w:p>
          <w:p w:rsidR="00000000" w:rsidRPr="007F6E19" w:rsidP="007F6E19">
            <w:pPr>
              <w:pStyle w:val="ListBullet"/>
            </w:pPr>
            <w:r w:rsidRPr="007F6E19">
              <w:t>young people</w:t>
            </w:r>
          </w:p>
          <w:p w:rsidR="00000000" w:rsidRPr="007F6E19" w:rsidP="007F6E19">
            <w:pPr>
              <w:pStyle w:val="ListBullet"/>
            </w:pPr>
            <w:r w:rsidRPr="007F6E19">
              <w:t>older people</w:t>
            </w:r>
          </w:p>
          <w:p w:rsidR="00000000" w:rsidRPr="007F6E19" w:rsidP="007F6E19">
            <w:pPr>
              <w:pStyle w:val="ListBullet"/>
            </w:pPr>
            <w:r w:rsidRPr="007F6E19">
              <w:t>people in rural and remote locations</w:t>
            </w:r>
          </w:p>
          <w:p w:rsidR="00000000" w:rsidRPr="007F6E19" w:rsidP="007F6E19">
            <w:pPr>
              <w:pStyle w:val="BodyText"/>
            </w:pPr>
            <w:r w:rsidRPr="007F6E19">
              <w:t>Assessment methods suitable for valid and reliable assessm</w:t>
            </w:r>
            <w:r w:rsidRPr="007F6E19">
              <w:t xml:space="preserve">ent of this competency may include, but are not limited to, a combination of 2 or more of: </w:t>
            </w:r>
          </w:p>
          <w:p w:rsidR="00000000" w:rsidRPr="007F6E19" w:rsidP="007F6E19">
            <w:pPr>
              <w:pStyle w:val="ListBullet"/>
            </w:pPr>
            <w:r w:rsidRPr="007F6E19">
              <w:t>case studies</w:t>
            </w:r>
          </w:p>
          <w:p w:rsidR="00000000" w:rsidRPr="007F6E19" w:rsidP="007F6E19">
            <w:pPr>
              <w:pStyle w:val="ListBullet"/>
            </w:pPr>
            <w:r w:rsidRPr="007F6E19">
              <w:t xml:space="preserve">demonstration </w:t>
            </w:r>
          </w:p>
          <w:p w:rsidR="00000000" w:rsidRPr="007F6E19" w:rsidP="007F6E19">
            <w:pPr>
              <w:pStyle w:val="ListBullet"/>
            </w:pPr>
            <w:r w:rsidRPr="007F6E19">
              <w:t>observation</w:t>
            </w:r>
          </w:p>
          <w:p w:rsidR="00000000" w:rsidRPr="007F6E19" w:rsidP="007F6E19">
            <w:pPr>
              <w:pStyle w:val="ListBullet"/>
            </w:pPr>
            <w:r w:rsidRPr="007F6E19">
              <w:t xml:space="preserve">portfolios </w:t>
            </w:r>
          </w:p>
          <w:p w:rsidR="00000000" w:rsidRPr="007F6E19" w:rsidP="007F6E19">
            <w:pPr>
              <w:pStyle w:val="ListBullet"/>
            </w:pPr>
            <w:r w:rsidRPr="007F6E19">
              <w:t>projects</w:t>
            </w:r>
          </w:p>
          <w:p w:rsidR="00000000" w:rsidRPr="007F6E19" w:rsidP="007F6E19">
            <w:pPr>
              <w:pStyle w:val="ListBullet"/>
            </w:pPr>
            <w:r w:rsidRPr="007F6E19">
              <w:t>questioning</w:t>
            </w:r>
          </w:p>
          <w:p w:rsidR="00000000" w:rsidRPr="007F6E19" w:rsidP="007F6E19">
            <w:pPr>
              <w:pStyle w:val="ListBullet"/>
            </w:pPr>
            <w:r w:rsidRPr="007F6E19">
              <w:t>scenarios</w:t>
            </w:r>
          </w:p>
          <w:p w:rsidR="00000000" w:rsidRPr="007F6E19" w:rsidP="007F6E19">
            <w:pPr>
              <w:pStyle w:val="ListBullet"/>
            </w:pPr>
            <w:r w:rsidRPr="007F6E19">
              <w:t>simulation or role plays</w:t>
            </w:r>
          </w:p>
          <w:p w:rsidR="00000000" w:rsidP="007F6E19">
            <w:pPr>
              <w:pStyle w:val="ListBullet"/>
              <w:rPr>
                <w:lang w:val="en-NZ"/>
              </w:rPr>
            </w:pPr>
            <w:r w:rsidRPr="007F6E19">
              <w:t>authenticated</w:t>
            </w:r>
            <w:r w:rsidRPr="007F6E19">
              <w:t xml:space="preserve"> evidence from the workplace and/or training courses   </w:t>
            </w:r>
          </w:p>
        </w:tc>
      </w:tr>
      <w:tr w:rsidTr="00B8639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F6E19">
            <w:pPr>
              <w:pStyle w:val="BodyText"/>
              <w:rPr>
                <w:lang w:val="en-NZ"/>
              </w:rPr>
            </w:pPr>
            <w:r w:rsidRPr="007F6E19">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7F6E19" w:rsidP="007F6E19">
            <w:pPr>
              <w:pStyle w:val="BodyText"/>
            </w:pPr>
            <w:r w:rsidRPr="007F6E19">
              <w:t>Evidence must be gathered over time in a range of contexts to ensure the person can achieve the unit outcome and apply the competency in different situations or environm</w:t>
            </w:r>
            <w:r w:rsidRPr="007F6E19">
              <w:t>ents</w:t>
            </w:r>
          </w:p>
        </w:tc>
      </w:tr>
    </w:tbl>
    <w:p w:rsidR="00000000" w:rsidRPr="007F6E19" w:rsidP="007F6E19">
      <w:pPr>
        <w:pStyle w:val="BodyText"/>
      </w:pPr>
    </w:p>
    <w:p w:rsidR="00000000" w:rsidRPr="007F6E19" w:rsidP="007F6E19">
      <w:pPr>
        <w:pStyle w:val="AllowPageBreak"/>
      </w:pPr>
    </w:p>
    <w:p w:rsidR="00000000" w:rsidRPr="007F6E19" w:rsidP="007F6E19">
      <w:pPr>
        <w:pStyle w:val="Heading1"/>
      </w:pPr>
      <w:bookmarkStart w:id="11" w:name="O_495067"/>
      <w:bookmarkEnd w:id="11"/>
      <w:r w:rsidRPr="007F6E19">
        <w:t>Range Statement</w:t>
      </w:r>
    </w:p>
    <w:tbl>
      <w:tblPr>
        <w:tblW w:w="0" w:type="auto"/>
        <w:tblLayout w:type="fixed"/>
        <w:tblCellMar>
          <w:left w:w="62" w:type="dxa"/>
          <w:right w:w="62" w:type="dxa"/>
        </w:tblCellMar>
        <w:tblLook w:val="0000"/>
      </w:tblPr>
      <w:tblGrid>
        <w:gridCol w:w="2441"/>
        <w:gridCol w:w="6112"/>
      </w:tblGrid>
      <w:tr w:rsidTr="00B8639B">
        <w:tblPrEx>
          <w:tblW w:w="0" w:type="auto"/>
          <w:tblLayout w:type="fixed"/>
          <w:tblCellMar>
            <w:left w:w="62" w:type="dxa"/>
            <w:right w:w="62" w:type="dxa"/>
          </w:tblCellMar>
          <w:tblLook w:val="0000"/>
        </w:tblPrEx>
        <w:tc>
          <w:tcPr>
            <w:tcW w:w="855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E19">
            <w:pPr>
              <w:pStyle w:val="BodyText"/>
              <w:rPr>
                <w:lang w:val="en-NZ"/>
              </w:rPr>
            </w:pPr>
            <w:r w:rsidRPr="007F6E19">
              <w:t>The Range Statement provides information about the context in which the unit of competency is carried out. The variables cater for differences between States and Territories and the Commonwealth, and between organisa</w:t>
            </w:r>
            <w:r w:rsidRPr="007F6E19">
              <w:t xml:space="preserve">tions and workplaces. They allow for different work requirements, work practices and knowledge. The Range Statement also provides a focus for assessment. It relates to the unit as a whole. Text in </w:t>
            </w:r>
            <w:r w:rsidRPr="007F6E19">
              <w:rPr>
                <w:rStyle w:val="BoldandItalics"/>
              </w:rPr>
              <w:t>bold italics</w:t>
            </w:r>
            <w:r w:rsidRPr="007F6E19">
              <w:t xml:space="preserve"> in the Performance Criteria is explained here.</w:t>
            </w:r>
          </w:p>
        </w:tc>
      </w:tr>
      <w:tr w:rsidTr="00B8639B">
        <w:tblPrEx>
          <w:tblW w:w="0" w:type="auto"/>
          <w:tblLayout w:type="fixed"/>
          <w:tblCellMar>
            <w:left w:w="62" w:type="dxa"/>
            <w:right w:w="62" w:type="dxa"/>
          </w:tblCellMar>
          <w:tblLook w:val="0000"/>
        </w:tblPrEx>
        <w:tc>
          <w:tcPr>
            <w:tcW w:w="2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E19">
            <w:pPr>
              <w:pStyle w:val="BodyText"/>
              <w:rPr>
                <w:lang w:val="en-NZ"/>
              </w:rPr>
            </w:pPr>
            <w:r w:rsidRPr="007F6E19">
              <w:rPr>
                <w:rStyle w:val="BoldandItalics"/>
              </w:rPr>
              <w:t>Needs analysis</w:t>
            </w:r>
            <w:r w:rsidRPr="007F6E19">
              <w:rPr>
                <w:rStyle w:val="SpecialBold"/>
              </w:rPr>
              <w:t xml:space="preserve"> </w:t>
            </w:r>
            <w:r w:rsidRPr="007F6E19">
              <w:t>may include:</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6E19" w:rsidP="007F6E19">
            <w:pPr>
              <w:pStyle w:val="ListBullet"/>
            </w:pPr>
            <w:r w:rsidRPr="007F6E19">
              <w:t>consultation with staff, clients, fraud and corruption control networks</w:t>
            </w:r>
          </w:p>
          <w:p w:rsidR="00000000" w:rsidRPr="007F6E19" w:rsidP="007F6E19">
            <w:pPr>
              <w:pStyle w:val="ListBullet"/>
            </w:pPr>
            <w:r w:rsidRPr="007F6E19">
              <w:t>review of data and information gathered</w:t>
            </w:r>
          </w:p>
          <w:p w:rsidR="00000000" w:rsidP="007F6E19">
            <w:pPr>
              <w:pStyle w:val="ListBullet"/>
              <w:rPr>
                <w:lang w:val="en-NZ"/>
              </w:rPr>
            </w:pPr>
            <w:r w:rsidRPr="007F6E19">
              <w:t>compliance with legislative direction</w:t>
            </w:r>
          </w:p>
        </w:tc>
      </w:tr>
      <w:tr w:rsidTr="00B8639B">
        <w:tblPrEx>
          <w:tblW w:w="0" w:type="auto"/>
          <w:tblLayout w:type="fixed"/>
          <w:tblCellMar>
            <w:left w:w="62" w:type="dxa"/>
            <w:right w:w="62" w:type="dxa"/>
          </w:tblCellMar>
          <w:tblLook w:val="0000"/>
        </w:tblPrEx>
        <w:tc>
          <w:tcPr>
            <w:tcW w:w="2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E19">
            <w:pPr>
              <w:pStyle w:val="BodyText"/>
              <w:rPr>
                <w:lang w:val="en-NZ"/>
              </w:rPr>
            </w:pPr>
            <w:r w:rsidRPr="007F6E19">
              <w:rPr>
                <w:rStyle w:val="BoldandItalics"/>
              </w:rPr>
              <w:t>Fraud and corruption awareness- raising activities</w:t>
            </w:r>
            <w:r w:rsidRPr="007F6E19">
              <w:rPr>
                <w:rStyle w:val="SpecialBold"/>
              </w:rPr>
              <w:t xml:space="preserve"> </w:t>
            </w:r>
            <w:r w:rsidRPr="007F6E19">
              <w:t>may include:</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6E19" w:rsidP="007F6E19">
            <w:pPr>
              <w:pStyle w:val="ListBullet"/>
            </w:pPr>
            <w:r w:rsidRPr="007F6E19">
              <w:t>formal training sessions</w:t>
            </w:r>
          </w:p>
          <w:p w:rsidR="00000000" w:rsidRPr="007F6E19" w:rsidP="007F6E19">
            <w:pPr>
              <w:pStyle w:val="ListBullet"/>
            </w:pPr>
            <w:r w:rsidRPr="007F6E19">
              <w:t>addressing industry associations</w:t>
            </w:r>
          </w:p>
          <w:p w:rsidR="00000000" w:rsidRPr="007F6E19" w:rsidP="007F6E19">
            <w:pPr>
              <w:pStyle w:val="ListBullet"/>
            </w:pPr>
            <w:r w:rsidRPr="007F6E19">
              <w:t>consulting groups</w:t>
            </w:r>
          </w:p>
          <w:p w:rsidR="00000000" w:rsidRPr="007F6E19" w:rsidP="007F6E19">
            <w:pPr>
              <w:pStyle w:val="ListBullet"/>
            </w:pPr>
            <w:r w:rsidRPr="007F6E19">
              <w:t>internal and external speaking engagements</w:t>
            </w:r>
          </w:p>
          <w:p w:rsidR="00000000" w:rsidP="007F6E19">
            <w:pPr>
              <w:pStyle w:val="ListBullet"/>
              <w:rPr>
                <w:lang w:val="en-NZ"/>
              </w:rPr>
            </w:pPr>
            <w:r w:rsidRPr="007F6E19">
              <w:t>publishing guidelines, brochures and reports</w:t>
            </w:r>
          </w:p>
        </w:tc>
      </w:tr>
      <w:tr w:rsidTr="00B8639B">
        <w:tblPrEx>
          <w:tblW w:w="0" w:type="auto"/>
          <w:tblLayout w:type="fixed"/>
          <w:tblCellMar>
            <w:left w:w="62" w:type="dxa"/>
            <w:right w:w="62" w:type="dxa"/>
          </w:tblCellMar>
          <w:tblLook w:val="0000"/>
        </w:tblPrEx>
        <w:tc>
          <w:tcPr>
            <w:tcW w:w="2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E19">
            <w:pPr>
              <w:pStyle w:val="BodyText"/>
              <w:rPr>
                <w:lang w:val="en-NZ"/>
              </w:rPr>
            </w:pPr>
            <w:r w:rsidRPr="007F6E19">
              <w:rPr>
                <w:rStyle w:val="BoldandItalics"/>
              </w:rPr>
              <w:t xml:space="preserve">Precedents </w:t>
            </w:r>
            <w:r w:rsidRPr="007F6E19">
              <w:t>may include:</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6E19" w:rsidP="007F6E19">
            <w:pPr>
              <w:pStyle w:val="ListBullet"/>
            </w:pPr>
            <w:r w:rsidRPr="007F6E19">
              <w:t>legal precedents</w:t>
            </w:r>
          </w:p>
          <w:p w:rsidR="00000000" w:rsidRPr="007F6E19" w:rsidP="007F6E19">
            <w:pPr>
              <w:pStyle w:val="ListBullet"/>
            </w:pPr>
            <w:r w:rsidRPr="007F6E19">
              <w:t>decision making precedents</w:t>
            </w:r>
          </w:p>
          <w:p w:rsidR="00000000" w:rsidP="007F6E19">
            <w:pPr>
              <w:pStyle w:val="ListBullet"/>
              <w:rPr>
                <w:lang w:val="en-NZ"/>
              </w:rPr>
            </w:pPr>
            <w:r w:rsidRPr="007F6E19">
              <w:t>decisions previously made in the organisation</w:t>
            </w:r>
          </w:p>
        </w:tc>
      </w:tr>
      <w:tr w:rsidTr="00B8639B">
        <w:tblPrEx>
          <w:tblW w:w="0" w:type="auto"/>
          <w:tblLayout w:type="fixed"/>
          <w:tblCellMar>
            <w:left w:w="62" w:type="dxa"/>
            <w:right w:w="62" w:type="dxa"/>
          </w:tblCellMar>
          <w:tblLook w:val="0000"/>
        </w:tblPrEx>
        <w:tc>
          <w:tcPr>
            <w:tcW w:w="2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E19">
            <w:pPr>
              <w:pStyle w:val="BodyText"/>
              <w:rPr>
                <w:lang w:val="en-NZ"/>
              </w:rPr>
            </w:pPr>
            <w:r w:rsidRPr="007F6E19">
              <w:rPr>
                <w:rStyle w:val="BoldandItalics"/>
              </w:rPr>
              <w:t xml:space="preserve">Information </w:t>
            </w:r>
            <w:r w:rsidRPr="007F6E19">
              <w:t>may include:</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6E19" w:rsidP="007F6E19">
            <w:pPr>
              <w:pStyle w:val="ListBullet"/>
            </w:pPr>
            <w:r w:rsidRPr="007F6E19">
              <w:t>program guidelines, contractual information</w:t>
            </w:r>
          </w:p>
          <w:p w:rsidR="00000000" w:rsidRPr="007F6E19" w:rsidP="007F6E19">
            <w:pPr>
              <w:pStyle w:val="ListBullet"/>
            </w:pPr>
            <w:r w:rsidRPr="007F6E19">
              <w:t>policies and procedures</w:t>
            </w:r>
          </w:p>
          <w:p w:rsidR="00000000" w:rsidP="007F6E19">
            <w:pPr>
              <w:pStyle w:val="ListBullet"/>
              <w:rPr>
                <w:lang w:val="en-NZ"/>
              </w:rPr>
            </w:pPr>
            <w:r w:rsidRPr="007F6E19">
              <w:t>legislative requirements</w:t>
            </w:r>
          </w:p>
        </w:tc>
      </w:tr>
      <w:tr w:rsidTr="00B8639B">
        <w:tblPrEx>
          <w:tblW w:w="0" w:type="auto"/>
          <w:tblLayout w:type="fixed"/>
          <w:tblCellMar>
            <w:left w:w="62" w:type="dxa"/>
            <w:right w:w="62" w:type="dxa"/>
          </w:tblCellMar>
          <w:tblLook w:val="0000"/>
        </w:tblPrEx>
        <w:tc>
          <w:tcPr>
            <w:tcW w:w="2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E19">
            <w:pPr>
              <w:pStyle w:val="BodyText"/>
              <w:rPr>
                <w:lang w:val="en-NZ"/>
              </w:rPr>
            </w:pPr>
            <w:r w:rsidRPr="007F6E19">
              <w:rPr>
                <w:rStyle w:val="BoldandItalics"/>
              </w:rPr>
              <w:t>Means of information dissemination</w:t>
            </w:r>
            <w:r w:rsidRPr="007F6E19">
              <w:rPr>
                <w:rStyle w:val="SpecialBold"/>
              </w:rPr>
              <w:t xml:space="preserve"> </w:t>
            </w:r>
            <w:r w:rsidRPr="007F6E19">
              <w:t>may include:</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6E19" w:rsidP="007F6E19">
            <w:pPr>
              <w:pStyle w:val="ListBullet"/>
            </w:pPr>
            <w:r w:rsidRPr="007F6E19">
              <w:t>computer-based information</w:t>
            </w:r>
          </w:p>
          <w:p w:rsidR="00000000" w:rsidRPr="007F6E19" w:rsidP="007F6E19">
            <w:pPr>
              <w:pStyle w:val="ListBullet"/>
            </w:pPr>
            <w:r w:rsidRPr="007F6E19">
              <w:t>newsletters</w:t>
            </w:r>
          </w:p>
          <w:p w:rsidR="00000000" w:rsidRPr="007F6E19" w:rsidP="007F6E19">
            <w:pPr>
              <w:pStyle w:val="ListBullet"/>
            </w:pPr>
            <w:r w:rsidRPr="007F6E19">
              <w:t>written policy manuals and procedures</w:t>
            </w:r>
          </w:p>
          <w:p w:rsidR="00000000" w:rsidRPr="007F6E19" w:rsidP="007F6E19">
            <w:pPr>
              <w:pStyle w:val="ListBullet"/>
            </w:pPr>
            <w:r w:rsidRPr="007F6E19">
              <w:t>internal instructions and guidelines</w:t>
            </w:r>
          </w:p>
          <w:p w:rsidR="00000000" w:rsidRPr="007F6E19" w:rsidP="007F6E19">
            <w:pPr>
              <w:pStyle w:val="ListBullet"/>
            </w:pPr>
            <w:r w:rsidRPr="007F6E19">
              <w:t>videos, pamphlets, posters</w:t>
            </w:r>
          </w:p>
          <w:p w:rsidR="00000000" w:rsidRPr="007F6E19" w:rsidP="007F6E19">
            <w:pPr>
              <w:pStyle w:val="ListBullet"/>
            </w:pPr>
            <w:r w:rsidRPr="007F6E19">
              <w:t>case studies, hypothetical examples</w:t>
            </w:r>
          </w:p>
          <w:p w:rsidR="00000000" w:rsidRPr="007F6E19" w:rsidP="007F6E19">
            <w:pPr>
              <w:pStyle w:val="ListBullet"/>
            </w:pPr>
            <w:r w:rsidRPr="007F6E19">
              <w:t>staff orientation processes</w:t>
            </w:r>
          </w:p>
          <w:p w:rsidR="00000000" w:rsidRPr="007F6E19" w:rsidP="007F6E19">
            <w:pPr>
              <w:pStyle w:val="ListBullet"/>
            </w:pPr>
            <w:r w:rsidRPr="007F6E19">
              <w:t>training and awareness sessions</w:t>
            </w:r>
          </w:p>
          <w:p w:rsidR="00000000" w:rsidRPr="007F6E19" w:rsidP="007F6E19">
            <w:pPr>
              <w:pStyle w:val="ListBullet"/>
            </w:pPr>
            <w:r w:rsidRPr="007F6E19">
              <w:t>conferences and seminars</w:t>
            </w:r>
          </w:p>
          <w:p w:rsidR="00000000" w:rsidRPr="007F6E19" w:rsidP="007F6E19">
            <w:pPr>
              <w:pStyle w:val="ListBullet"/>
            </w:pPr>
            <w:r w:rsidRPr="007F6E19">
              <w:t>liaison meetings with clients and</w:t>
            </w:r>
            <w:r w:rsidRPr="007F6E19">
              <w:t xml:space="preserve"> stakeholders</w:t>
            </w:r>
          </w:p>
          <w:p w:rsidR="00000000" w:rsidRPr="007F6E19" w:rsidP="007F6E19">
            <w:pPr>
              <w:pStyle w:val="ListBullet"/>
            </w:pPr>
            <w:r w:rsidRPr="007F6E19">
              <w:t>intranet</w:t>
            </w:r>
          </w:p>
          <w:p w:rsidR="00000000" w:rsidRPr="007F6E19" w:rsidP="007F6E19">
            <w:pPr>
              <w:pStyle w:val="ListBullet"/>
            </w:pPr>
            <w:r w:rsidRPr="007F6E19">
              <w:t>Internet</w:t>
            </w:r>
          </w:p>
          <w:p w:rsidR="00000000" w:rsidP="007F6E19">
            <w:pPr>
              <w:pStyle w:val="ListBullet"/>
              <w:rPr>
                <w:lang w:val="en-NZ"/>
              </w:rPr>
            </w:pPr>
            <w:r w:rsidRPr="007F6E19">
              <w:t>public promotion campaigns</w:t>
            </w:r>
          </w:p>
        </w:tc>
      </w:tr>
      <w:tr w:rsidTr="00B8639B">
        <w:tblPrEx>
          <w:tblW w:w="0" w:type="auto"/>
          <w:tblLayout w:type="fixed"/>
          <w:tblCellMar>
            <w:left w:w="62" w:type="dxa"/>
            <w:right w:w="62" w:type="dxa"/>
          </w:tblCellMar>
          <w:tblLook w:val="0000"/>
        </w:tblPrEx>
        <w:tc>
          <w:tcPr>
            <w:tcW w:w="2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E19">
            <w:pPr>
              <w:pStyle w:val="BodyText"/>
              <w:rPr>
                <w:lang w:val="en-NZ"/>
              </w:rPr>
            </w:pPr>
            <w:r w:rsidRPr="007F6E19">
              <w:rPr>
                <w:rStyle w:val="BoldandItalics"/>
              </w:rPr>
              <w:t xml:space="preserve">Networks </w:t>
            </w:r>
            <w:r w:rsidRPr="007F6E19">
              <w:t>may include:</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E19">
            <w:pPr>
              <w:pStyle w:val="ListBullet"/>
              <w:rPr>
                <w:lang w:val="en-NZ"/>
              </w:rPr>
            </w:pPr>
            <w:r w:rsidRPr="007F6E19">
              <w:t>contact with peers or colleagues in or outside own agency</w:t>
            </w:r>
          </w:p>
        </w:tc>
      </w:tr>
      <w:tr w:rsidTr="00B8639B">
        <w:tblPrEx>
          <w:tblW w:w="0" w:type="auto"/>
          <w:tblLayout w:type="fixed"/>
          <w:tblCellMar>
            <w:left w:w="62" w:type="dxa"/>
            <w:right w:w="62" w:type="dxa"/>
          </w:tblCellMar>
          <w:tblLook w:val="0000"/>
        </w:tblPrEx>
        <w:tc>
          <w:tcPr>
            <w:tcW w:w="2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E19">
            <w:pPr>
              <w:pStyle w:val="BodyText"/>
              <w:rPr>
                <w:lang w:val="en-NZ"/>
              </w:rPr>
            </w:pPr>
            <w:r w:rsidRPr="007F6E19">
              <w:rPr>
                <w:rStyle w:val="BoldandItalics"/>
              </w:rPr>
              <w:t xml:space="preserve">Stakeholders </w:t>
            </w:r>
            <w:r w:rsidRPr="007F6E19">
              <w:t>may be:</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6E19" w:rsidP="007F6E19">
            <w:pPr>
              <w:pStyle w:val="ListBullet"/>
            </w:pPr>
            <w:r w:rsidRPr="007F6E19">
              <w:t>internal or external to the organisation</w:t>
            </w:r>
          </w:p>
          <w:p w:rsidR="00000000" w:rsidRPr="007F6E19" w:rsidP="007F6E19">
            <w:pPr>
              <w:pStyle w:val="ListBullet"/>
            </w:pPr>
            <w:r w:rsidRPr="007F6E19">
              <w:t>agency staff and senior management</w:t>
            </w:r>
          </w:p>
          <w:p w:rsidR="00000000" w:rsidRPr="007F6E19" w:rsidP="007F6E19">
            <w:pPr>
              <w:pStyle w:val="ListBullet"/>
            </w:pPr>
            <w:r w:rsidRPr="007F6E19">
              <w:t>contractors and consultants</w:t>
            </w:r>
          </w:p>
          <w:p w:rsidR="00000000" w:rsidRPr="007F6E19" w:rsidP="007F6E19">
            <w:pPr>
              <w:pStyle w:val="ListBullet"/>
            </w:pPr>
            <w:r w:rsidRPr="007F6E19">
              <w:t>other agencies</w:t>
            </w:r>
          </w:p>
          <w:p w:rsidR="00000000" w:rsidRPr="007F6E19" w:rsidP="007F6E19">
            <w:pPr>
              <w:pStyle w:val="ListBullet"/>
            </w:pPr>
            <w:r w:rsidRPr="007F6E19">
              <w:t>related program staff</w:t>
            </w:r>
          </w:p>
          <w:p w:rsidR="00000000" w:rsidRPr="007F6E19" w:rsidP="007F6E19">
            <w:pPr>
              <w:pStyle w:val="ListBullet"/>
            </w:pPr>
            <w:r w:rsidRPr="007F6E19">
              <w:t xml:space="preserve">client organisations </w:t>
            </w:r>
          </w:p>
          <w:p w:rsidR="00000000" w:rsidRPr="007F6E19" w:rsidP="007F6E19">
            <w:pPr>
              <w:pStyle w:val="ListBullet"/>
            </w:pPr>
            <w:r w:rsidRPr="007F6E19">
              <w:t>industry associations</w:t>
            </w:r>
          </w:p>
          <w:p w:rsidR="00000000" w:rsidRPr="007F6E19" w:rsidP="007F6E19">
            <w:pPr>
              <w:pStyle w:val="ListBullet"/>
            </w:pPr>
            <w:r w:rsidRPr="007F6E19">
              <w:t>law enforcement agencies</w:t>
            </w:r>
          </w:p>
          <w:p w:rsidR="00000000" w:rsidP="007F6E19">
            <w:pPr>
              <w:pStyle w:val="ListBullet"/>
              <w:rPr>
                <w:lang w:val="en-NZ"/>
              </w:rPr>
            </w:pPr>
            <w:r w:rsidRPr="007F6E19">
              <w:t>the general community</w:t>
            </w:r>
          </w:p>
        </w:tc>
      </w:tr>
      <w:tr w:rsidTr="00B8639B">
        <w:tblPrEx>
          <w:tblW w:w="0" w:type="auto"/>
          <w:tblLayout w:type="fixed"/>
          <w:tblCellMar>
            <w:left w:w="62" w:type="dxa"/>
            <w:right w:w="62" w:type="dxa"/>
          </w:tblCellMar>
          <w:tblLook w:val="0000"/>
        </w:tblPrEx>
        <w:tc>
          <w:tcPr>
            <w:tcW w:w="2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E19">
            <w:pPr>
              <w:pStyle w:val="BodyText"/>
              <w:rPr>
                <w:lang w:val="en-NZ"/>
              </w:rPr>
            </w:pPr>
            <w:r w:rsidRPr="007F6E19">
              <w:rPr>
                <w:rStyle w:val="BoldandItalics"/>
              </w:rPr>
              <w:t xml:space="preserve">Decrease </w:t>
            </w:r>
            <w:r w:rsidRPr="007F6E19">
              <w:t>in fraud and corruption activity may be as a result of:</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6E19" w:rsidP="007F6E19">
            <w:pPr>
              <w:pStyle w:val="ListBullet"/>
            </w:pPr>
            <w:r w:rsidRPr="007F6E19">
              <w:t>awareness raising and training ac</w:t>
            </w:r>
            <w:r w:rsidRPr="007F6E19">
              <w:t>tivities</w:t>
            </w:r>
          </w:p>
          <w:p w:rsidR="00000000" w:rsidRPr="007F6E19" w:rsidP="007F6E19">
            <w:pPr>
              <w:pStyle w:val="ListBullet"/>
            </w:pPr>
            <w:r w:rsidRPr="007F6E19">
              <w:t>publicising/communicating agency attitude to fraud, corruption and ethical behaviour</w:t>
            </w:r>
          </w:p>
          <w:p w:rsidR="00000000" w:rsidRPr="007F6E19" w:rsidP="007F6E19">
            <w:pPr>
              <w:pStyle w:val="ListBullet"/>
            </w:pPr>
            <w:r w:rsidRPr="007F6E19">
              <w:t>using administrative reform</w:t>
            </w:r>
          </w:p>
          <w:p w:rsidR="00000000" w:rsidRPr="007F6E19" w:rsidP="007F6E19">
            <w:pPr>
              <w:pStyle w:val="ListBullet"/>
            </w:pPr>
            <w:r w:rsidRPr="007F6E19">
              <w:t>establishing accessible and confidential reporting channels</w:t>
            </w:r>
          </w:p>
          <w:p w:rsidR="00000000" w:rsidRPr="007F6E19" w:rsidP="007F6E19">
            <w:pPr>
              <w:pStyle w:val="ListBullet"/>
            </w:pPr>
            <w:r w:rsidRPr="007F6E19">
              <w:t>publicising agency fraud and corruption control practice both within the agency and to clients of the agency</w:t>
            </w:r>
          </w:p>
        </w:tc>
      </w:tr>
    </w:tbl>
    <w:p w:rsidR="00B8639B" w:rsidP="007F6E19">
      <w:pPr>
        <w:pStyle w:val="BodyText"/>
      </w:pPr>
    </w:p>
    <w:p w:rsidR="00B8639B" w:rsidP="007F6E19">
      <w:pPr>
        <w:pStyle w:val="BodyText"/>
      </w:pPr>
    </w:p>
    <w:p w:rsidR="00000000" w:rsidRPr="007F6E19" w:rsidP="007F6E19">
      <w:pPr>
        <w:pStyle w:val="Heading1"/>
      </w:pPr>
      <w:bookmarkStart w:id="12" w:name="O_495068"/>
      <w:bookmarkEnd w:id="12"/>
      <w:r w:rsidRPr="007F6E19">
        <w:t>Unit Sector(s)</w:t>
      </w:r>
    </w:p>
    <w:p w:rsidR="00000000" w:rsidRPr="007F6E19" w:rsidP="007F6E19">
      <w:pPr>
        <w:pStyle w:val="BodyText"/>
      </w:pPr>
      <w:r w:rsidRPr="007F6E19">
        <w:t>Not applicable.</w:t>
      </w:r>
    </w:p>
    <w:p w:rsidR="00000000" w:rsidRPr="007F6E19" w:rsidP="007F6E19">
      <w:pPr>
        <w:pStyle w:val="AllowPageBreak"/>
      </w:pPr>
    </w:p>
    <w:p w:rsidR="00000000" w:rsidRPr="007F6E19" w:rsidP="007F6E19">
      <w:pPr>
        <w:pStyle w:val="Heading1"/>
      </w:pPr>
      <w:bookmarkStart w:id="13" w:name="O_495072"/>
      <w:bookmarkEnd w:id="13"/>
      <w:r w:rsidRPr="007F6E19">
        <w:t>Competency field</w:t>
      </w:r>
    </w:p>
    <w:p w:rsidR="00000000" w:rsidRPr="007F6E19" w:rsidP="007F6E19">
      <w:pPr>
        <w:pStyle w:val="BodyText"/>
      </w:pPr>
      <w:r w:rsidRPr="007F6E19">
        <w:t>Fraud Control.</w:t>
      </w:r>
    </w:p>
    <w:p w:rsidR="00000000" w:rsidRPr="007F6E19" w:rsidP="007F6E19"/>
    <w:sectPr w:rsidSect="007F6E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E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639B" w:rsidP="00B8639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E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39B" w:rsidP="007F6E1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8639B" w:rsidP="007F6E1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B8639B" w:rsidP="007F6E1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E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E19" w:rsidRPr="00B8639B" w:rsidP="00B8639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E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39B" w:rsidRPr="002D2AF8" w:rsidP="007F6E19">
    <w:pPr>
      <w:pStyle w:val="Header"/>
      <w:framePr w:wrap="around"/>
    </w:pPr>
    <w:r>
      <w:fldChar w:fldCharType="begin"/>
    </w:r>
    <w:r>
      <w:instrText xml:space="preserve"> TITLE   \* MERGEFORMAT </w:instrText>
    </w:r>
    <w:r>
      <w:fldChar w:fldCharType="separate"/>
    </w:r>
    <w:r>
      <w:t>PSPFRAU501B Communicate fraud control awareness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B8639B" w:rsidP="007F6E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BC7F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4022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8298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6E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6E19"/>
    <w:pPr>
      <w:spacing w:before="360" w:after="60"/>
      <w:outlineLvl w:val="0"/>
    </w:pPr>
    <w:rPr>
      <w:sz w:val="32"/>
    </w:rPr>
  </w:style>
  <w:style w:type="paragraph" w:styleId="Heading2">
    <w:name w:val="heading 2"/>
    <w:basedOn w:val="HeadingBase"/>
    <w:next w:val="BodyText"/>
    <w:link w:val="Heading2Char"/>
    <w:qFormat/>
    <w:rsid w:val="007F6E19"/>
    <w:pPr>
      <w:keepLines/>
      <w:spacing w:before="240" w:after="120"/>
      <w:outlineLvl w:val="1"/>
    </w:pPr>
    <w:rPr>
      <w:sz w:val="28"/>
      <w:szCs w:val="40"/>
    </w:rPr>
  </w:style>
  <w:style w:type="paragraph" w:styleId="Heading3">
    <w:name w:val="heading 3"/>
    <w:basedOn w:val="HeadingBase"/>
    <w:next w:val="BodyText"/>
    <w:link w:val="Heading3Char"/>
    <w:qFormat/>
    <w:rsid w:val="007F6E19"/>
    <w:pPr>
      <w:spacing w:before="180" w:after="120"/>
      <w:outlineLvl w:val="2"/>
    </w:pPr>
    <w:rPr>
      <w:spacing w:val="-10"/>
      <w:kern w:val="32"/>
    </w:rPr>
  </w:style>
  <w:style w:type="paragraph" w:styleId="Heading4">
    <w:name w:val="heading 4"/>
    <w:basedOn w:val="HeadingBase"/>
    <w:next w:val="BodyText"/>
    <w:link w:val="Heading4Char"/>
    <w:qFormat/>
    <w:rsid w:val="007F6E19"/>
    <w:pPr>
      <w:spacing w:before="160" w:after="120"/>
      <w:outlineLvl w:val="3"/>
    </w:pPr>
    <w:rPr>
      <w:sz w:val="22"/>
    </w:rPr>
  </w:style>
  <w:style w:type="paragraph" w:styleId="Heading5">
    <w:name w:val="heading 5"/>
    <w:basedOn w:val="HeadingBase"/>
    <w:next w:val="Normal"/>
    <w:link w:val="Heading5Char"/>
    <w:qFormat/>
    <w:rsid w:val="007F6E19"/>
    <w:pPr>
      <w:spacing w:before="80"/>
      <w:outlineLvl w:val="4"/>
    </w:pPr>
    <w:rPr>
      <w:color w:val="918585"/>
      <w:sz w:val="20"/>
    </w:rPr>
  </w:style>
  <w:style w:type="paragraph" w:styleId="Heading6">
    <w:name w:val="heading 6"/>
    <w:basedOn w:val="HeadingBase"/>
    <w:next w:val="Normal"/>
    <w:link w:val="Heading6Char"/>
    <w:qFormat/>
    <w:rsid w:val="007F6E19"/>
    <w:pPr>
      <w:spacing w:before="60"/>
      <w:outlineLvl w:val="5"/>
    </w:pPr>
    <w:rPr>
      <w:color w:val="918585"/>
      <w:sz w:val="20"/>
    </w:rPr>
  </w:style>
  <w:style w:type="paragraph" w:styleId="Heading7">
    <w:name w:val="heading 7"/>
    <w:basedOn w:val="Normal"/>
    <w:next w:val="Normal"/>
    <w:link w:val="Heading7Char"/>
    <w:qFormat/>
    <w:rsid w:val="007F6E19"/>
    <w:pPr>
      <w:ind w:left="720"/>
      <w:outlineLvl w:val="6"/>
    </w:pPr>
    <w:rPr>
      <w:i/>
    </w:rPr>
  </w:style>
  <w:style w:type="paragraph" w:styleId="Heading8">
    <w:name w:val="heading 8"/>
    <w:basedOn w:val="Normal"/>
    <w:next w:val="Normal"/>
    <w:link w:val="Heading8Char"/>
    <w:qFormat/>
    <w:rsid w:val="007F6E19"/>
    <w:pPr>
      <w:ind w:left="720"/>
      <w:outlineLvl w:val="7"/>
    </w:pPr>
    <w:rPr>
      <w:i/>
    </w:rPr>
  </w:style>
  <w:style w:type="paragraph" w:styleId="Heading9">
    <w:name w:val="heading 9"/>
    <w:basedOn w:val="Normal"/>
    <w:next w:val="Normal"/>
    <w:link w:val="Heading9Char"/>
    <w:qFormat/>
    <w:rsid w:val="007F6E19"/>
    <w:pPr>
      <w:ind w:left="720"/>
      <w:outlineLvl w:val="8"/>
    </w:pPr>
    <w:rPr>
      <w:i/>
    </w:rPr>
  </w:style>
  <w:style w:type="character" w:default="1" w:styleId="DefaultParagraphFont">
    <w:name w:val="Default Paragraph Font"/>
    <w:uiPriority w:val="1"/>
    <w:unhideWhenUsed/>
    <w:rsid w:val="007F6E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6E19"/>
  </w:style>
  <w:style w:type="character" w:customStyle="1" w:styleId="Heading1Char">
    <w:name w:val="Heading 1 Char"/>
    <w:basedOn w:val="DefaultParagraphFont"/>
    <w:link w:val="Heading1"/>
    <w:rsid w:val="007F6E19"/>
    <w:rPr>
      <w:rFonts w:ascii="Times New Roman" w:eastAsia="Times New Roman" w:hAnsi="Times New Roman" w:cs="Times New Roman"/>
      <w:b/>
      <w:sz w:val="32"/>
      <w:szCs w:val="20"/>
      <w:lang w:eastAsia="en-US"/>
    </w:rPr>
  </w:style>
  <w:style w:type="paragraph" w:styleId="BodyText">
    <w:name w:val="Body Text"/>
    <w:basedOn w:val="Normal"/>
    <w:link w:val="BodyTextChar"/>
    <w:rsid w:val="007F6E1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F6E19"/>
    <w:rPr>
      <w:rFonts w:ascii="Times New Roman" w:eastAsia="Times New Roman" w:hAnsi="Times New Roman" w:cs="Times New Roman"/>
      <w:sz w:val="24"/>
      <w:lang w:eastAsia="en-US"/>
    </w:rPr>
  </w:style>
  <w:style w:type="paragraph" w:styleId="Footer">
    <w:name w:val="footer"/>
    <w:basedOn w:val="Normal"/>
    <w:link w:val="FooterChar"/>
    <w:rsid w:val="007F6E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6E19"/>
    <w:rPr>
      <w:rFonts w:ascii="Times New Roman" w:eastAsia="Times New Roman" w:hAnsi="Times New Roman" w:cs="Times New Roman"/>
      <w:sz w:val="16"/>
      <w:lang w:eastAsia="en-US"/>
    </w:rPr>
  </w:style>
  <w:style w:type="paragraph" w:styleId="List">
    <w:name w:val="List"/>
    <w:basedOn w:val="BodyText"/>
    <w:next w:val="BodyText"/>
    <w:rsid w:val="007F6E19"/>
    <w:pPr>
      <w:tabs>
        <w:tab w:val="left" w:pos="340"/>
      </w:tabs>
      <w:spacing w:before="60" w:after="60"/>
      <w:ind w:left="340" w:hanging="340"/>
    </w:pPr>
  </w:style>
  <w:style w:type="paragraph" w:styleId="ListBullet">
    <w:name w:val="List Bullet"/>
    <w:basedOn w:val="List"/>
    <w:rsid w:val="007F6E19"/>
    <w:pPr>
      <w:numPr>
        <w:numId w:val="13"/>
      </w:numPr>
      <w:tabs>
        <w:tab w:val="clear" w:pos="340"/>
      </w:tabs>
      <w:spacing w:before="40" w:after="40"/>
    </w:pPr>
  </w:style>
  <w:style w:type="character" w:customStyle="1" w:styleId="SpecialBold">
    <w:name w:val="Special Bold"/>
    <w:basedOn w:val="DefaultParagraphFont"/>
    <w:rsid w:val="007F6E19"/>
    <w:rPr>
      <w:b/>
      <w:spacing w:val="0"/>
    </w:rPr>
  </w:style>
  <w:style w:type="paragraph" w:styleId="ListBullet2">
    <w:name w:val="List Bullet 2"/>
    <w:basedOn w:val="List2"/>
    <w:rsid w:val="007F6E19"/>
    <w:pPr>
      <w:numPr>
        <w:numId w:val="14"/>
      </w:numPr>
      <w:tabs>
        <w:tab w:val="clear" w:pos="680"/>
      </w:tabs>
    </w:pPr>
  </w:style>
  <w:style w:type="character" w:styleId="Emphasis">
    <w:name w:val="Emphasis"/>
    <w:basedOn w:val="DefaultParagraphFont"/>
    <w:qFormat/>
    <w:rsid w:val="007F6E19"/>
    <w:rPr>
      <w:i/>
    </w:rPr>
  </w:style>
  <w:style w:type="paragraph" w:customStyle="1" w:styleId="SuperHeading">
    <w:name w:val="SuperHeading"/>
    <w:basedOn w:val="Normal"/>
    <w:rsid w:val="007F6E19"/>
    <w:pPr>
      <w:spacing w:before="240" w:after="120"/>
      <w:outlineLvl w:val="0"/>
    </w:pPr>
    <w:rPr>
      <w:rFonts w:ascii="Times New Roman" w:hAnsi="Times New Roman"/>
      <w:b/>
      <w:sz w:val="28"/>
    </w:rPr>
  </w:style>
  <w:style w:type="paragraph" w:customStyle="1" w:styleId="AllowPageBreak">
    <w:name w:val="AllowPageBreak"/>
    <w:rsid w:val="007F6E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7F6E19"/>
    <w:rPr>
      <w:u w:val="single"/>
    </w:rPr>
  </w:style>
  <w:style w:type="character" w:customStyle="1" w:styleId="BoldandItalics">
    <w:name w:val="Bold and Italics"/>
    <w:qFormat/>
    <w:rsid w:val="007F6E19"/>
    <w:rPr>
      <w:b/>
      <w:i/>
      <w:u w:val="none"/>
    </w:rPr>
  </w:style>
  <w:style w:type="character" w:customStyle="1" w:styleId="Heading2Char">
    <w:name w:val="Heading 2 Char"/>
    <w:basedOn w:val="DefaultParagraphFont"/>
    <w:link w:val="Heading2"/>
    <w:rsid w:val="007F6E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6E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6E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6E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6E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6E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6E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6E19"/>
    <w:rPr>
      <w:rFonts w:ascii="Courier New" w:eastAsia="Times New Roman" w:hAnsi="Courier New" w:cs="Times New Roman"/>
      <w:i/>
      <w:szCs w:val="20"/>
      <w:lang w:eastAsia="en-US"/>
    </w:rPr>
  </w:style>
  <w:style w:type="paragraph" w:customStyle="1" w:styleId="HeadingBase">
    <w:name w:val="Heading Base"/>
    <w:rsid w:val="007F6E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6E19"/>
    <w:pPr>
      <w:tabs>
        <w:tab w:val="right" w:leader="dot" w:pos="9072"/>
      </w:tabs>
      <w:ind w:left="567"/>
    </w:pPr>
    <w:rPr>
      <w:szCs w:val="22"/>
    </w:rPr>
  </w:style>
  <w:style w:type="paragraph" w:customStyle="1" w:styleId="TOCBase">
    <w:name w:val="TOC Base"/>
    <w:rsid w:val="007F6E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6E19"/>
    <w:pPr>
      <w:tabs>
        <w:tab w:val="right" w:leader="dot" w:pos="9072"/>
      </w:tabs>
      <w:spacing w:before="40" w:after="40"/>
      <w:ind w:left="284"/>
    </w:pPr>
    <w:rPr>
      <w:rFonts w:ascii="Times New Roman" w:hAnsi="Times New Roman"/>
    </w:rPr>
  </w:style>
  <w:style w:type="paragraph" w:styleId="TOC1">
    <w:name w:val="toc 1"/>
    <w:basedOn w:val="TOCBase"/>
    <w:next w:val="Normal"/>
    <w:rsid w:val="007F6E1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F6E19"/>
    <w:pPr>
      <w:spacing w:before="5040"/>
      <w:jc w:val="center"/>
    </w:pPr>
    <w:rPr>
      <w:sz w:val="48"/>
      <w:szCs w:val="72"/>
      <w:lang w:val="en-US"/>
    </w:rPr>
  </w:style>
  <w:style w:type="character" w:customStyle="1" w:styleId="TitleChar">
    <w:name w:val="Title Char"/>
    <w:basedOn w:val="DefaultParagraphFont"/>
    <w:link w:val="Title"/>
    <w:rsid w:val="007F6E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6E19"/>
    <w:pPr>
      <w:tabs>
        <w:tab w:val="left" w:pos="3600"/>
        <w:tab w:val="left" w:pos="3958"/>
      </w:tabs>
    </w:pPr>
  </w:style>
  <w:style w:type="paragraph" w:customStyle="1" w:styleId="Note">
    <w:name w:val="Note"/>
    <w:basedOn w:val="BodyText"/>
    <w:rsid w:val="007F6E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6E19"/>
    <w:pPr>
      <w:framePr w:wrap="auto" w:hAnchor="text" w:y="6049"/>
    </w:pPr>
    <w:rPr>
      <w:color w:val="000000"/>
      <w:sz w:val="40"/>
    </w:rPr>
  </w:style>
  <w:style w:type="paragraph" w:customStyle="1" w:styleId="TOCTitle">
    <w:name w:val="TOCTitle"/>
    <w:basedOn w:val="Heading1"/>
    <w:rsid w:val="007F6E19"/>
    <w:pPr>
      <w:spacing w:after="240"/>
      <w:jc w:val="center"/>
      <w:outlineLvl w:val="9"/>
    </w:pPr>
    <w:rPr>
      <w:caps/>
    </w:rPr>
  </w:style>
  <w:style w:type="paragraph" w:customStyle="1" w:styleId="Version">
    <w:name w:val="Version"/>
    <w:rsid w:val="007F6E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6E19"/>
    <w:pPr>
      <w:keepNext w:val="0"/>
      <w:tabs>
        <w:tab w:val="right" w:pos="4176"/>
      </w:tabs>
      <w:ind w:left="198" w:hanging="198"/>
    </w:pPr>
    <w:rPr>
      <w:rFonts w:ascii="Garamond" w:hAnsi="Garamond"/>
    </w:rPr>
  </w:style>
  <w:style w:type="paragraph" w:styleId="IndexHeading">
    <w:name w:val="index heading"/>
    <w:basedOn w:val="Normal"/>
    <w:next w:val="Index1"/>
    <w:semiHidden/>
    <w:rsid w:val="007F6E19"/>
    <w:pPr>
      <w:spacing w:before="120" w:after="120"/>
    </w:pPr>
    <w:rPr>
      <w:rFonts w:ascii="Arial" w:hAnsi="Arial"/>
      <w:b/>
      <w:color w:val="918585"/>
      <w:sz w:val="24"/>
    </w:rPr>
  </w:style>
  <w:style w:type="paragraph" w:styleId="Header">
    <w:name w:val="header"/>
    <w:basedOn w:val="Normal"/>
    <w:link w:val="HeaderChar"/>
    <w:rsid w:val="007F6E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6E19"/>
    <w:rPr>
      <w:rFonts w:ascii="Times New Roman" w:eastAsia="Times New Roman" w:hAnsi="Times New Roman" w:cs="Times New Roman"/>
      <w:sz w:val="16"/>
      <w:szCs w:val="20"/>
      <w:lang w:val="en-GB" w:eastAsia="en-US"/>
    </w:rPr>
  </w:style>
  <w:style w:type="paragraph" w:customStyle="1" w:styleId="Chapter">
    <w:name w:val="Chapter"/>
    <w:basedOn w:val="Normal"/>
    <w:rsid w:val="007F6E19"/>
    <w:pPr>
      <w:spacing w:before="240"/>
    </w:pPr>
    <w:rPr>
      <w:rFonts w:ascii="Times New Roman" w:hAnsi="Times New Roman"/>
      <w:smallCaps/>
      <w:spacing w:val="80"/>
      <w:sz w:val="28"/>
    </w:rPr>
  </w:style>
  <w:style w:type="paragraph" w:customStyle="1" w:styleId="InChapter">
    <w:name w:val="InChapter"/>
    <w:basedOn w:val="Heading3"/>
    <w:rsid w:val="007F6E19"/>
    <w:pPr>
      <w:spacing w:after="240"/>
      <w:outlineLvl w:val="9"/>
    </w:pPr>
    <w:rPr>
      <w:noProof/>
    </w:rPr>
  </w:style>
  <w:style w:type="paragraph" w:styleId="Index2">
    <w:name w:val="index 2"/>
    <w:basedOn w:val="Normal"/>
    <w:next w:val="Normal"/>
    <w:semiHidden/>
    <w:rsid w:val="007F6E19"/>
    <w:pPr>
      <w:tabs>
        <w:tab w:val="right" w:pos="4176"/>
      </w:tabs>
      <w:ind w:left="568" w:hanging="284"/>
    </w:pPr>
    <w:rPr>
      <w:rFonts w:ascii="Garamond" w:hAnsi="Garamond"/>
    </w:rPr>
  </w:style>
  <w:style w:type="paragraph" w:customStyle="1" w:styleId="Byline">
    <w:name w:val="Byline"/>
    <w:rsid w:val="007F6E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6E19"/>
    <w:pPr>
      <w:tabs>
        <w:tab w:val="clear" w:pos="3600"/>
        <w:tab w:val="clear" w:pos="3958"/>
      </w:tabs>
      <w:jc w:val="right"/>
    </w:pPr>
  </w:style>
  <w:style w:type="paragraph" w:styleId="Caption">
    <w:name w:val="caption"/>
    <w:basedOn w:val="BodyText"/>
    <w:next w:val="Normal"/>
    <w:qFormat/>
    <w:rsid w:val="007F6E19"/>
    <w:pPr>
      <w:framePr w:w="2268" w:hSpace="181" w:vSpace="181" w:wrap="around" w:vAnchor="text" w:hAnchor="page" w:x="1135" w:y="285" w:anchorLock="1"/>
    </w:pPr>
    <w:rPr>
      <w:i/>
    </w:rPr>
  </w:style>
  <w:style w:type="paragraph" w:customStyle="1" w:styleId="MiniTOCTitle">
    <w:name w:val="MiniTOCTitle"/>
    <w:basedOn w:val="Heading4"/>
    <w:rsid w:val="007F6E19"/>
    <w:pPr>
      <w:spacing w:before="240"/>
      <w:outlineLvl w:val="9"/>
    </w:pPr>
    <w:rPr>
      <w:noProof/>
      <w:sz w:val="24"/>
    </w:rPr>
  </w:style>
  <w:style w:type="paragraph" w:customStyle="1" w:styleId="MiniTOCItem">
    <w:name w:val="MiniTOCItem"/>
    <w:basedOn w:val="ListBullet"/>
    <w:rsid w:val="007F6E19"/>
    <w:pPr>
      <w:numPr>
        <w:numId w:val="0"/>
      </w:numPr>
      <w:tabs>
        <w:tab w:val="right" w:leader="dot" w:pos="6521"/>
      </w:tabs>
      <w:spacing w:before="0" w:after="0"/>
    </w:pPr>
  </w:style>
  <w:style w:type="paragraph" w:customStyle="1" w:styleId="TOFTitle">
    <w:name w:val="TOFTitle"/>
    <w:basedOn w:val="TOCTitle"/>
    <w:rsid w:val="007F6E19"/>
  </w:style>
  <w:style w:type="paragraph" w:styleId="TableofFigures">
    <w:name w:val="table of figures"/>
    <w:basedOn w:val="Normal"/>
    <w:next w:val="Normal"/>
    <w:semiHidden/>
    <w:rsid w:val="007F6E19"/>
    <w:pPr>
      <w:tabs>
        <w:tab w:val="right" w:leader="dot" w:pos="9072"/>
      </w:tabs>
      <w:ind w:left="970" w:hanging="403"/>
    </w:pPr>
    <w:rPr>
      <w:rFonts w:ascii="Times New Roman" w:hAnsi="Times New Roman"/>
      <w:b/>
    </w:rPr>
  </w:style>
  <w:style w:type="paragraph" w:styleId="ListNumber">
    <w:name w:val="List Number"/>
    <w:basedOn w:val="List"/>
    <w:rsid w:val="007F6E19"/>
    <w:pPr>
      <w:numPr>
        <w:numId w:val="11"/>
      </w:numPr>
    </w:pPr>
  </w:style>
  <w:style w:type="character" w:customStyle="1" w:styleId="WingdingSymbols">
    <w:name w:val="Wingding Symbols"/>
    <w:rsid w:val="007F6E19"/>
    <w:rPr>
      <w:rFonts w:ascii="Wingdings" w:hAnsi="Wingdings"/>
    </w:rPr>
  </w:style>
  <w:style w:type="paragraph" w:customStyle="1" w:styleId="TableHeading">
    <w:name w:val="Table Heading"/>
    <w:basedOn w:val="HeadingBase"/>
    <w:rsid w:val="007F6E19"/>
    <w:pPr>
      <w:keepLines/>
      <w:pBdr>
        <w:bottom w:val="single" w:sz="6" w:space="1" w:color="918585"/>
      </w:pBdr>
      <w:spacing w:before="240"/>
    </w:pPr>
  </w:style>
  <w:style w:type="character" w:customStyle="1" w:styleId="HotSpot">
    <w:name w:val="HotSpot"/>
    <w:rsid w:val="007F6E19"/>
    <w:rPr>
      <w:color w:val="0033CC"/>
      <w:u w:val="none"/>
    </w:rPr>
  </w:style>
  <w:style w:type="paragraph" w:customStyle="1" w:styleId="BodyTextRight">
    <w:name w:val="Body Text Right"/>
    <w:basedOn w:val="BodyText"/>
    <w:rsid w:val="007F6E19"/>
    <w:pPr>
      <w:spacing w:before="0" w:after="0"/>
      <w:jc w:val="right"/>
    </w:pPr>
  </w:style>
  <w:style w:type="paragraph" w:styleId="Index3">
    <w:name w:val="index 3"/>
    <w:basedOn w:val="ListNumber2"/>
    <w:next w:val="Normal"/>
    <w:semiHidden/>
    <w:rsid w:val="007F6E19"/>
    <w:pPr>
      <w:numPr>
        <w:numId w:val="0"/>
      </w:numPr>
      <w:tabs>
        <w:tab w:val="right" w:leader="dot" w:pos="4176"/>
      </w:tabs>
    </w:pPr>
  </w:style>
  <w:style w:type="paragraph" w:styleId="ListNumber2">
    <w:name w:val="List Number 2"/>
    <w:basedOn w:val="List2"/>
    <w:rsid w:val="007F6E19"/>
    <w:pPr>
      <w:numPr>
        <w:numId w:val="10"/>
      </w:numPr>
      <w:tabs>
        <w:tab w:val="clear" w:pos="1060"/>
      </w:tabs>
    </w:pPr>
  </w:style>
  <w:style w:type="paragraph" w:customStyle="1" w:styleId="MarginNote">
    <w:name w:val="Margin Note"/>
    <w:basedOn w:val="BodyText"/>
    <w:rsid w:val="007F6E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6E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6E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6E19"/>
    <w:rPr>
      <w:sz w:val="32"/>
    </w:rPr>
  </w:style>
  <w:style w:type="paragraph" w:customStyle="1" w:styleId="HeadingProcedure">
    <w:name w:val="Heading Procedure"/>
    <w:basedOn w:val="HeadingBase"/>
    <w:next w:val="Normal"/>
    <w:rsid w:val="007F6E19"/>
    <w:pPr>
      <w:tabs>
        <w:tab w:val="left" w:pos="0"/>
      </w:tabs>
      <w:spacing w:before="120" w:after="60"/>
    </w:pPr>
    <w:rPr>
      <w:i/>
      <w:color w:val="918585"/>
      <w:sz w:val="22"/>
    </w:rPr>
  </w:style>
  <w:style w:type="paragraph" w:customStyle="1" w:styleId="TableBodyText">
    <w:name w:val="Table Body Text"/>
    <w:basedOn w:val="BodyText"/>
    <w:rsid w:val="007F6E19"/>
    <w:pPr>
      <w:spacing w:before="60" w:after="60"/>
    </w:pPr>
  </w:style>
  <w:style w:type="paragraph" w:styleId="ListContinue">
    <w:name w:val="List Continue"/>
    <w:basedOn w:val="List"/>
    <w:rsid w:val="007F6E19"/>
    <w:pPr>
      <w:ind w:firstLine="0"/>
    </w:pPr>
  </w:style>
  <w:style w:type="paragraph" w:customStyle="1" w:styleId="ListNote">
    <w:name w:val="List Note"/>
    <w:basedOn w:val="List"/>
    <w:rsid w:val="007F6E19"/>
    <w:pPr>
      <w:pBdr>
        <w:top w:val="single" w:sz="6" w:space="2" w:color="918585"/>
        <w:bottom w:val="single" w:sz="6" w:space="2" w:color="918585"/>
      </w:pBdr>
      <w:tabs>
        <w:tab w:val="left" w:pos="1021"/>
      </w:tabs>
      <w:ind w:firstLine="0"/>
    </w:pPr>
  </w:style>
  <w:style w:type="paragraph" w:customStyle="1" w:styleId="Warning">
    <w:name w:val="Warning"/>
    <w:basedOn w:val="BodyText"/>
    <w:rsid w:val="007F6E19"/>
    <w:pPr>
      <w:shd w:val="clear" w:color="auto" w:fill="D9D9D9"/>
      <w:tabs>
        <w:tab w:val="left" w:pos="992"/>
      </w:tabs>
      <w:ind w:left="119" w:right="119"/>
    </w:pPr>
    <w:rPr>
      <w:sz w:val="20"/>
    </w:rPr>
  </w:style>
  <w:style w:type="paragraph" w:customStyle="1" w:styleId="MarginIcons">
    <w:name w:val="Margin Icons"/>
    <w:basedOn w:val="BodyText"/>
    <w:rsid w:val="007F6E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6E19"/>
    <w:rPr>
      <w:rFonts w:ascii="Courier New" w:hAnsi="Courier New"/>
    </w:rPr>
  </w:style>
  <w:style w:type="paragraph" w:customStyle="1" w:styleId="NoteBullet">
    <w:name w:val="Note Bullet"/>
    <w:basedOn w:val="Note"/>
    <w:rsid w:val="007F6E19"/>
    <w:pPr>
      <w:tabs>
        <w:tab w:val="clear" w:pos="680"/>
      </w:tabs>
      <w:spacing w:before="60" w:after="60"/>
    </w:pPr>
  </w:style>
  <w:style w:type="paragraph" w:customStyle="1" w:styleId="SubHeading2">
    <w:name w:val="SubHeading2"/>
    <w:basedOn w:val="HeadingBase"/>
    <w:rsid w:val="007F6E19"/>
    <w:pPr>
      <w:spacing w:before="240" w:after="60"/>
    </w:pPr>
    <w:rPr>
      <w:sz w:val="20"/>
    </w:rPr>
  </w:style>
  <w:style w:type="paragraph" w:customStyle="1" w:styleId="SubHeading1">
    <w:name w:val="SubHeading1"/>
    <w:basedOn w:val="HeadingBase"/>
    <w:rsid w:val="007F6E19"/>
    <w:pPr>
      <w:spacing w:before="240" w:after="60"/>
    </w:pPr>
    <w:rPr>
      <w:color w:val="918585"/>
      <w:sz w:val="22"/>
    </w:rPr>
  </w:style>
  <w:style w:type="paragraph" w:customStyle="1" w:styleId="SideHeading">
    <w:name w:val="Side Heading"/>
    <w:basedOn w:val="HeadingBase"/>
    <w:rsid w:val="007F6E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6E19"/>
    <w:pPr>
      <w:numPr>
        <w:numId w:val="12"/>
      </w:numPr>
    </w:pPr>
  </w:style>
  <w:style w:type="paragraph" w:styleId="PlainText">
    <w:name w:val="Plain Text"/>
    <w:basedOn w:val="Normal"/>
    <w:link w:val="PlainTextChar"/>
    <w:rsid w:val="007F6E19"/>
    <w:rPr>
      <w:sz w:val="20"/>
    </w:rPr>
  </w:style>
  <w:style w:type="character" w:customStyle="1" w:styleId="PlainTextChar">
    <w:name w:val="Plain Text Char"/>
    <w:basedOn w:val="DefaultParagraphFont"/>
    <w:link w:val="PlainText"/>
    <w:rsid w:val="007F6E19"/>
    <w:rPr>
      <w:rFonts w:ascii="Courier New" w:eastAsia="Times New Roman" w:hAnsi="Courier New" w:cs="Times New Roman"/>
      <w:sz w:val="20"/>
      <w:szCs w:val="20"/>
      <w:lang w:eastAsia="en-US"/>
    </w:rPr>
  </w:style>
  <w:style w:type="character" w:customStyle="1" w:styleId="MenuOption">
    <w:name w:val="Menu Option"/>
    <w:basedOn w:val="DefaultParagraphFont"/>
    <w:rsid w:val="007F6E19"/>
    <w:rPr>
      <w:b/>
      <w:smallCaps/>
    </w:rPr>
  </w:style>
  <w:style w:type="paragraph" w:customStyle="1" w:styleId="TableListNumber">
    <w:name w:val="Table List Number"/>
    <w:basedOn w:val="ListNumber"/>
    <w:rsid w:val="007F6E19"/>
    <w:pPr>
      <w:numPr>
        <w:numId w:val="0"/>
      </w:numPr>
    </w:pPr>
  </w:style>
  <w:style w:type="paragraph" w:styleId="TOC4">
    <w:name w:val="toc 4"/>
    <w:basedOn w:val="TOCBase"/>
    <w:next w:val="Normal"/>
    <w:semiHidden/>
    <w:rsid w:val="007F6E19"/>
    <w:pPr>
      <w:tabs>
        <w:tab w:val="right" w:leader="dot" w:pos="9071"/>
      </w:tabs>
      <w:ind w:left="1701"/>
    </w:pPr>
  </w:style>
  <w:style w:type="paragraph" w:customStyle="1" w:styleId="ListAlpha">
    <w:name w:val="List Alpha"/>
    <w:basedOn w:val="List"/>
    <w:rsid w:val="007F6E19"/>
    <w:pPr>
      <w:numPr>
        <w:numId w:val="9"/>
      </w:numPr>
    </w:pPr>
  </w:style>
  <w:style w:type="paragraph" w:customStyle="1" w:styleId="ListAlpha2">
    <w:name w:val="List Alpha 2"/>
    <w:basedOn w:val="List2"/>
    <w:rsid w:val="007F6E19"/>
    <w:pPr>
      <w:numPr>
        <w:numId w:val="8"/>
      </w:numPr>
    </w:pPr>
  </w:style>
  <w:style w:type="paragraph" w:styleId="List2">
    <w:name w:val="List 2"/>
    <w:basedOn w:val="BodyText"/>
    <w:rsid w:val="007F6E19"/>
    <w:pPr>
      <w:tabs>
        <w:tab w:val="left" w:pos="680"/>
      </w:tabs>
      <w:spacing w:before="60" w:after="60"/>
      <w:ind w:left="680" w:hanging="340"/>
    </w:pPr>
  </w:style>
  <w:style w:type="paragraph" w:styleId="List3">
    <w:name w:val="List 3"/>
    <w:basedOn w:val="BodyText"/>
    <w:rsid w:val="007F6E19"/>
    <w:pPr>
      <w:tabs>
        <w:tab w:val="left" w:pos="1021"/>
      </w:tabs>
      <w:spacing w:before="60" w:after="60"/>
      <w:ind w:left="1020" w:hanging="340"/>
    </w:pPr>
  </w:style>
  <w:style w:type="paragraph" w:styleId="List4">
    <w:name w:val="List 4"/>
    <w:basedOn w:val="BodyText"/>
    <w:rsid w:val="007F6E19"/>
    <w:pPr>
      <w:tabs>
        <w:tab w:val="left" w:pos="1361"/>
      </w:tabs>
      <w:spacing w:before="60" w:after="60"/>
      <w:ind w:left="1361" w:hanging="340"/>
    </w:pPr>
  </w:style>
  <w:style w:type="paragraph" w:styleId="List5">
    <w:name w:val="List 5"/>
    <w:basedOn w:val="BodyText"/>
    <w:rsid w:val="007F6E19"/>
    <w:pPr>
      <w:tabs>
        <w:tab w:val="left" w:pos="1701"/>
      </w:tabs>
      <w:spacing w:before="60" w:after="60"/>
      <w:ind w:left="1701" w:hanging="340"/>
    </w:pPr>
  </w:style>
  <w:style w:type="paragraph" w:styleId="ListBullet3">
    <w:name w:val="List Bullet 3"/>
    <w:basedOn w:val="List3"/>
    <w:rsid w:val="007F6E19"/>
    <w:pPr>
      <w:numPr>
        <w:numId w:val="15"/>
      </w:numPr>
      <w:tabs>
        <w:tab w:val="clear" w:pos="1021"/>
      </w:tabs>
      <w:ind w:left="1037" w:hanging="357"/>
    </w:pPr>
  </w:style>
  <w:style w:type="paragraph" w:styleId="ListBullet4">
    <w:name w:val="List Bullet 4"/>
    <w:basedOn w:val="List4"/>
    <w:rsid w:val="007F6E19"/>
    <w:pPr>
      <w:numPr>
        <w:numId w:val="3"/>
      </w:numPr>
    </w:pPr>
  </w:style>
  <w:style w:type="paragraph" w:styleId="ListBullet5">
    <w:name w:val="List Bullet 5"/>
    <w:basedOn w:val="List5"/>
    <w:rsid w:val="007F6E19"/>
    <w:pPr>
      <w:numPr>
        <w:numId w:val="4"/>
      </w:numPr>
    </w:pPr>
  </w:style>
  <w:style w:type="paragraph" w:styleId="ListContinue2">
    <w:name w:val="List Continue 2"/>
    <w:basedOn w:val="List2"/>
    <w:rsid w:val="007F6E19"/>
    <w:pPr>
      <w:ind w:firstLine="0"/>
    </w:pPr>
  </w:style>
  <w:style w:type="paragraph" w:styleId="ListContinue3">
    <w:name w:val="List Continue 3"/>
    <w:basedOn w:val="List3"/>
    <w:rsid w:val="007F6E19"/>
    <w:pPr>
      <w:ind w:left="1021" w:firstLine="0"/>
    </w:pPr>
  </w:style>
  <w:style w:type="paragraph" w:styleId="ListContinue4">
    <w:name w:val="List Continue 4"/>
    <w:basedOn w:val="List4"/>
    <w:rsid w:val="007F6E19"/>
    <w:pPr>
      <w:ind w:firstLine="0"/>
    </w:pPr>
  </w:style>
  <w:style w:type="paragraph" w:styleId="ListContinue5">
    <w:name w:val="List Continue 5"/>
    <w:basedOn w:val="List5"/>
    <w:rsid w:val="007F6E19"/>
    <w:pPr>
      <w:ind w:firstLine="0"/>
    </w:pPr>
  </w:style>
  <w:style w:type="paragraph" w:styleId="ListNumber3">
    <w:name w:val="List Number 3"/>
    <w:basedOn w:val="List3"/>
    <w:rsid w:val="007F6E19"/>
    <w:pPr>
      <w:numPr>
        <w:numId w:val="5"/>
      </w:numPr>
    </w:pPr>
  </w:style>
  <w:style w:type="paragraph" w:styleId="ListNumber4">
    <w:name w:val="List Number 4"/>
    <w:basedOn w:val="List4"/>
    <w:rsid w:val="007F6E19"/>
    <w:pPr>
      <w:numPr>
        <w:numId w:val="6"/>
      </w:numPr>
    </w:pPr>
  </w:style>
  <w:style w:type="paragraph" w:styleId="ListNumber5">
    <w:name w:val="List Number 5"/>
    <w:basedOn w:val="List5"/>
    <w:rsid w:val="007F6E19"/>
    <w:pPr>
      <w:numPr>
        <w:numId w:val="7"/>
      </w:numPr>
    </w:pPr>
  </w:style>
  <w:style w:type="paragraph" w:styleId="BlockText">
    <w:name w:val="Block Text"/>
    <w:basedOn w:val="Normal"/>
    <w:rsid w:val="007F6E19"/>
    <w:pPr>
      <w:spacing w:after="120"/>
      <w:ind w:left="1440" w:right="1440"/>
    </w:pPr>
  </w:style>
  <w:style w:type="character" w:customStyle="1" w:styleId="Subscript">
    <w:name w:val="Subscript"/>
    <w:basedOn w:val="DefaultParagraphFont"/>
    <w:rsid w:val="007F6E19"/>
    <w:rPr>
      <w:sz w:val="16"/>
      <w:vertAlign w:val="subscript"/>
    </w:rPr>
  </w:style>
  <w:style w:type="character" w:customStyle="1" w:styleId="Superscript">
    <w:name w:val="Superscript"/>
    <w:basedOn w:val="DefaultParagraphFont"/>
    <w:rsid w:val="007F6E19"/>
    <w:rPr>
      <w:sz w:val="16"/>
      <w:vertAlign w:val="superscript"/>
    </w:rPr>
  </w:style>
  <w:style w:type="character" w:customStyle="1" w:styleId="Symbols">
    <w:name w:val="Symbols"/>
    <w:basedOn w:val="DefaultParagraphFont"/>
    <w:rsid w:val="007F6E19"/>
    <w:rPr>
      <w:rFonts w:ascii="Symbol" w:hAnsi="Symbol"/>
    </w:rPr>
  </w:style>
  <w:style w:type="character" w:customStyle="1" w:styleId="MenuOptions">
    <w:name w:val="Menu Options"/>
    <w:basedOn w:val="DefaultParagraphFont"/>
    <w:rsid w:val="007F6E19"/>
    <w:rPr>
      <w:rFonts w:ascii="Arial Narrow" w:hAnsi="Arial Narrow"/>
      <w:smallCaps/>
    </w:rPr>
  </w:style>
  <w:style w:type="character" w:customStyle="1" w:styleId="Buttons">
    <w:name w:val="Buttons"/>
    <w:basedOn w:val="DefaultParagraphFont"/>
    <w:rsid w:val="007F6E19"/>
    <w:rPr>
      <w:b/>
    </w:rPr>
  </w:style>
  <w:style w:type="character" w:customStyle="1" w:styleId="Underlined">
    <w:name w:val="Underlined"/>
    <w:basedOn w:val="DefaultParagraphFont"/>
    <w:rsid w:val="007F6E19"/>
    <w:rPr>
      <w:u w:val="single"/>
    </w:rPr>
  </w:style>
  <w:style w:type="paragraph" w:customStyle="1" w:styleId="TableBodyTextRight">
    <w:name w:val="Table Body Text Right"/>
    <w:basedOn w:val="TableBodyText"/>
    <w:rsid w:val="007F6E19"/>
    <w:pPr>
      <w:widowControl w:val="0"/>
      <w:autoSpaceDE w:val="0"/>
      <w:autoSpaceDN w:val="0"/>
      <w:adjustRightInd w:val="0"/>
      <w:jc w:val="right"/>
    </w:pPr>
    <w:rPr>
      <w:rFonts w:cs="Arial"/>
      <w:szCs w:val="18"/>
    </w:rPr>
  </w:style>
  <w:style w:type="paragraph" w:customStyle="1" w:styleId="CopyrightText">
    <w:name w:val="Copyright Text"/>
    <w:basedOn w:val="BodyText"/>
    <w:rsid w:val="007F6E19"/>
    <w:rPr>
      <w:sz w:val="18"/>
    </w:rPr>
  </w:style>
  <w:style w:type="paragraph" w:customStyle="1" w:styleId="BodySmallRight">
    <w:name w:val="Body Small Right"/>
    <w:basedOn w:val="BodyTextRight"/>
    <w:rsid w:val="007F6E19"/>
    <w:rPr>
      <w:sz w:val="18"/>
      <w:szCs w:val="18"/>
    </w:rPr>
  </w:style>
  <w:style w:type="paragraph" w:customStyle="1" w:styleId="MarginEdition">
    <w:name w:val="Margin Edition"/>
    <w:basedOn w:val="MarginNote"/>
    <w:rsid w:val="007F6E19"/>
    <w:pPr>
      <w:spacing w:before="0" w:after="0"/>
    </w:pPr>
    <w:rPr>
      <w:rFonts w:ascii="Times New Roman" w:hAnsi="Times New Roman"/>
      <w:color w:val="999999"/>
    </w:rPr>
  </w:style>
  <w:style w:type="paragraph" w:customStyle="1" w:styleId="Spacer">
    <w:name w:val="Spacer"/>
    <w:basedOn w:val="Normal"/>
    <w:rsid w:val="007F6E19"/>
    <w:rPr>
      <w:sz w:val="2"/>
      <w:szCs w:val="2"/>
    </w:rPr>
  </w:style>
  <w:style w:type="character" w:customStyle="1" w:styleId="Small">
    <w:name w:val="Small"/>
    <w:basedOn w:val="DefaultParagraphFont"/>
    <w:rsid w:val="007F6E19"/>
    <w:rPr>
      <w:sz w:val="16"/>
    </w:rPr>
  </w:style>
  <w:style w:type="paragraph" w:customStyle="1" w:styleId="WideTable">
    <w:name w:val="Wide Table"/>
    <w:basedOn w:val="Normal"/>
    <w:rsid w:val="007F6E19"/>
    <w:pPr>
      <w:ind w:left="-1418"/>
    </w:pPr>
    <w:rPr>
      <w:sz w:val="2"/>
      <w:szCs w:val="2"/>
    </w:rPr>
  </w:style>
  <w:style w:type="character" w:styleId="PageNumber">
    <w:name w:val="page number"/>
    <w:basedOn w:val="DefaultParagraphFont"/>
    <w:rsid w:val="007F6E19"/>
  </w:style>
  <w:style w:type="paragraph" w:styleId="Quote">
    <w:name w:val="Quote"/>
    <w:basedOn w:val="Heading1"/>
    <w:link w:val="QuoteChar"/>
    <w:qFormat/>
    <w:rsid w:val="007F6E19"/>
    <w:rPr>
      <w:b w:val="0"/>
      <w:sz w:val="72"/>
      <w:szCs w:val="72"/>
      <w:lang w:val="en-NZ"/>
    </w:rPr>
  </w:style>
  <w:style w:type="character" w:customStyle="1" w:styleId="QuoteChar">
    <w:name w:val="Quote Char"/>
    <w:basedOn w:val="DefaultParagraphFont"/>
    <w:link w:val="Quote"/>
    <w:rsid w:val="007F6E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6E19"/>
    <w:pPr>
      <w:pageBreakBefore/>
    </w:pPr>
  </w:style>
  <w:style w:type="paragraph" w:customStyle="1" w:styleId="Border">
    <w:name w:val="Border"/>
    <w:basedOn w:val="Normal"/>
    <w:qFormat/>
    <w:rsid w:val="007F6E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6E19"/>
    <w:rPr>
      <w:b/>
      <w:bCs/>
      <w:i/>
      <w:iCs/>
      <w:color w:val="auto"/>
    </w:rPr>
  </w:style>
  <w:style w:type="paragraph" w:styleId="IntenseQuote">
    <w:name w:val="Intense Quote"/>
    <w:basedOn w:val="Normal"/>
    <w:next w:val="Normal"/>
    <w:link w:val="IntenseQuoteChar"/>
    <w:uiPriority w:val="30"/>
    <w:qFormat/>
    <w:rsid w:val="007F6E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6E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6E19"/>
    <w:rPr>
      <w:smallCaps/>
      <w:color w:val="auto"/>
      <w:u w:val="single"/>
    </w:rPr>
  </w:style>
  <w:style w:type="character" w:styleId="IntenseReference">
    <w:name w:val="Intense Reference"/>
    <w:basedOn w:val="DefaultParagraphFont"/>
    <w:uiPriority w:val="32"/>
    <w:qFormat/>
    <w:rsid w:val="007F6E19"/>
    <w:rPr>
      <w:b/>
      <w:bCs/>
      <w:smallCaps/>
      <w:color w:val="auto"/>
      <w:spacing w:val="5"/>
      <w:u w:val="single"/>
    </w:rPr>
  </w:style>
  <w:style w:type="paragraph" w:customStyle="1" w:styleId="2ColumnHeading">
    <w:name w:val="2Column Heading"/>
    <w:basedOn w:val="BodyText"/>
    <w:qFormat/>
    <w:rsid w:val="007F6E19"/>
    <w:pPr>
      <w:spacing w:after="60"/>
      <w:ind w:left="-2268"/>
    </w:pPr>
    <w:rPr>
      <w:b/>
    </w:rPr>
  </w:style>
  <w:style w:type="paragraph" w:customStyle="1" w:styleId="Heading1TOC">
    <w:name w:val="Heading1 TOC"/>
    <w:basedOn w:val="Normal"/>
    <w:qFormat/>
    <w:rsid w:val="007F6E19"/>
    <w:pPr>
      <w:spacing w:before="240" w:after="120"/>
    </w:pPr>
    <w:rPr>
      <w:rFonts w:ascii="Times New Roman" w:hAnsi="Times New Roman"/>
      <w:b/>
      <w:sz w:val="32"/>
    </w:rPr>
  </w:style>
  <w:style w:type="paragraph" w:customStyle="1" w:styleId="Heading2TOC">
    <w:name w:val="Heading2 TOC"/>
    <w:basedOn w:val="Normal"/>
    <w:qFormat/>
    <w:rsid w:val="007F6E19"/>
    <w:pPr>
      <w:spacing w:before="240" w:after="60"/>
    </w:pPr>
    <w:rPr>
      <w:rFonts w:ascii="Times New Roman" w:hAnsi="Times New Roman"/>
      <w:b/>
      <w:sz w:val="28"/>
    </w:rPr>
  </w:style>
  <w:style w:type="paragraph" w:styleId="BalloonText">
    <w:name w:val="Balloon Text"/>
    <w:basedOn w:val="Normal"/>
    <w:link w:val="BalloonTextChar"/>
    <w:rsid w:val="007F6E19"/>
    <w:rPr>
      <w:rFonts w:ascii="Tahoma" w:hAnsi="Tahoma" w:cs="Tahoma"/>
      <w:sz w:val="16"/>
      <w:szCs w:val="16"/>
    </w:rPr>
  </w:style>
  <w:style w:type="character" w:customStyle="1" w:styleId="BalloonTextChar">
    <w:name w:val="Balloon Text Char"/>
    <w:basedOn w:val="DefaultParagraphFont"/>
    <w:link w:val="BalloonText"/>
    <w:rsid w:val="007F6E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6E1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F6E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6E19"/>
    <w:rPr>
      <w:b/>
      <w:color w:val="660033"/>
      <w:spacing w:val="0"/>
    </w:rPr>
  </w:style>
  <w:style w:type="paragraph" w:customStyle="1" w:styleId="Nameditemlist">
    <w:name w:val="Named item list"/>
    <w:basedOn w:val="BodyText"/>
    <w:qFormat/>
    <w:rsid w:val="007F6E1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1740</Words>
  <Characters>11138</Characters>
  <Application>Microsoft Office Word</Application>
  <DocSecurity>0</DocSecurity>
  <Lines>338</Lines>
  <Paragraphs>196</Paragraphs>
  <ScaleCrop>false</ScaleCrop>
  <Company>Author-it Software Corporation Ltd.</Company>
  <LinksUpToDate>false</LinksUpToDate>
  <CharactersWithSpaces>12807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PSPFRAU501B Communicate fraud control awareness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2012-11-01T16:54:00Z</dcterms:created>
  <dcterms:modified xsi:type="dcterms:W3CDTF">2012-11-01T16:54:00Z</dcterms:modified>
</cp:coreProperties>
</file>