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348B" w:rsidP="00E9348B">
      <w:pPr>
        <w:pStyle w:val="Title"/>
      </w:pPr>
      <w:bookmarkStart w:id="0" w:name="_GoBack"/>
      <w:bookmarkEnd w:id="0"/>
      <w:r>
        <w:fldChar w:fldCharType="begin"/>
      </w:r>
      <w:r>
        <w:instrText xml:space="preserve"> TITLE   \* MERGEFORMAT </w:instrText>
      </w:r>
      <w:r>
        <w:fldChar w:fldCharType="separate"/>
      </w:r>
      <w:r>
        <w:t>PSPFRAU401B Monitor data for indicators of fraud</w:t>
      </w:r>
      <w:r>
        <w:fldChar w:fldCharType="end"/>
      </w:r>
    </w:p>
    <w:p w:rsidR="00E9348B" w:rsidP="00E9348B">
      <w:pPr>
        <w:pStyle w:val="Version"/>
        <w:sectPr w:rsidSect="00A316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A31699" w:rsidP="00A31699">
      <w:pPr>
        <w:pStyle w:val="SuperHeading"/>
      </w:pPr>
      <w:r w:rsidRPr="00A31699">
        <w:t>PSPFRAU401B Monitor data for indicators of fraud</w:t>
      </w:r>
    </w:p>
    <w:p w:rsidR="00000000" w:rsidRPr="00A31699" w:rsidP="00A31699">
      <w:pPr>
        <w:pStyle w:val="SuperHeading"/>
      </w:pPr>
    </w:p>
    <w:p w:rsidR="00000000" w:rsidRPr="00A31699" w:rsidP="00A31699">
      <w:pPr>
        <w:pStyle w:val="Heading1"/>
      </w:pPr>
      <w:bookmarkStart w:id="1" w:name="O_495038"/>
      <w:bookmarkEnd w:id="1"/>
      <w:r w:rsidRPr="00A31699">
        <w:t>Modification History</w:t>
      </w:r>
    </w:p>
    <w:tbl>
      <w:tblPr>
        <w:tblW w:w="0" w:type="auto"/>
        <w:tblLayout w:type="fixed"/>
        <w:tblCellMar>
          <w:left w:w="62" w:type="dxa"/>
          <w:right w:w="62" w:type="dxa"/>
        </w:tblCellMar>
        <w:tblLook w:val="0000"/>
      </w:tblPr>
      <w:tblGrid>
        <w:gridCol w:w="3052"/>
        <w:gridCol w:w="3052"/>
        <w:gridCol w:w="3052"/>
      </w:tblGrid>
      <w:tr w:rsidTr="00E9348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99" w:rsidP="00A31699">
            <w:pPr>
              <w:pStyle w:val="BodyText"/>
            </w:pPr>
            <w:r w:rsidRPr="00A31699">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99" w:rsidP="00A31699">
            <w:pPr>
              <w:pStyle w:val="BodyText"/>
            </w:pPr>
            <w:r w:rsidRPr="00A31699">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99">
            <w:pPr>
              <w:pStyle w:val="BodyText"/>
              <w:rPr>
                <w:lang w:val="en-NZ"/>
              </w:rPr>
            </w:pPr>
            <w:r w:rsidRPr="00A31699">
              <w:rPr>
                <w:rStyle w:val="SpecialBold"/>
              </w:rPr>
              <w:t>Comments</w:t>
            </w:r>
          </w:p>
        </w:tc>
      </w:tr>
      <w:tr w:rsidTr="00E9348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99">
            <w:pPr>
              <w:pStyle w:val="BodyText"/>
              <w:rPr>
                <w:lang w:val="en-NZ"/>
              </w:rPr>
            </w:pPr>
            <w:r w:rsidRPr="00A31699">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99">
            <w:pPr>
              <w:pStyle w:val="BodyText"/>
              <w:rPr>
                <w:lang w:val="en-NZ"/>
              </w:rPr>
            </w:pPr>
            <w:r w:rsidRPr="00A31699">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99">
            <w:pPr>
              <w:pStyle w:val="BodyText"/>
              <w:rPr>
                <w:lang w:val="en-NZ"/>
              </w:rPr>
            </w:pPr>
            <w:r w:rsidRPr="00A31699">
              <w:t xml:space="preserve">Unit descriptor edited. </w:t>
            </w:r>
          </w:p>
        </w:tc>
      </w:tr>
      <w:tr w:rsidTr="00E9348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99">
            <w:pPr>
              <w:pStyle w:val="BodyText"/>
              <w:rPr>
                <w:lang w:val="en-NZ"/>
              </w:rPr>
            </w:pPr>
            <w:r w:rsidRPr="00A31699">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99">
            <w:pPr>
              <w:pStyle w:val="BodyText"/>
              <w:rPr>
                <w:lang w:val="en-NZ"/>
              </w:rPr>
            </w:pPr>
            <w:r w:rsidRPr="00A31699">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99">
            <w:pPr>
              <w:pStyle w:val="BodyText"/>
              <w:rPr>
                <w:lang w:val="en-NZ"/>
              </w:rPr>
            </w:pPr>
            <w:r w:rsidRPr="00A31699">
              <w:t>Layout adjusted. No changes to content.</w:t>
            </w:r>
          </w:p>
        </w:tc>
      </w:tr>
      <w:tr w:rsidTr="00E9348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99">
            <w:pPr>
              <w:pStyle w:val="BodyText"/>
              <w:rPr>
                <w:lang w:val="en-NZ"/>
              </w:rPr>
            </w:pPr>
            <w:r w:rsidRPr="00A31699">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99">
            <w:pPr>
              <w:pStyle w:val="BodyText"/>
              <w:rPr>
                <w:lang w:val="en-NZ"/>
              </w:rPr>
            </w:pPr>
            <w:r w:rsidRPr="00A31699">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99" w:rsidP="00A31699">
            <w:pPr>
              <w:pStyle w:val="BodyText"/>
            </w:pPr>
            <w:r w:rsidRPr="00A31699">
              <w:t>Primary release.</w:t>
            </w:r>
          </w:p>
        </w:tc>
      </w:tr>
    </w:tbl>
    <w:p w:rsidR="00E9348B" w:rsidP="00A31699">
      <w:pPr>
        <w:pStyle w:val="BodyText"/>
      </w:pPr>
    </w:p>
    <w:p w:rsidR="00E9348B" w:rsidP="00A31699">
      <w:pPr>
        <w:pStyle w:val="BodyText"/>
      </w:pPr>
    </w:p>
    <w:p w:rsidR="00000000" w:rsidRPr="00A31699" w:rsidP="00A31699">
      <w:pPr>
        <w:pStyle w:val="Heading1"/>
      </w:pPr>
      <w:bookmarkStart w:id="2" w:name="O_495031"/>
      <w:bookmarkEnd w:id="2"/>
      <w:r w:rsidRPr="00A31699">
        <w:t>Unit Descriptor</w:t>
      </w:r>
    </w:p>
    <w:p w:rsidR="00000000" w:rsidRPr="00A31699" w:rsidP="00A31699">
      <w:pPr>
        <w:pStyle w:val="BodyText"/>
      </w:pPr>
      <w:r w:rsidRPr="00A31699">
        <w:t>This unit covers the collection of data from a wide variet</w:t>
      </w:r>
      <w:r w:rsidRPr="00A31699">
        <w:t xml:space="preserve">y of sources and its input into appropriate data management systems for interrogation to identify indicators of fraud and corruption. It includes collating and interrogating data and monitoring for indicators of fraud and corruption. </w:t>
      </w:r>
    </w:p>
    <w:p w:rsidR="00000000" w:rsidRPr="00A31699" w:rsidP="00A31699">
      <w:pPr>
        <w:pStyle w:val="BodyText"/>
      </w:pPr>
      <w:r w:rsidRPr="00A31699">
        <w:rPr>
          <w:rStyle w:val="Emphasis"/>
        </w:rPr>
        <w:t>Fraud</w:t>
      </w:r>
      <w:r w:rsidRPr="00A31699">
        <w:t xml:space="preserve"> in the unit tit</w:t>
      </w:r>
      <w:r w:rsidRPr="00A31699">
        <w:t xml:space="preserve">le incorporates both </w:t>
      </w:r>
      <w:r w:rsidRPr="00A31699">
        <w:rPr>
          <w:rStyle w:val="Emphasis"/>
        </w:rPr>
        <w:t>fraud and corruption</w:t>
      </w:r>
      <w:r w:rsidRPr="00A31699">
        <w:t xml:space="preserve">. </w:t>
      </w:r>
    </w:p>
    <w:p w:rsidR="00000000" w:rsidRPr="00A31699" w:rsidP="00A31699">
      <w:pPr>
        <w:pStyle w:val="BodyText"/>
      </w:pPr>
      <w:r w:rsidRPr="00A31699">
        <w:t>In practice, monitoring data for indicators of fraud and corruption may overlap with other generalist or specialist public sector workplace activities such as acting ethically, complying with legislation, exercis</w:t>
      </w:r>
      <w:r w:rsidRPr="00A31699">
        <w:t>ing regulatory powers, etc.</w:t>
      </w:r>
    </w:p>
    <w:p w:rsidR="00000000" w:rsidRPr="00A31699" w:rsidP="00A31699">
      <w:pPr>
        <w:pStyle w:val="BodyText"/>
      </w:pPr>
      <w:r w:rsidRPr="00A31699">
        <w:t xml:space="preserve">Related units of competency dealing with investigation, evidence, powers of arrest, etc are located in the </w:t>
      </w:r>
      <w:r w:rsidRPr="00A31699">
        <w:rPr>
          <w:rStyle w:val="Emphasis"/>
        </w:rPr>
        <w:t>Regulatory</w:t>
      </w:r>
      <w:r w:rsidRPr="00A31699">
        <w:t xml:space="preserve"> Competency field of the Training Package. </w:t>
      </w:r>
    </w:p>
    <w:p w:rsidR="00000000" w:rsidRPr="00A31699" w:rsidP="00A31699">
      <w:pPr>
        <w:pStyle w:val="BodyText"/>
      </w:pPr>
      <w:r w:rsidRPr="00A31699">
        <w:t>No licensing, legislative, regulatory or certification requirements</w:t>
      </w:r>
      <w:r w:rsidRPr="00A31699">
        <w:t xml:space="preserve"> apply to this unit at the time of publication</w:t>
      </w:r>
    </w:p>
    <w:p w:rsidR="00000000" w:rsidRPr="00A31699" w:rsidP="00A31699">
      <w:pPr>
        <w:pStyle w:val="AllowPageBreak"/>
      </w:pPr>
    </w:p>
    <w:p w:rsidR="00000000" w:rsidRPr="00A31699" w:rsidP="00A31699">
      <w:pPr>
        <w:pStyle w:val="Heading1"/>
      </w:pPr>
      <w:bookmarkStart w:id="3" w:name="O_495043"/>
      <w:bookmarkEnd w:id="3"/>
      <w:r w:rsidRPr="00A31699">
        <w:t>Application of the Unit</w:t>
      </w:r>
    </w:p>
    <w:p w:rsidR="00000000" w:rsidRPr="00A31699" w:rsidP="00A31699">
      <w:pPr>
        <w:pStyle w:val="BodyText"/>
      </w:pPr>
      <w:r w:rsidRPr="00A31699">
        <w:t>Not applicable.</w:t>
      </w:r>
    </w:p>
    <w:p w:rsidR="00000000" w:rsidRPr="00A31699" w:rsidP="00A31699">
      <w:pPr>
        <w:pStyle w:val="AllowPageBreak"/>
      </w:pPr>
    </w:p>
    <w:p w:rsidR="00000000" w:rsidRPr="00A31699" w:rsidP="00A31699">
      <w:pPr>
        <w:pStyle w:val="Heading1"/>
      </w:pPr>
      <w:bookmarkStart w:id="4" w:name="O_495030"/>
      <w:bookmarkEnd w:id="4"/>
      <w:r w:rsidRPr="00A31699">
        <w:t>Licensing/Regulatory Information</w:t>
      </w:r>
    </w:p>
    <w:p w:rsidR="00000000" w:rsidRPr="00A31699" w:rsidP="00A31699">
      <w:pPr>
        <w:pStyle w:val="BodyText"/>
      </w:pPr>
      <w:r w:rsidRPr="00A31699">
        <w:t>Not applicable.</w:t>
      </w:r>
    </w:p>
    <w:p w:rsidR="00000000" w:rsidRPr="00A31699" w:rsidP="00A31699">
      <w:pPr>
        <w:pStyle w:val="AllowPageBreak"/>
      </w:pPr>
    </w:p>
    <w:p w:rsidR="00000000" w:rsidRPr="00A31699" w:rsidP="00A31699">
      <w:pPr>
        <w:pStyle w:val="Heading1"/>
      </w:pPr>
      <w:bookmarkStart w:id="5" w:name="O_495034"/>
      <w:bookmarkEnd w:id="5"/>
      <w:r w:rsidRPr="00A31699">
        <w:t>Pre-Requisites</w:t>
      </w:r>
    </w:p>
    <w:p w:rsidR="00000000" w:rsidRPr="00A31699" w:rsidP="00A31699">
      <w:pPr>
        <w:pStyle w:val="BodyText"/>
      </w:pPr>
      <w:r w:rsidRPr="00A31699">
        <w:t>Not applicable.</w:t>
      </w:r>
    </w:p>
    <w:p w:rsidR="00000000" w:rsidRPr="00A31699" w:rsidP="00A31699">
      <w:pPr>
        <w:pStyle w:val="AllowPageBreak"/>
      </w:pPr>
    </w:p>
    <w:p w:rsidR="00000000" w:rsidRPr="00A31699" w:rsidP="00A31699">
      <w:pPr>
        <w:pStyle w:val="Heading1"/>
      </w:pPr>
      <w:bookmarkStart w:id="6" w:name="O_495039"/>
      <w:bookmarkEnd w:id="6"/>
      <w:r w:rsidRPr="00A31699">
        <w:t>Employability Skills Information</w:t>
      </w:r>
    </w:p>
    <w:p w:rsidR="00000000" w:rsidRPr="00A31699" w:rsidP="00A31699">
      <w:pPr>
        <w:pStyle w:val="BodyText"/>
      </w:pPr>
      <w:r w:rsidRPr="00A31699">
        <w:t>This unit contains employability skills.</w:t>
      </w:r>
    </w:p>
    <w:p w:rsidR="00000000" w:rsidRPr="00A31699" w:rsidP="00A31699">
      <w:pPr>
        <w:pStyle w:val="AllowPageBreak"/>
      </w:pPr>
    </w:p>
    <w:p w:rsidR="00000000" w:rsidRPr="00A31699" w:rsidP="00A31699">
      <w:pPr>
        <w:pStyle w:val="Heading1"/>
      </w:pPr>
      <w:bookmarkStart w:id="7" w:name="O_495040"/>
      <w:bookmarkEnd w:id="7"/>
      <w:r w:rsidRPr="00A31699">
        <w:t>Elements and Performance Criteria Pre-Content</w:t>
      </w:r>
    </w:p>
    <w:tbl>
      <w:tblPr>
        <w:tblW w:w="9322" w:type="dxa"/>
        <w:tblLayout w:type="fixed"/>
        <w:tblCellMar>
          <w:left w:w="62" w:type="dxa"/>
          <w:right w:w="62" w:type="dxa"/>
        </w:tblCellMar>
        <w:tblLook w:val="0000"/>
      </w:tblPr>
      <w:tblGrid>
        <w:gridCol w:w="2660"/>
        <w:gridCol w:w="6662"/>
      </w:tblGrid>
      <w:tr w:rsidTr="00E9348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1699">
            <w:pPr>
              <w:pStyle w:val="BodyText"/>
              <w:rPr>
                <w:lang w:val="en-NZ"/>
              </w:rPr>
            </w:pPr>
            <w:r w:rsidRPr="00A31699">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A31699" w:rsidP="00A31699">
            <w:pPr>
              <w:pStyle w:val="BodyText"/>
            </w:pPr>
            <w:r w:rsidRPr="00A31699">
              <w:t xml:space="preserve">Together, performance criteria specify the requirements </w:t>
            </w:r>
            <w:r w:rsidRPr="00A31699">
              <w:t xml:space="preserve">for competent performance. Text in </w:t>
            </w:r>
            <w:r w:rsidRPr="00A31699">
              <w:rPr>
                <w:rStyle w:val="BoldandItalics"/>
              </w:rPr>
              <w:t>bold italics</w:t>
            </w:r>
            <w:r w:rsidRPr="00A31699">
              <w:t xml:space="preserve">  is explained in the Range Statement following.</w:t>
            </w:r>
          </w:p>
        </w:tc>
      </w:tr>
    </w:tbl>
    <w:p w:rsidR="00000000" w:rsidRPr="00A31699" w:rsidP="00A31699">
      <w:pPr>
        <w:pStyle w:val="BodyText"/>
      </w:pPr>
    </w:p>
    <w:p w:rsidR="00000000" w:rsidRPr="00A31699" w:rsidP="00A31699">
      <w:pPr>
        <w:pStyle w:val="AllowPageBreak"/>
      </w:pPr>
    </w:p>
    <w:p w:rsidR="00000000" w:rsidRPr="00A31699" w:rsidP="00A31699">
      <w:pPr>
        <w:pStyle w:val="Heading1"/>
      </w:pPr>
      <w:bookmarkStart w:id="8" w:name="O_495041"/>
      <w:bookmarkEnd w:id="8"/>
      <w:r w:rsidRPr="00A31699">
        <w:t>Elements and Performance Criteria</w:t>
      </w:r>
    </w:p>
    <w:tbl>
      <w:tblPr>
        <w:tblW w:w="9322" w:type="dxa"/>
        <w:tblLayout w:type="fixed"/>
        <w:tblCellMar>
          <w:left w:w="62" w:type="dxa"/>
          <w:right w:w="62" w:type="dxa"/>
        </w:tblCellMar>
        <w:tblLook w:val="0000"/>
      </w:tblPr>
      <w:tblGrid>
        <w:gridCol w:w="2660"/>
        <w:gridCol w:w="6662"/>
      </w:tblGrid>
      <w:tr w:rsidTr="00E9348B">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A31699" w:rsidP="00A31699">
            <w:pPr>
              <w:pStyle w:val="BodyText"/>
            </w:pPr>
            <w:r w:rsidRPr="00A3169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31699">
            <w:pPr>
              <w:pStyle w:val="BodyText"/>
              <w:rPr>
                <w:lang w:val="en-NZ"/>
              </w:rPr>
            </w:pPr>
            <w:r w:rsidRPr="00A31699">
              <w:rPr>
                <w:rStyle w:val="SpecialBold"/>
              </w:rPr>
              <w:t>PERFORMANCE CRITERIA</w:t>
            </w:r>
          </w:p>
        </w:tc>
      </w:tr>
      <w:tr w:rsidTr="00E9348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1699">
            <w:pPr>
              <w:pStyle w:val="List"/>
              <w:rPr>
                <w:lang w:val="en-NZ"/>
              </w:rPr>
            </w:pPr>
            <w:r w:rsidRPr="00A31699">
              <w:rPr>
                <w:rStyle w:val="SpecialBold"/>
              </w:rPr>
              <w:t>1</w:t>
            </w:r>
            <w:r w:rsidRPr="00A31699">
              <w:t xml:space="preserve">.  </w:t>
            </w:r>
            <w:r w:rsidRPr="00A31699">
              <w:tab/>
            </w:r>
            <w:r w:rsidRPr="00A31699">
              <w:rPr>
                <w:rStyle w:val="SpecialBold"/>
              </w:rPr>
              <w:t>Collate data</w:t>
            </w:r>
          </w:p>
        </w:tc>
        <w:tc>
          <w:tcPr>
            <w:tcW w:w="6662" w:type="dxa"/>
            <w:tcBorders>
              <w:top w:val="nil"/>
              <w:left w:val="nil"/>
              <w:bottom w:val="nil"/>
              <w:right w:val="nil"/>
            </w:tcBorders>
            <w:tcMar>
              <w:top w:w="0" w:type="dxa"/>
              <w:left w:w="62" w:type="dxa"/>
              <w:bottom w:w="0" w:type="dxa"/>
              <w:right w:w="62" w:type="dxa"/>
            </w:tcMar>
          </w:tcPr>
          <w:p w:rsidR="00000000" w:rsidRPr="00A31699" w:rsidP="00A31699">
            <w:pPr>
              <w:pStyle w:val="List"/>
            </w:pPr>
            <w:r w:rsidRPr="00A31699">
              <w:t>1.1</w:t>
            </w:r>
            <w:r w:rsidRPr="00A31699">
              <w:tab/>
            </w:r>
            <w:r w:rsidRPr="00A31699">
              <w:t>Relevant data sources are identified and data is collected that is compatible, useful, relevant, reliable, valid and timely.</w:t>
            </w:r>
          </w:p>
          <w:p w:rsidR="00000000" w:rsidRPr="00A31699" w:rsidP="00A31699">
            <w:pPr>
              <w:pStyle w:val="List"/>
            </w:pPr>
            <w:r w:rsidRPr="00A31699">
              <w:t>1.2</w:t>
            </w:r>
            <w:r w:rsidRPr="00A31699">
              <w:tab/>
            </w:r>
            <w:r w:rsidRPr="00A31699">
              <w:rPr>
                <w:rStyle w:val="BoldandItalics"/>
              </w:rPr>
              <w:t xml:space="preserve">Data </w:t>
            </w:r>
            <w:r w:rsidRPr="00A31699">
              <w:t>is organised in prescribed form in accordance with the identified information needs and uses.</w:t>
            </w:r>
          </w:p>
          <w:p w:rsidR="00000000" w:rsidRPr="00A31699" w:rsidP="00A31699">
            <w:pPr>
              <w:pStyle w:val="List"/>
            </w:pPr>
            <w:r w:rsidRPr="00A31699">
              <w:t>1.3</w:t>
            </w:r>
            <w:r w:rsidRPr="00A31699">
              <w:tab/>
              <w:t>Data is checked for accu</w:t>
            </w:r>
            <w:r w:rsidRPr="00A31699">
              <w:t>racy, suitability and compliance with legal and privacy responsibilities and security.</w:t>
            </w:r>
          </w:p>
          <w:p w:rsidR="00000000" w:rsidRPr="00A31699" w:rsidP="00A31699">
            <w:pPr>
              <w:pStyle w:val="List"/>
            </w:pPr>
            <w:r w:rsidRPr="00A31699">
              <w:t>1.4</w:t>
            </w:r>
            <w:r w:rsidRPr="00A31699">
              <w:tab/>
              <w:t>The need to liaise with specialists is determined and acted on in accordance with organisational policy and procedures.</w:t>
            </w:r>
          </w:p>
          <w:p w:rsidR="00000000" w:rsidP="00A31699">
            <w:pPr>
              <w:pStyle w:val="List"/>
              <w:rPr>
                <w:lang w:val="en-NZ"/>
              </w:rPr>
            </w:pPr>
            <w:r w:rsidRPr="00A31699">
              <w:t>1.5</w:t>
            </w:r>
            <w:r w:rsidRPr="00A31699">
              <w:tab/>
              <w:t>Ways to improve fraud and corruption cont</w:t>
            </w:r>
            <w:r w:rsidRPr="00A31699">
              <w:t xml:space="preserve">rol data content, interfaces and usefulness are monitored, and recommendations are made to supervisors and other </w:t>
            </w:r>
            <w:r w:rsidRPr="00A31699">
              <w:rPr>
                <w:rStyle w:val="BoldandItalics"/>
              </w:rPr>
              <w:t>stakeholders</w:t>
            </w:r>
            <w:r w:rsidRPr="00A31699">
              <w:rPr>
                <w:rStyle w:val="Emphasis"/>
              </w:rPr>
              <w:t>.</w:t>
            </w:r>
          </w:p>
        </w:tc>
      </w:tr>
      <w:tr w:rsidTr="00E9348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1699">
            <w:pPr>
              <w:pStyle w:val="List"/>
              <w:rPr>
                <w:lang w:val="en-NZ"/>
              </w:rPr>
            </w:pPr>
            <w:r w:rsidRPr="00A31699">
              <w:rPr>
                <w:rStyle w:val="SpecialBold"/>
              </w:rPr>
              <w:t>2</w:t>
            </w:r>
            <w:r w:rsidRPr="00A31699">
              <w:t xml:space="preserve">.  </w:t>
            </w:r>
            <w:r w:rsidRPr="00A31699">
              <w:tab/>
            </w:r>
            <w:r w:rsidRPr="00A31699">
              <w:rPr>
                <w:rStyle w:val="SpecialBold"/>
              </w:rPr>
              <w:t>Interrogate data</w:t>
            </w:r>
          </w:p>
        </w:tc>
        <w:tc>
          <w:tcPr>
            <w:tcW w:w="6662" w:type="dxa"/>
            <w:tcBorders>
              <w:top w:val="nil"/>
              <w:left w:val="nil"/>
              <w:bottom w:val="nil"/>
              <w:right w:val="nil"/>
            </w:tcBorders>
            <w:tcMar>
              <w:top w:w="0" w:type="dxa"/>
              <w:left w:w="62" w:type="dxa"/>
              <w:bottom w:w="0" w:type="dxa"/>
              <w:right w:w="62" w:type="dxa"/>
            </w:tcMar>
          </w:tcPr>
          <w:p w:rsidR="00000000" w:rsidRPr="00A31699" w:rsidP="00A31699">
            <w:pPr>
              <w:pStyle w:val="List"/>
            </w:pPr>
            <w:r w:rsidRPr="00A31699">
              <w:t>2.1</w:t>
            </w:r>
            <w:r w:rsidRPr="00A31699">
              <w:tab/>
            </w:r>
            <w:r w:rsidRPr="00A31699">
              <w:t xml:space="preserve">Quantitative and/or qualitative analyses are performed to obtain required outcomes in accordance with the </w:t>
            </w:r>
            <w:r w:rsidRPr="00A31699">
              <w:rPr>
                <w:rStyle w:val="BoldandItalics"/>
              </w:rPr>
              <w:t xml:space="preserve">purpose </w:t>
            </w:r>
            <w:r w:rsidRPr="00A31699">
              <w:t>of each analysis.</w:t>
            </w:r>
          </w:p>
          <w:p w:rsidR="00000000" w:rsidRPr="00A31699" w:rsidP="00A31699">
            <w:pPr>
              <w:pStyle w:val="List"/>
            </w:pPr>
            <w:r w:rsidRPr="00A31699">
              <w:t>2.2</w:t>
            </w:r>
            <w:r w:rsidRPr="00A31699">
              <w:tab/>
              <w:t>Analysis and description tools and techniques are selected appropriate to the nature of the information and the required</w:t>
            </w:r>
            <w:r w:rsidRPr="00A31699">
              <w:t xml:space="preserve"> outcome.</w:t>
            </w:r>
          </w:p>
          <w:p w:rsidR="00000000" w:rsidRPr="00A31699" w:rsidP="00A31699">
            <w:pPr>
              <w:pStyle w:val="List"/>
            </w:pPr>
            <w:r w:rsidRPr="00A31699">
              <w:t>2.3</w:t>
            </w:r>
            <w:r w:rsidRPr="00A31699">
              <w:tab/>
              <w:t>Priority of data to be interrogated is determined in consultation with appropriate people, and work is organised accordingly.</w:t>
            </w:r>
          </w:p>
          <w:p w:rsidR="00000000" w:rsidRPr="00A31699" w:rsidP="00A31699">
            <w:pPr>
              <w:pStyle w:val="List"/>
            </w:pPr>
            <w:r w:rsidRPr="00A31699">
              <w:t>2.4</w:t>
            </w:r>
            <w:r w:rsidRPr="00A31699">
              <w:tab/>
              <w:t xml:space="preserve">An understanding of the nature of the program or activity from which the data is obtained, the way in which the </w:t>
            </w:r>
            <w:r w:rsidRPr="00A31699">
              <w:t>information is structured in the system and the likely indications of fraud and corruption activities are reflected in the analysis of material.</w:t>
            </w:r>
          </w:p>
          <w:p w:rsidR="00000000" w:rsidP="00A31699">
            <w:pPr>
              <w:pStyle w:val="List"/>
              <w:rPr>
                <w:lang w:val="en-NZ"/>
              </w:rPr>
            </w:pPr>
            <w:r w:rsidRPr="00A31699">
              <w:t>2.5</w:t>
            </w:r>
            <w:r w:rsidRPr="00A31699">
              <w:tab/>
              <w:t>Preliminary recommendations are expressed in the detail, format and timeframe required.</w:t>
            </w:r>
          </w:p>
        </w:tc>
      </w:tr>
      <w:tr w:rsidTr="00E9348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1699">
            <w:pPr>
              <w:pStyle w:val="List"/>
              <w:rPr>
                <w:lang w:val="en-NZ"/>
              </w:rPr>
            </w:pPr>
            <w:r w:rsidRPr="00A31699">
              <w:rPr>
                <w:rStyle w:val="SpecialBold"/>
              </w:rPr>
              <w:t>3</w:t>
            </w:r>
            <w:r w:rsidRPr="00A31699">
              <w:t xml:space="preserve">.  </w:t>
            </w:r>
            <w:r w:rsidRPr="00A31699">
              <w:tab/>
            </w:r>
            <w:r w:rsidRPr="00A31699">
              <w:rPr>
                <w:rStyle w:val="SpecialBold"/>
              </w:rPr>
              <w:t>Monitor for i</w:t>
            </w:r>
            <w:r w:rsidRPr="00A31699">
              <w:rPr>
                <w:rStyle w:val="SpecialBold"/>
              </w:rPr>
              <w:t>ndicators of fraud and corruption</w:t>
            </w:r>
          </w:p>
        </w:tc>
        <w:tc>
          <w:tcPr>
            <w:tcW w:w="6662" w:type="dxa"/>
            <w:tcBorders>
              <w:top w:val="nil"/>
              <w:left w:val="nil"/>
              <w:bottom w:val="nil"/>
              <w:right w:val="nil"/>
            </w:tcBorders>
            <w:tcMar>
              <w:top w:w="0" w:type="dxa"/>
              <w:left w:w="62" w:type="dxa"/>
              <w:bottom w:w="0" w:type="dxa"/>
              <w:right w:w="62" w:type="dxa"/>
            </w:tcMar>
          </w:tcPr>
          <w:p w:rsidR="00000000" w:rsidRPr="00A31699" w:rsidP="00A31699">
            <w:pPr>
              <w:pStyle w:val="List"/>
            </w:pPr>
            <w:r w:rsidRPr="00A31699">
              <w:t>3.1</w:t>
            </w:r>
            <w:r w:rsidRPr="00A31699">
              <w:tab/>
              <w:t xml:space="preserve">Fraud and corruption or possible fraud and corruption situations are identified, staff and systems alerted and </w:t>
            </w:r>
            <w:r w:rsidRPr="00A31699">
              <w:rPr>
                <w:rStyle w:val="BoldandItalics"/>
              </w:rPr>
              <w:t xml:space="preserve">actions </w:t>
            </w:r>
            <w:r w:rsidRPr="00A31699">
              <w:t>initiated.</w:t>
            </w:r>
          </w:p>
          <w:p w:rsidR="00000000" w:rsidRPr="00A31699" w:rsidP="00A31699">
            <w:pPr>
              <w:pStyle w:val="List"/>
            </w:pPr>
            <w:r w:rsidRPr="00A31699">
              <w:t>3.2</w:t>
            </w:r>
            <w:r w:rsidRPr="00A31699">
              <w:tab/>
              <w:t>Where indicators arise for which there are no precedents, information is referred to</w:t>
            </w:r>
            <w:r w:rsidRPr="00A31699">
              <w:t xml:space="preserve"> the appropriate people for further analysis.</w:t>
            </w:r>
          </w:p>
          <w:p w:rsidR="00000000" w:rsidRPr="00A31699" w:rsidP="00A31699">
            <w:pPr>
              <w:pStyle w:val="List"/>
            </w:pPr>
            <w:r w:rsidRPr="00A31699">
              <w:t>3.3</w:t>
            </w:r>
            <w:r w:rsidRPr="00A31699">
              <w:tab/>
              <w:t>Trends indicating activities outside control limits are reported for further analysis and investigation.</w:t>
            </w:r>
          </w:p>
          <w:p w:rsidR="00000000" w:rsidRPr="00A31699" w:rsidP="00A31699">
            <w:pPr>
              <w:pStyle w:val="List"/>
            </w:pPr>
            <w:r w:rsidRPr="00A31699">
              <w:t>3.4</w:t>
            </w:r>
            <w:r w:rsidRPr="00A31699">
              <w:tab/>
              <w:t>Checks are made for internal consistency and compliance with established structure, rules and aut</w:t>
            </w:r>
            <w:r w:rsidRPr="00A31699">
              <w:t>horities for accessing information.</w:t>
            </w:r>
          </w:p>
          <w:p w:rsidR="00000000" w:rsidRPr="00A31699" w:rsidP="00A31699">
            <w:pPr>
              <w:pStyle w:val="List"/>
            </w:pPr>
            <w:r w:rsidRPr="00A31699">
              <w:t>3.5</w:t>
            </w:r>
            <w:r w:rsidRPr="00A31699">
              <w:tab/>
              <w:t xml:space="preserve">Variations from standards and </w:t>
            </w:r>
            <w:r w:rsidRPr="00A31699">
              <w:rPr>
                <w:rStyle w:val="BoldandItalics"/>
              </w:rPr>
              <w:t xml:space="preserve">guidelines </w:t>
            </w:r>
            <w:r w:rsidRPr="00A31699">
              <w:t>are reported in accordance with organisational policy and procedures.</w:t>
            </w:r>
          </w:p>
        </w:tc>
      </w:tr>
    </w:tbl>
    <w:p w:rsidR="00000000" w:rsidRPr="00A31699" w:rsidP="00A31699">
      <w:pPr>
        <w:pStyle w:val="BodyText"/>
      </w:pPr>
    </w:p>
    <w:p w:rsidR="00000000" w:rsidRPr="00A31699" w:rsidP="00A31699">
      <w:pPr>
        <w:pStyle w:val="AllowPageBreak"/>
      </w:pPr>
    </w:p>
    <w:p w:rsidR="00000000" w:rsidRPr="00A31699" w:rsidP="00A31699">
      <w:pPr>
        <w:pStyle w:val="Heading1"/>
      </w:pPr>
      <w:bookmarkStart w:id="9" w:name="O_495032"/>
      <w:bookmarkEnd w:id="9"/>
      <w:r w:rsidRPr="00A31699">
        <w:t>Required Skills and Knowledge</w:t>
      </w:r>
    </w:p>
    <w:tbl>
      <w:tblPr>
        <w:tblW w:w="0" w:type="auto"/>
        <w:tblLayout w:type="fixed"/>
        <w:tblCellMar>
          <w:left w:w="62" w:type="dxa"/>
          <w:right w:w="62" w:type="dxa"/>
        </w:tblCellMar>
        <w:tblLook w:val="0000"/>
      </w:tblPr>
      <w:tblGrid>
        <w:gridCol w:w="8514"/>
      </w:tblGrid>
      <w:tr w:rsidTr="00E9348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A31699">
            <w:pPr>
              <w:pStyle w:val="BodyText"/>
              <w:rPr>
                <w:lang w:val="en-NZ"/>
              </w:rPr>
            </w:pPr>
            <w:r w:rsidRPr="00A31699">
              <w:t>This section describes the essential skills and knowledg</w:t>
            </w:r>
            <w:r w:rsidRPr="00A31699">
              <w:t>e and their level, required for this unit.</w:t>
            </w:r>
          </w:p>
        </w:tc>
      </w:tr>
      <w:tr w:rsidTr="00E9348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31699" w:rsidP="00A31699">
            <w:pPr>
              <w:pStyle w:val="BodyText"/>
            </w:pPr>
            <w:r w:rsidRPr="00A31699">
              <w:rPr>
                <w:rStyle w:val="SpecialBold"/>
              </w:rPr>
              <w:t>Skill requirements</w:t>
            </w:r>
          </w:p>
          <w:p w:rsidR="00000000" w:rsidRPr="00A31699" w:rsidP="00A31699">
            <w:pPr>
              <w:pStyle w:val="BodyText"/>
            </w:pPr>
            <w:r w:rsidRPr="00A31699">
              <w:t>Look for evidence that confirms skills in:</w:t>
            </w:r>
          </w:p>
          <w:p w:rsidR="00000000" w:rsidRPr="00A31699" w:rsidP="00A31699">
            <w:pPr>
              <w:pStyle w:val="ListBullet"/>
            </w:pPr>
            <w:r w:rsidRPr="00A31699">
              <w:t>undertaking research and analysis</w:t>
            </w:r>
          </w:p>
          <w:p w:rsidR="00000000" w:rsidRPr="00A31699" w:rsidP="00A31699">
            <w:pPr>
              <w:pStyle w:val="ListBullet"/>
            </w:pPr>
            <w:r w:rsidRPr="00A31699">
              <w:t xml:space="preserve">interrogating data to detect patterns indicating fraud and corruption </w:t>
            </w:r>
          </w:p>
          <w:p w:rsidR="00000000" w:rsidRPr="00A31699" w:rsidP="00A31699">
            <w:pPr>
              <w:pStyle w:val="ListBullet"/>
            </w:pPr>
            <w:r w:rsidRPr="00A31699">
              <w:t>applying effective management of data, abiding by all agency guidelines, formats and systems</w:t>
            </w:r>
          </w:p>
          <w:p w:rsidR="00000000" w:rsidRPr="00A31699" w:rsidP="00A31699">
            <w:pPr>
              <w:pStyle w:val="ListBullet"/>
            </w:pPr>
            <w:r w:rsidRPr="00A31699">
              <w:t>correctly recording data into information systems</w:t>
            </w:r>
          </w:p>
          <w:p w:rsidR="00000000" w:rsidRPr="00A31699" w:rsidP="00A31699">
            <w:pPr>
              <w:pStyle w:val="ListBullet"/>
            </w:pPr>
            <w:r w:rsidRPr="00A31699">
              <w:t>using data matching to identify factors required for an investigation</w:t>
            </w:r>
          </w:p>
          <w:p w:rsidR="00000000" w:rsidRPr="00A31699" w:rsidP="00A31699">
            <w:pPr>
              <w:pStyle w:val="ListBullet"/>
            </w:pPr>
            <w:r w:rsidRPr="00A31699">
              <w:t xml:space="preserve">collating and organising of data to assist </w:t>
            </w:r>
            <w:r w:rsidRPr="00A31699">
              <w:t>in an investigation</w:t>
            </w:r>
          </w:p>
          <w:p w:rsidR="00000000" w:rsidRPr="00A31699" w:rsidP="00A31699">
            <w:pPr>
              <w:pStyle w:val="ListBullet"/>
            </w:pPr>
            <w:r w:rsidRPr="00A31699">
              <w:t xml:space="preserve">using a range of communication styles to suit different audiences and purposes </w:t>
            </w:r>
          </w:p>
          <w:p w:rsidR="00000000" w:rsidRPr="00A31699" w:rsidP="00A31699">
            <w:pPr>
              <w:pStyle w:val="ListBullet"/>
            </w:pPr>
            <w:r w:rsidRPr="00A31699">
              <w:t>responding to diversity, including gender and disability</w:t>
            </w:r>
          </w:p>
          <w:p w:rsidR="00000000" w:rsidRPr="00A31699" w:rsidP="00A31699">
            <w:pPr>
              <w:pStyle w:val="ListBullet"/>
            </w:pPr>
            <w:r w:rsidRPr="00A31699">
              <w:t>using computer software for data analysis and matching</w:t>
            </w:r>
          </w:p>
          <w:p w:rsidR="00000000" w:rsidRPr="00A31699" w:rsidP="00A31699">
            <w:pPr>
              <w:pStyle w:val="ListBullet"/>
            </w:pPr>
            <w:r w:rsidRPr="00A31699">
              <w:t xml:space="preserve">applying occupational health and safety and </w:t>
            </w:r>
            <w:r w:rsidRPr="00A31699">
              <w:t>environmental procedures in the context of fraud and corruption control data monitoring</w:t>
            </w:r>
          </w:p>
          <w:p w:rsidR="00000000" w:rsidP="00A31699">
            <w:pPr>
              <w:pStyle w:val="ListBullet"/>
              <w:rPr>
                <w:lang w:val="en-NZ"/>
              </w:rPr>
            </w:pPr>
            <w:r w:rsidRPr="00A31699">
              <w:t>literacy skills to effectively read and interpret data</w:t>
            </w:r>
          </w:p>
        </w:tc>
      </w:tr>
      <w:tr w:rsidTr="00E9348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31699" w:rsidP="00A31699">
            <w:pPr>
              <w:pStyle w:val="BodyText"/>
            </w:pPr>
            <w:r w:rsidRPr="00A31699">
              <w:rPr>
                <w:rStyle w:val="SpecialBold"/>
              </w:rPr>
              <w:t>Knowledge requirements</w:t>
            </w:r>
          </w:p>
          <w:p w:rsidR="00000000" w:rsidRPr="00A31699" w:rsidP="00A31699">
            <w:pPr>
              <w:pStyle w:val="BodyText"/>
            </w:pPr>
            <w:r w:rsidRPr="00A31699">
              <w:t>Look for evidence that confirms knowledge and understanding of:</w:t>
            </w:r>
          </w:p>
          <w:p w:rsidR="00000000" w:rsidRPr="00A31699" w:rsidP="00A31699">
            <w:pPr>
              <w:pStyle w:val="ListBullet"/>
            </w:pPr>
            <w:r w:rsidRPr="00A31699">
              <w:t>legislation and procedures relating to public interest disclosures, protected disclosures or whistleblowing</w:t>
            </w:r>
          </w:p>
          <w:p w:rsidR="00000000" w:rsidRPr="00A31699" w:rsidP="00A31699">
            <w:pPr>
              <w:pStyle w:val="ListBullet"/>
            </w:pPr>
            <w:r w:rsidRPr="00A31699">
              <w:t>privacy, confidentiality or other specific legislation and guidelines relating to fraud and corruption control</w:t>
            </w:r>
          </w:p>
          <w:p w:rsidR="00000000" w:rsidRPr="00A31699" w:rsidP="00A31699">
            <w:pPr>
              <w:pStyle w:val="ListBullet"/>
            </w:pPr>
            <w:r w:rsidRPr="00A31699">
              <w:t>freedom of information legislation</w:t>
            </w:r>
          </w:p>
          <w:p w:rsidR="00000000" w:rsidRPr="00A31699" w:rsidP="00A31699">
            <w:pPr>
              <w:pStyle w:val="ListBullet"/>
            </w:pPr>
            <w:r w:rsidRPr="00A31699">
              <w:t>gu</w:t>
            </w:r>
            <w:r w:rsidRPr="00A31699">
              <w:t>idelines issued by standards-setting organisations</w:t>
            </w:r>
          </w:p>
          <w:p w:rsidR="00000000" w:rsidRPr="00A31699" w:rsidP="00A31699">
            <w:pPr>
              <w:pStyle w:val="ListBullet"/>
            </w:pPr>
            <w:r w:rsidRPr="00A31699">
              <w:t>organisation's programs and client base</w:t>
            </w:r>
          </w:p>
          <w:p w:rsidR="00000000" w:rsidRPr="00A31699" w:rsidP="00A31699">
            <w:pPr>
              <w:pStyle w:val="ListBullet"/>
            </w:pPr>
            <w:r w:rsidRPr="00A31699">
              <w:t>legislation and corresponding links with the organisation's programs</w:t>
            </w:r>
          </w:p>
          <w:p w:rsidR="00000000" w:rsidRPr="00A31699" w:rsidP="00A31699">
            <w:pPr>
              <w:pStyle w:val="ListBullet"/>
            </w:pPr>
            <w:r w:rsidRPr="00A31699">
              <w:t>how data is managed within the organisation</w:t>
            </w:r>
          </w:p>
          <w:p w:rsidR="00000000" w:rsidRPr="00A31699" w:rsidP="00A31699">
            <w:pPr>
              <w:pStyle w:val="ListBullet"/>
            </w:pPr>
            <w:r w:rsidRPr="00A31699">
              <w:t>legislation, policies and procedures relating to fra</w:t>
            </w:r>
            <w:r w:rsidRPr="00A31699">
              <w:t>ud and corruption control including occupational health and safety and environment</w:t>
            </w:r>
          </w:p>
        </w:tc>
      </w:tr>
    </w:tbl>
    <w:p w:rsidR="00000000" w:rsidRPr="00A31699" w:rsidP="00A31699">
      <w:pPr>
        <w:pStyle w:val="BodyText"/>
      </w:pPr>
    </w:p>
    <w:p w:rsidR="00000000" w:rsidRPr="00A31699" w:rsidP="00A31699">
      <w:pPr>
        <w:pStyle w:val="AllowPageBreak"/>
      </w:pPr>
    </w:p>
    <w:p w:rsidR="00000000" w:rsidRPr="00A31699" w:rsidP="00A31699">
      <w:pPr>
        <w:pStyle w:val="Heading1"/>
      </w:pPr>
      <w:bookmarkStart w:id="10" w:name="O_495037"/>
      <w:bookmarkEnd w:id="10"/>
      <w:r w:rsidRPr="00A31699">
        <w:t>Evidence Guide</w:t>
      </w:r>
    </w:p>
    <w:tbl>
      <w:tblPr>
        <w:tblW w:w="9322" w:type="dxa"/>
        <w:tblLayout w:type="fixed"/>
        <w:tblCellMar>
          <w:left w:w="62" w:type="dxa"/>
          <w:right w:w="62" w:type="dxa"/>
        </w:tblCellMar>
        <w:tblLook w:val="0000"/>
      </w:tblPr>
      <w:tblGrid>
        <w:gridCol w:w="2660"/>
        <w:gridCol w:w="6662"/>
      </w:tblGrid>
      <w:tr w:rsidTr="00E9348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31699">
            <w:pPr>
              <w:pStyle w:val="BodyText"/>
              <w:rPr>
                <w:lang w:val="en-NZ"/>
              </w:rPr>
            </w:pPr>
            <w:r w:rsidRPr="00A31699">
              <w:rPr>
                <w:rStyle w:val="SpecialBold"/>
              </w:rPr>
              <w:t>EVIDENCE GUIDE</w:t>
            </w:r>
          </w:p>
        </w:tc>
      </w:tr>
      <w:tr w:rsidTr="00E9348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31699">
            <w:pPr>
              <w:pStyle w:val="BodyText"/>
              <w:rPr>
                <w:lang w:val="en-NZ"/>
              </w:rPr>
            </w:pPr>
            <w:r w:rsidRPr="00A31699">
              <w:t>The Evidence Guide specifies the evidence re</w:t>
            </w:r>
            <w:r w:rsidRPr="00A31699">
              <w:t>quired to demonstrate achievement in the unit of competency as a whole. It must be read in conjunction with the Unit descriptor, Performance Criteria, the Range Statement and the Assessment Guidelines for the Public Sector Training Package.</w:t>
            </w:r>
          </w:p>
        </w:tc>
      </w:tr>
      <w:tr w:rsidTr="00E9348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A31699" w:rsidP="00A31699">
            <w:pPr>
              <w:pStyle w:val="BodyText"/>
            </w:pPr>
            <w:r w:rsidRPr="00A31699">
              <w:rPr>
                <w:rStyle w:val="SpecialBold"/>
              </w:rPr>
              <w:t>Units to be assessed together</w:t>
            </w:r>
            <w:r w:rsidRPr="00A31699">
              <w:t xml:space="preserve"> </w:t>
            </w:r>
          </w:p>
        </w:tc>
        <w:tc>
          <w:tcPr>
            <w:tcW w:w="6662" w:type="dxa"/>
            <w:tcBorders>
              <w:top w:val="nil"/>
              <w:left w:val="nil"/>
              <w:bottom w:val="nil"/>
              <w:right w:val="nil"/>
            </w:tcBorders>
            <w:tcMar>
              <w:top w:w="0" w:type="dxa"/>
              <w:left w:w="62" w:type="dxa"/>
              <w:bottom w:w="0" w:type="dxa"/>
              <w:right w:w="62" w:type="dxa"/>
            </w:tcMar>
          </w:tcPr>
          <w:p w:rsidR="00000000" w:rsidRPr="00A31699" w:rsidP="00A31699">
            <w:pPr>
              <w:pStyle w:val="ListBullet"/>
            </w:pPr>
            <w:r w:rsidRPr="00A31699">
              <w:rPr>
                <w:rStyle w:val="Emphasis"/>
              </w:rPr>
              <w:t>Pre</w:t>
            </w:r>
            <w:r w:rsidRPr="00A31699">
              <w:t>-</w:t>
            </w:r>
            <w:r w:rsidRPr="00A31699">
              <w:rPr>
                <w:rStyle w:val="Emphasis"/>
              </w:rPr>
              <w:t>requisite</w:t>
            </w:r>
            <w:r w:rsidRPr="00A31699">
              <w:t xml:space="preserve"> units that </w:t>
            </w:r>
            <w:r w:rsidRPr="00A31699">
              <w:rPr>
                <w:rStyle w:val="Underline"/>
              </w:rPr>
              <w:t>must</w:t>
            </w:r>
            <w:r w:rsidRPr="00A31699">
              <w:t xml:space="preserve"> be achieved </w:t>
            </w:r>
            <w:r w:rsidRPr="00A31699">
              <w:rPr>
                <w:rStyle w:val="Underline"/>
              </w:rPr>
              <w:t>prior</w:t>
            </w:r>
            <w:r w:rsidRPr="00A31699">
              <w:t xml:space="preserve"> to this unit:</w:t>
            </w:r>
            <w:r w:rsidRPr="00A31699">
              <w:rPr>
                <w:rStyle w:val="Emphasis"/>
              </w:rPr>
              <w:t>Nil</w:t>
            </w:r>
          </w:p>
          <w:p w:rsidR="00000000" w:rsidRPr="00A31699" w:rsidP="00A31699">
            <w:pPr>
              <w:pStyle w:val="ListBullet"/>
            </w:pPr>
            <w:r w:rsidRPr="00A31699">
              <w:rPr>
                <w:rStyle w:val="Emphasis"/>
              </w:rPr>
              <w:t>Co</w:t>
            </w:r>
            <w:r w:rsidRPr="00A31699">
              <w:t>-</w:t>
            </w:r>
            <w:r w:rsidRPr="00A31699">
              <w:rPr>
                <w:rStyle w:val="Emphasis"/>
              </w:rPr>
              <w:t>requisite</w:t>
            </w:r>
            <w:r w:rsidRPr="00A31699">
              <w:t xml:space="preserve"> units that </w:t>
            </w:r>
            <w:r w:rsidRPr="00A31699">
              <w:rPr>
                <w:rStyle w:val="Underline"/>
              </w:rPr>
              <w:t>must</w:t>
            </w:r>
            <w:r w:rsidRPr="00A31699">
              <w:t xml:space="preserve"> be assessed </w:t>
            </w:r>
            <w:r w:rsidRPr="00A31699">
              <w:rPr>
                <w:rStyle w:val="Underline"/>
              </w:rPr>
              <w:t>with</w:t>
            </w:r>
            <w:r w:rsidRPr="00A31699">
              <w:t xml:space="preserve"> this unit:</w:t>
            </w:r>
            <w:r w:rsidRPr="00A31699">
              <w:rPr>
                <w:rStyle w:val="Emphasis"/>
              </w:rPr>
              <w:t>Nil</w:t>
            </w:r>
          </w:p>
          <w:p w:rsidR="00000000" w:rsidRPr="00A31699" w:rsidP="00A31699">
            <w:pPr>
              <w:pStyle w:val="ListBullet"/>
            </w:pPr>
            <w:r w:rsidRPr="00A31699">
              <w:rPr>
                <w:rStyle w:val="Emphasis"/>
              </w:rPr>
              <w:t>Co</w:t>
            </w:r>
            <w:r w:rsidRPr="00A31699">
              <w:t>-</w:t>
            </w:r>
            <w:r w:rsidRPr="00A31699">
              <w:rPr>
                <w:rStyle w:val="Emphasis"/>
              </w:rPr>
              <w:t>assessed units</w:t>
            </w:r>
            <w:r w:rsidRPr="00A31699">
              <w:t xml:space="preserve"> that </w:t>
            </w:r>
            <w:r w:rsidRPr="00A31699">
              <w:rPr>
                <w:rStyle w:val="Underline"/>
              </w:rPr>
              <w:t>may</w:t>
            </w:r>
            <w:r w:rsidRPr="00A31699">
              <w:t xml:space="preserve"> be assessed with this unit to increase the efficiency and realism of the</w:t>
            </w:r>
            <w:r w:rsidRPr="00A31699">
              <w:t xml:space="preserve"> assessment process include, but are not limited to:</w:t>
            </w:r>
          </w:p>
          <w:p w:rsidR="00000000" w:rsidRPr="00A31699" w:rsidP="00A31699">
            <w:pPr>
              <w:pStyle w:val="ListBullet2"/>
            </w:pPr>
            <w:r w:rsidRPr="00A31699">
              <w:t>PSPETHC401A Uphold and support the values and principles of public service</w:t>
            </w:r>
          </w:p>
          <w:p w:rsidR="00000000" w:rsidRPr="00A31699" w:rsidP="00A31699">
            <w:pPr>
              <w:pStyle w:val="ListBullet2"/>
            </w:pPr>
            <w:r w:rsidRPr="00A31699">
              <w:t>PSPGOV406B Gather and analyse information</w:t>
            </w:r>
          </w:p>
          <w:p w:rsidR="00000000" w:rsidRPr="00A31699" w:rsidP="00A31699">
            <w:pPr>
              <w:pStyle w:val="ListBullet2"/>
            </w:pPr>
            <w:r w:rsidRPr="00A31699">
              <w:t>PSPLEGN401A Encourage compliance with legislation in the public sector</w:t>
            </w:r>
          </w:p>
          <w:p w:rsidR="00000000" w:rsidRPr="00A31699" w:rsidP="00A31699">
            <w:pPr>
              <w:pStyle w:val="ListBullet2"/>
            </w:pPr>
            <w:r w:rsidRPr="00A31699">
              <w:t>PSPREG401C Exercise regulatory powers</w:t>
            </w:r>
          </w:p>
          <w:p w:rsidR="00000000" w:rsidRPr="00A31699" w:rsidP="00A31699">
            <w:pPr>
              <w:pStyle w:val="ListBullet2"/>
            </w:pPr>
            <w:r w:rsidRPr="00A31699">
              <w:t>PSPREG402C Promote client compliance</w:t>
            </w:r>
          </w:p>
          <w:p w:rsidR="00000000" w:rsidP="00A31699">
            <w:pPr>
              <w:pStyle w:val="ListBullet2"/>
              <w:rPr>
                <w:lang w:val="en-NZ"/>
              </w:rPr>
            </w:pPr>
            <w:r w:rsidRPr="00A31699">
              <w:t>PSPREG415A Receive and validate data</w:t>
            </w:r>
          </w:p>
        </w:tc>
      </w:tr>
      <w:tr w:rsidTr="00E9348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1699">
            <w:pPr>
              <w:pStyle w:val="BodyText"/>
              <w:rPr>
                <w:lang w:val="en-NZ"/>
              </w:rPr>
            </w:pPr>
            <w:r w:rsidRPr="00A31699">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A31699" w:rsidP="00A31699">
            <w:pPr>
              <w:pStyle w:val="BodyText"/>
            </w:pPr>
            <w:r w:rsidRPr="00A31699">
              <w:t>In addition to integrated demonstration of the elements and their related performance criteria, look for evid</w:t>
            </w:r>
            <w:r w:rsidRPr="00A31699">
              <w:t>ence that confirms:</w:t>
            </w:r>
          </w:p>
          <w:p w:rsidR="00000000" w:rsidRPr="00A31699" w:rsidP="00A31699">
            <w:pPr>
              <w:pStyle w:val="ListBullet"/>
            </w:pPr>
            <w:r w:rsidRPr="00A31699">
              <w:t xml:space="preserve">the knowledge requirements of this unit </w:t>
            </w:r>
          </w:p>
          <w:p w:rsidR="00000000" w:rsidRPr="00A31699" w:rsidP="00A31699">
            <w:pPr>
              <w:pStyle w:val="ListBullet"/>
            </w:pPr>
            <w:r w:rsidRPr="00A31699">
              <w:t>the skill requirements of this unit</w:t>
            </w:r>
          </w:p>
          <w:p w:rsidR="00000000" w:rsidRPr="00A31699" w:rsidP="00A31699">
            <w:pPr>
              <w:pStyle w:val="ListBullet"/>
            </w:pPr>
            <w:r w:rsidRPr="00A31699">
              <w:t>application of the Employability Skills as they relate to this unit (see Employability Summaries in Qualifications Framework)</w:t>
            </w:r>
          </w:p>
          <w:p w:rsidR="00000000" w:rsidP="00A31699">
            <w:pPr>
              <w:pStyle w:val="ListBullet"/>
              <w:rPr>
                <w:lang w:val="en-NZ"/>
              </w:rPr>
            </w:pPr>
            <w:r w:rsidRPr="00A31699">
              <w:t>monitoring of data for indicators of fraud and corruption in a range of (3 or more) contexts (or occasions, over time)</w:t>
            </w:r>
          </w:p>
        </w:tc>
      </w:tr>
      <w:tr w:rsidTr="00E9348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1699">
            <w:pPr>
              <w:pStyle w:val="BodyText"/>
              <w:rPr>
                <w:lang w:val="en-NZ"/>
              </w:rPr>
            </w:pPr>
            <w:r w:rsidRPr="00A31699">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A31699" w:rsidP="00A31699">
            <w:pPr>
              <w:pStyle w:val="BodyText"/>
            </w:pPr>
            <w:r w:rsidRPr="00A31699">
              <w:t>These resources include:</w:t>
            </w:r>
          </w:p>
          <w:p w:rsidR="00000000" w:rsidRPr="00A31699" w:rsidP="00A31699">
            <w:pPr>
              <w:pStyle w:val="ListBullet"/>
            </w:pPr>
            <w:r w:rsidRPr="00A31699">
              <w:t>fraud and corruption control guidelines</w:t>
            </w:r>
          </w:p>
          <w:p w:rsidR="00000000" w:rsidRPr="00A31699" w:rsidP="00A31699">
            <w:pPr>
              <w:pStyle w:val="ListBullet"/>
            </w:pPr>
            <w:r w:rsidRPr="00A31699">
              <w:t>fraud investigation standar</w:t>
            </w:r>
            <w:r w:rsidRPr="00A31699">
              <w:t>ds</w:t>
            </w:r>
          </w:p>
          <w:p w:rsidR="00000000" w:rsidRPr="00A31699" w:rsidP="00A31699">
            <w:pPr>
              <w:pStyle w:val="ListBullet"/>
            </w:pPr>
            <w:r w:rsidRPr="00A31699">
              <w:t>public sector values and codes of conduct</w:t>
            </w:r>
          </w:p>
          <w:p w:rsidR="00000000" w:rsidRPr="00A31699" w:rsidP="00A31699">
            <w:pPr>
              <w:pStyle w:val="ListBullet"/>
            </w:pPr>
            <w:r w:rsidRPr="00A31699">
              <w:t>organisational procedures and manuals</w:t>
            </w:r>
          </w:p>
          <w:p w:rsidR="00000000" w:rsidRPr="00A31699" w:rsidP="00A31699">
            <w:pPr>
              <w:pStyle w:val="ListBullet"/>
            </w:pPr>
            <w:r w:rsidRPr="00A31699">
              <w:t>legislation, procedures and protocols relating to fraud and corruption control</w:t>
            </w:r>
          </w:p>
          <w:p w:rsidR="00000000" w:rsidRPr="00A31699" w:rsidP="00A31699">
            <w:pPr>
              <w:pStyle w:val="ListBullet"/>
            </w:pPr>
            <w:r w:rsidRPr="00A31699">
              <w:t>legislation and procedures relating to public interest disclosures, protected disclosures or w</w:t>
            </w:r>
            <w:r w:rsidRPr="00A31699">
              <w:t>histleblowing</w:t>
            </w:r>
          </w:p>
          <w:p w:rsidR="00000000" w:rsidP="00A31699">
            <w:pPr>
              <w:pStyle w:val="ListBullet"/>
              <w:rPr>
                <w:lang w:val="en-NZ"/>
              </w:rPr>
            </w:pPr>
            <w:r w:rsidRPr="00A31699">
              <w:t>case studies and workplace scenarios to capture the range of fraud/corruption situations likely to be encountered</w:t>
            </w:r>
          </w:p>
        </w:tc>
      </w:tr>
      <w:tr w:rsidTr="00E9348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1699">
            <w:pPr>
              <w:pStyle w:val="BodyText"/>
              <w:rPr>
                <w:lang w:val="en-NZ"/>
              </w:rPr>
            </w:pPr>
            <w:r w:rsidRPr="00A31699">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A31699" w:rsidP="00A31699">
            <w:pPr>
              <w:pStyle w:val="BodyText"/>
            </w:pPr>
            <w:r w:rsidRPr="00A31699">
              <w:t xml:space="preserve">Valid assessment of this unit requires: </w:t>
            </w:r>
          </w:p>
          <w:p w:rsidR="00000000" w:rsidRPr="00A31699" w:rsidP="00A31699">
            <w:pPr>
              <w:pStyle w:val="ListBullet"/>
            </w:pPr>
            <w:r w:rsidRPr="00A31699">
              <w:t>a workplace environment or one that closely resembles normal work practice and replicates the range of conditions likely to be encountered when monitoring data for indicators of fraud and corruption, including coping with difficulties, irregularities and b</w:t>
            </w:r>
            <w:r w:rsidRPr="00A31699">
              <w:t>reakdowns in routine</w:t>
            </w:r>
          </w:p>
          <w:p w:rsidR="00000000" w:rsidRPr="00A31699" w:rsidP="00A31699">
            <w:pPr>
              <w:pStyle w:val="ListBullet"/>
            </w:pPr>
            <w:r w:rsidRPr="00A31699">
              <w:t>monitoring of data for indicators of fraud and corruption in a range of (3 or more) contexts (or occasions, over time)</w:t>
            </w:r>
          </w:p>
          <w:p w:rsidR="00000000" w:rsidRPr="00A31699" w:rsidP="00A31699">
            <w:pPr>
              <w:pStyle w:val="BodyText"/>
            </w:pPr>
            <w:r w:rsidRPr="00A31699">
              <w:t>Assessment methods should reflect workplace demands, such as literacy, and the needs of particular groups, such as:</w:t>
            </w:r>
          </w:p>
          <w:p w:rsidR="00000000" w:rsidRPr="00A31699" w:rsidP="00A31699">
            <w:pPr>
              <w:pStyle w:val="ListBullet"/>
            </w:pPr>
            <w:r w:rsidRPr="00A31699">
              <w:t>people with disabilities</w:t>
            </w:r>
          </w:p>
          <w:p w:rsidR="00000000" w:rsidRPr="00A31699" w:rsidP="00A31699">
            <w:pPr>
              <w:pStyle w:val="ListBullet"/>
            </w:pPr>
            <w:r w:rsidRPr="00A31699">
              <w:t>people from culturally and linguistically diverse backgrounds</w:t>
            </w:r>
          </w:p>
          <w:p w:rsidR="00000000" w:rsidRPr="00A31699" w:rsidP="00A31699">
            <w:pPr>
              <w:pStyle w:val="ListBullet"/>
            </w:pPr>
            <w:r w:rsidRPr="00A31699">
              <w:t>Aboriginal and Torres Strait Islander people</w:t>
            </w:r>
          </w:p>
          <w:p w:rsidR="00000000" w:rsidRPr="00A31699" w:rsidP="00A31699">
            <w:pPr>
              <w:pStyle w:val="ListBullet"/>
            </w:pPr>
            <w:r w:rsidRPr="00A31699">
              <w:t>women</w:t>
            </w:r>
          </w:p>
          <w:p w:rsidR="00000000" w:rsidRPr="00A31699" w:rsidP="00A31699">
            <w:pPr>
              <w:pStyle w:val="ListBullet"/>
            </w:pPr>
            <w:r w:rsidRPr="00A31699">
              <w:t>young people</w:t>
            </w:r>
          </w:p>
          <w:p w:rsidR="00000000" w:rsidRPr="00A31699" w:rsidP="00A31699">
            <w:pPr>
              <w:pStyle w:val="ListBullet"/>
            </w:pPr>
            <w:r w:rsidRPr="00A31699">
              <w:t>older people</w:t>
            </w:r>
          </w:p>
          <w:p w:rsidR="00000000" w:rsidRPr="00A31699" w:rsidP="00A31699">
            <w:pPr>
              <w:pStyle w:val="ListBullet"/>
            </w:pPr>
            <w:r w:rsidRPr="00A31699">
              <w:t>people in rural and remote locations</w:t>
            </w:r>
          </w:p>
          <w:p w:rsidR="00000000" w:rsidRPr="00A31699" w:rsidP="00A31699">
            <w:pPr>
              <w:pStyle w:val="BodyText"/>
            </w:pPr>
            <w:r w:rsidRPr="00A31699">
              <w:t>Assessment methods suitable for valid and reliable ass</w:t>
            </w:r>
            <w:r w:rsidRPr="00A31699">
              <w:t xml:space="preserve">essment of this competency may include, but are not limited to, a combination of 2 or more of: </w:t>
            </w:r>
          </w:p>
          <w:p w:rsidR="00000000" w:rsidRPr="00A31699" w:rsidP="00A31699">
            <w:pPr>
              <w:pStyle w:val="ListBullet"/>
            </w:pPr>
            <w:r w:rsidRPr="00A31699">
              <w:t>case studies</w:t>
            </w:r>
          </w:p>
          <w:p w:rsidR="00000000" w:rsidRPr="00A31699" w:rsidP="00A31699">
            <w:pPr>
              <w:pStyle w:val="ListBullet"/>
            </w:pPr>
            <w:r w:rsidRPr="00A31699">
              <w:t xml:space="preserve">demonstration </w:t>
            </w:r>
          </w:p>
          <w:p w:rsidR="00000000" w:rsidRPr="00A31699" w:rsidP="00A31699">
            <w:pPr>
              <w:pStyle w:val="ListBullet"/>
            </w:pPr>
            <w:r w:rsidRPr="00A31699">
              <w:t>observation</w:t>
            </w:r>
          </w:p>
          <w:p w:rsidR="00000000" w:rsidRPr="00A31699" w:rsidP="00A31699">
            <w:pPr>
              <w:pStyle w:val="ListBullet"/>
            </w:pPr>
            <w:r w:rsidRPr="00A31699">
              <w:t xml:space="preserve">portfolios </w:t>
            </w:r>
          </w:p>
          <w:p w:rsidR="00000000" w:rsidRPr="00A31699" w:rsidP="00A31699">
            <w:pPr>
              <w:pStyle w:val="ListBullet"/>
            </w:pPr>
            <w:r w:rsidRPr="00A31699">
              <w:t>projects</w:t>
            </w:r>
          </w:p>
          <w:p w:rsidR="00000000" w:rsidRPr="00A31699" w:rsidP="00A31699">
            <w:pPr>
              <w:pStyle w:val="ListBullet"/>
            </w:pPr>
            <w:r w:rsidRPr="00A31699">
              <w:t>questioning</w:t>
            </w:r>
          </w:p>
          <w:p w:rsidR="00000000" w:rsidRPr="00A31699" w:rsidP="00A31699">
            <w:pPr>
              <w:pStyle w:val="ListBullet"/>
            </w:pPr>
            <w:r w:rsidRPr="00A31699">
              <w:t>scenarios</w:t>
            </w:r>
          </w:p>
          <w:p w:rsidR="00000000" w:rsidRPr="00A31699" w:rsidP="00A31699">
            <w:pPr>
              <w:pStyle w:val="ListBullet"/>
            </w:pPr>
            <w:r w:rsidRPr="00A31699">
              <w:t>simulation or role plays</w:t>
            </w:r>
          </w:p>
          <w:p w:rsidR="00000000" w:rsidP="00A31699">
            <w:pPr>
              <w:pStyle w:val="ListBullet"/>
              <w:rPr>
                <w:lang w:val="en-NZ"/>
              </w:rPr>
            </w:pPr>
            <w:r w:rsidRPr="00A31699">
              <w:t>authenticated evi</w:t>
            </w:r>
            <w:r w:rsidRPr="00A31699">
              <w:t>dence from the workplace and/or training courses</w:t>
            </w:r>
          </w:p>
        </w:tc>
      </w:tr>
      <w:tr w:rsidTr="00E9348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31699">
            <w:pPr>
              <w:pStyle w:val="BodyText"/>
              <w:rPr>
                <w:lang w:val="en-NZ"/>
              </w:rPr>
            </w:pPr>
            <w:r w:rsidRPr="00A31699">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A31699" w:rsidP="00A31699">
            <w:pPr>
              <w:pStyle w:val="BodyText"/>
            </w:pPr>
            <w:r w:rsidRPr="00A31699">
              <w:t>Evidence must be gathered over time in a range of contexts to ensure the person can achieve the unit outcome and/or apply the competency in different situations or environments</w:t>
            </w:r>
            <w:r w:rsidRPr="00A31699">
              <w:t>.</w:t>
            </w:r>
          </w:p>
        </w:tc>
      </w:tr>
    </w:tbl>
    <w:p w:rsidR="00000000" w:rsidRPr="00A31699" w:rsidP="00A31699">
      <w:pPr>
        <w:pStyle w:val="BodyText"/>
      </w:pPr>
    </w:p>
    <w:p w:rsidR="00000000" w:rsidRPr="00A31699" w:rsidP="00A31699">
      <w:pPr>
        <w:pStyle w:val="AllowPageBreak"/>
      </w:pPr>
    </w:p>
    <w:p w:rsidR="00000000" w:rsidRPr="00A31699" w:rsidP="00A31699">
      <w:pPr>
        <w:pStyle w:val="Heading1"/>
      </w:pPr>
      <w:bookmarkStart w:id="11" w:name="O_495036"/>
      <w:bookmarkEnd w:id="11"/>
      <w:r w:rsidRPr="00A31699">
        <w:t>Range Statement</w:t>
      </w:r>
    </w:p>
    <w:tbl>
      <w:tblPr>
        <w:tblW w:w="9322" w:type="dxa"/>
        <w:tblLayout w:type="fixed"/>
        <w:tblCellMar>
          <w:left w:w="62" w:type="dxa"/>
          <w:right w:w="62" w:type="dxa"/>
        </w:tblCellMar>
        <w:tblLook w:val="0000"/>
      </w:tblPr>
      <w:tblGrid>
        <w:gridCol w:w="2660"/>
        <w:gridCol w:w="6662"/>
      </w:tblGrid>
      <w:tr w:rsidTr="00E9348B">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99">
            <w:pPr>
              <w:pStyle w:val="BodyText"/>
              <w:rPr>
                <w:lang w:val="en-NZ"/>
              </w:rPr>
            </w:pPr>
            <w:r w:rsidRPr="00A31699">
              <w:t>The Range Statement provides information about the context in which the unit of competency is carried out. The variables cater for differences between States and Territories and the Commonwealth, and between organisatio</w:t>
            </w:r>
            <w:r w:rsidRPr="00A31699">
              <w:t xml:space="preserve">ns and workplaces. They allow for different work requirements, work practices and knowledge. The Range Statement also provides a focus for assessment. It relates to the unit as a whole. Text in </w:t>
            </w:r>
            <w:r w:rsidRPr="00A31699">
              <w:rPr>
                <w:rStyle w:val="BoldandItalics"/>
              </w:rPr>
              <w:t>bold italics</w:t>
            </w:r>
            <w:r w:rsidRPr="00A31699">
              <w:t xml:space="preserve"> in the Performance Criteria is explained here.</w:t>
            </w:r>
          </w:p>
        </w:tc>
      </w:tr>
      <w:tr w:rsidTr="00E9348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99">
            <w:pPr>
              <w:pStyle w:val="BodyText"/>
              <w:rPr>
                <w:lang w:val="en-NZ"/>
              </w:rPr>
            </w:pPr>
            <w:r w:rsidRPr="00A31699">
              <w:rPr>
                <w:rStyle w:val="BoldandItalics"/>
              </w:rPr>
              <w:t xml:space="preserve">Data </w:t>
            </w:r>
            <w:r w:rsidRPr="00A3169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99" w:rsidP="00A31699">
            <w:pPr>
              <w:pStyle w:val="ListBullet"/>
            </w:pPr>
            <w:r w:rsidRPr="00A31699">
              <w:t>electronic systems</w:t>
            </w:r>
          </w:p>
          <w:p w:rsidR="00000000" w:rsidRPr="00A31699" w:rsidP="00A31699">
            <w:pPr>
              <w:pStyle w:val="ListBullet"/>
            </w:pPr>
            <w:r w:rsidRPr="00A31699">
              <w:t>paper-based systems</w:t>
            </w:r>
          </w:p>
          <w:p w:rsidR="00000000" w:rsidRPr="00A31699" w:rsidP="00A31699">
            <w:pPr>
              <w:pStyle w:val="ListBullet"/>
            </w:pPr>
            <w:r w:rsidRPr="00A31699">
              <w:t>client data</w:t>
            </w:r>
          </w:p>
          <w:p w:rsidR="00000000" w:rsidP="00A31699">
            <w:pPr>
              <w:pStyle w:val="ListBullet"/>
              <w:rPr>
                <w:lang w:val="en-NZ"/>
              </w:rPr>
            </w:pPr>
            <w:r w:rsidRPr="00A31699">
              <w:t>other individuals and organisations</w:t>
            </w:r>
          </w:p>
        </w:tc>
      </w:tr>
      <w:tr w:rsidTr="00E9348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99">
            <w:pPr>
              <w:pStyle w:val="BodyText"/>
              <w:rPr>
                <w:lang w:val="en-NZ"/>
              </w:rPr>
            </w:pPr>
            <w:r w:rsidRPr="00A31699">
              <w:rPr>
                <w:rStyle w:val="BoldandItalics"/>
              </w:rPr>
              <w:t xml:space="preserve">Stakeholders </w:t>
            </w:r>
            <w:r w:rsidRPr="00A3169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99" w:rsidP="00A31699">
            <w:pPr>
              <w:pStyle w:val="ListBullet"/>
            </w:pPr>
            <w:r w:rsidRPr="00A31699">
              <w:t>staff and senior management</w:t>
            </w:r>
          </w:p>
          <w:p w:rsidR="00000000" w:rsidRPr="00A31699" w:rsidP="00A31699">
            <w:pPr>
              <w:pStyle w:val="ListBullet"/>
            </w:pPr>
            <w:r w:rsidRPr="00A31699">
              <w:t>clients</w:t>
            </w:r>
          </w:p>
          <w:p w:rsidR="00000000" w:rsidRPr="00A31699" w:rsidP="00A31699">
            <w:pPr>
              <w:pStyle w:val="ListBullet"/>
            </w:pPr>
            <w:r w:rsidRPr="00A31699">
              <w:t>law enforcement agencies</w:t>
            </w:r>
          </w:p>
          <w:p w:rsidR="00000000" w:rsidRPr="00A31699" w:rsidP="00A31699">
            <w:pPr>
              <w:pStyle w:val="ListBullet"/>
            </w:pPr>
            <w:r w:rsidRPr="00A31699">
              <w:t>organisations providing data</w:t>
            </w:r>
          </w:p>
          <w:p w:rsidR="00000000" w:rsidP="00A31699">
            <w:pPr>
              <w:pStyle w:val="ListBullet"/>
              <w:rPr>
                <w:lang w:val="en-NZ"/>
              </w:rPr>
            </w:pPr>
            <w:r w:rsidRPr="00A31699">
              <w:t>standards-setting organisations</w:t>
            </w:r>
          </w:p>
        </w:tc>
      </w:tr>
      <w:tr w:rsidTr="00E9348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99">
            <w:pPr>
              <w:pStyle w:val="BodyText"/>
              <w:rPr>
                <w:lang w:val="en-NZ"/>
              </w:rPr>
            </w:pPr>
            <w:r w:rsidRPr="00A31699">
              <w:rPr>
                <w:rStyle w:val="BoldandItalics"/>
              </w:rPr>
              <w:t>Purposes of data analysis</w:t>
            </w:r>
            <w:r w:rsidRPr="00A3169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99" w:rsidP="00A31699">
            <w:pPr>
              <w:pStyle w:val="ListBullet"/>
            </w:pPr>
            <w:r w:rsidRPr="00A31699">
              <w:t>response to ongoing or individual requests for information from specified people to check for particular information</w:t>
            </w:r>
          </w:p>
          <w:p w:rsidR="00000000" w:rsidRPr="00A31699" w:rsidP="00A31699">
            <w:pPr>
              <w:pStyle w:val="ListBullet"/>
            </w:pPr>
            <w:r w:rsidRPr="00A31699">
              <w:t>matching data as part of a random check</w:t>
            </w:r>
          </w:p>
          <w:p w:rsidR="00000000" w:rsidRPr="00A31699" w:rsidP="00A31699">
            <w:pPr>
              <w:pStyle w:val="ListBullet"/>
            </w:pPr>
            <w:r w:rsidRPr="00A31699">
              <w:t>conducting a needs assessment for fraud and corruption pre</w:t>
            </w:r>
            <w:r w:rsidRPr="00A31699">
              <w:t>vention and awareness activities</w:t>
            </w:r>
          </w:p>
          <w:p w:rsidR="00000000" w:rsidP="00A31699">
            <w:pPr>
              <w:pStyle w:val="ListBullet"/>
              <w:rPr>
                <w:lang w:val="en-NZ"/>
              </w:rPr>
            </w:pPr>
            <w:r w:rsidRPr="00A31699">
              <w:t>generating and initiating fraud and corruption control activities</w:t>
            </w:r>
          </w:p>
        </w:tc>
      </w:tr>
      <w:tr w:rsidTr="00E9348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99">
            <w:pPr>
              <w:pStyle w:val="BodyText"/>
              <w:rPr>
                <w:lang w:val="en-NZ"/>
              </w:rPr>
            </w:pPr>
            <w:r w:rsidRPr="00A31699">
              <w:rPr>
                <w:rStyle w:val="BoldandItalics"/>
              </w:rPr>
              <w:t>Actions resulting from data interrogation</w:t>
            </w:r>
            <w:r w:rsidRPr="00A3169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99" w:rsidP="00A31699">
            <w:pPr>
              <w:pStyle w:val="ListBullet"/>
            </w:pPr>
            <w:r w:rsidRPr="00A31699">
              <w:t>investigation or inquiry</w:t>
            </w:r>
          </w:p>
          <w:p w:rsidR="00000000" w:rsidRPr="00A31699" w:rsidP="00A31699">
            <w:pPr>
              <w:pStyle w:val="ListBullet"/>
            </w:pPr>
            <w:r w:rsidRPr="00A31699">
              <w:t>legislative change</w:t>
            </w:r>
          </w:p>
          <w:p w:rsidR="00000000" w:rsidRPr="00A31699" w:rsidP="00A31699">
            <w:pPr>
              <w:pStyle w:val="ListBullet"/>
            </w:pPr>
            <w:r w:rsidRPr="00A31699">
              <w:t>administrative change</w:t>
            </w:r>
          </w:p>
          <w:p w:rsidR="00000000" w:rsidRPr="00A31699" w:rsidP="00A31699">
            <w:pPr>
              <w:pStyle w:val="ListBullet"/>
            </w:pPr>
            <w:r w:rsidRPr="00A31699">
              <w:t>policy change</w:t>
            </w:r>
          </w:p>
          <w:p w:rsidR="00000000" w:rsidP="00A31699">
            <w:pPr>
              <w:pStyle w:val="ListBullet"/>
              <w:rPr>
                <w:lang w:val="en-NZ"/>
              </w:rPr>
            </w:pPr>
            <w:r w:rsidRPr="00A31699">
              <w:t>improved referral to another organisation for investigation</w:t>
            </w:r>
          </w:p>
        </w:tc>
      </w:tr>
      <w:tr w:rsidTr="00E9348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1699">
            <w:pPr>
              <w:pStyle w:val="BodyText"/>
              <w:rPr>
                <w:lang w:val="en-NZ"/>
              </w:rPr>
            </w:pPr>
            <w:r w:rsidRPr="00A31699">
              <w:rPr>
                <w:rStyle w:val="BoldandItalics"/>
              </w:rPr>
              <w:t xml:space="preserve">Guidelines </w:t>
            </w:r>
            <w:r w:rsidRPr="00A3169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1699" w:rsidP="00A31699">
            <w:pPr>
              <w:pStyle w:val="ListBullet"/>
            </w:pPr>
            <w:r w:rsidRPr="00A31699">
              <w:t>legislation and guidelines prepared by relevant standards-setting organisations</w:t>
            </w:r>
          </w:p>
        </w:tc>
      </w:tr>
    </w:tbl>
    <w:p w:rsidR="00E9348B" w:rsidP="00A31699">
      <w:pPr>
        <w:pStyle w:val="BodyText"/>
      </w:pPr>
    </w:p>
    <w:p w:rsidR="00E9348B" w:rsidP="00A31699">
      <w:pPr>
        <w:pStyle w:val="BodyText"/>
      </w:pPr>
    </w:p>
    <w:p w:rsidR="00000000" w:rsidRPr="00A31699" w:rsidP="00A31699">
      <w:pPr>
        <w:pStyle w:val="Heading1"/>
      </w:pPr>
      <w:bookmarkStart w:id="12" w:name="O_495035"/>
      <w:bookmarkEnd w:id="12"/>
      <w:r w:rsidRPr="00A31699">
        <w:t>Unit Sector(s)</w:t>
      </w:r>
    </w:p>
    <w:p w:rsidR="00000000" w:rsidRPr="00A31699" w:rsidP="00A31699">
      <w:pPr>
        <w:pStyle w:val="BodyText"/>
      </w:pPr>
      <w:r w:rsidRPr="00A31699">
        <w:t>Not applicable.</w:t>
      </w:r>
    </w:p>
    <w:p w:rsidR="00000000" w:rsidRPr="00A31699" w:rsidP="00A31699">
      <w:pPr>
        <w:pStyle w:val="AllowPageBreak"/>
      </w:pPr>
    </w:p>
    <w:p w:rsidR="00000000" w:rsidRPr="00A31699" w:rsidP="00A31699">
      <w:pPr>
        <w:pStyle w:val="Heading1"/>
      </w:pPr>
      <w:bookmarkStart w:id="13" w:name="O_495042"/>
      <w:bookmarkEnd w:id="13"/>
      <w:r w:rsidRPr="00A31699">
        <w:t>Competency field</w:t>
      </w:r>
    </w:p>
    <w:p w:rsidR="00000000" w:rsidRPr="00A31699" w:rsidP="00A31699">
      <w:pPr>
        <w:pStyle w:val="BodyText"/>
      </w:pPr>
      <w:r w:rsidRPr="00A31699">
        <w:t>Fraud Control.</w:t>
      </w:r>
    </w:p>
    <w:p w:rsidR="00000000" w:rsidRPr="00A31699" w:rsidP="00A31699"/>
    <w:sectPr w:rsidSect="00A316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348B" w:rsidP="00E9348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48B" w:rsidP="00A3169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9348B" w:rsidP="00A316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9348B" w:rsidP="00A316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99" w:rsidRPr="00E9348B" w:rsidP="00E934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48B" w:rsidRPr="002D2AF8" w:rsidP="00A31699">
    <w:pPr>
      <w:pStyle w:val="Header"/>
      <w:framePr w:wrap="around"/>
    </w:pPr>
    <w:r>
      <w:fldChar w:fldCharType="begin"/>
    </w:r>
    <w:r>
      <w:instrText xml:space="preserve"> TITLE   \* MERGEFORMAT </w:instrText>
    </w:r>
    <w:r>
      <w:fldChar w:fldCharType="separate"/>
    </w:r>
    <w:r>
      <w:t>PSPFRAU401B Monitor data for indicators of fraud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E9348B" w:rsidP="00A316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9893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7A98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DEF1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6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1699"/>
    <w:pPr>
      <w:spacing w:before="360" w:after="60"/>
      <w:outlineLvl w:val="0"/>
    </w:pPr>
    <w:rPr>
      <w:sz w:val="32"/>
    </w:rPr>
  </w:style>
  <w:style w:type="paragraph" w:styleId="Heading2">
    <w:name w:val="heading 2"/>
    <w:basedOn w:val="HeadingBase"/>
    <w:next w:val="BodyText"/>
    <w:link w:val="Heading2Char"/>
    <w:qFormat/>
    <w:rsid w:val="00A31699"/>
    <w:pPr>
      <w:keepLines/>
      <w:spacing w:before="240" w:after="120"/>
      <w:outlineLvl w:val="1"/>
    </w:pPr>
    <w:rPr>
      <w:sz w:val="28"/>
      <w:szCs w:val="40"/>
    </w:rPr>
  </w:style>
  <w:style w:type="paragraph" w:styleId="Heading3">
    <w:name w:val="heading 3"/>
    <w:basedOn w:val="HeadingBase"/>
    <w:next w:val="BodyText"/>
    <w:link w:val="Heading3Char"/>
    <w:qFormat/>
    <w:rsid w:val="00A31699"/>
    <w:pPr>
      <w:spacing w:before="180" w:after="120"/>
      <w:outlineLvl w:val="2"/>
    </w:pPr>
    <w:rPr>
      <w:spacing w:val="-10"/>
      <w:kern w:val="32"/>
    </w:rPr>
  </w:style>
  <w:style w:type="paragraph" w:styleId="Heading4">
    <w:name w:val="heading 4"/>
    <w:basedOn w:val="HeadingBase"/>
    <w:next w:val="BodyText"/>
    <w:link w:val="Heading4Char"/>
    <w:qFormat/>
    <w:rsid w:val="00A31699"/>
    <w:pPr>
      <w:spacing w:before="160" w:after="120"/>
      <w:outlineLvl w:val="3"/>
    </w:pPr>
    <w:rPr>
      <w:sz w:val="22"/>
    </w:rPr>
  </w:style>
  <w:style w:type="paragraph" w:styleId="Heading5">
    <w:name w:val="heading 5"/>
    <w:basedOn w:val="HeadingBase"/>
    <w:next w:val="Normal"/>
    <w:link w:val="Heading5Char"/>
    <w:qFormat/>
    <w:rsid w:val="00A31699"/>
    <w:pPr>
      <w:spacing w:before="80"/>
      <w:outlineLvl w:val="4"/>
    </w:pPr>
    <w:rPr>
      <w:color w:val="918585"/>
      <w:sz w:val="20"/>
    </w:rPr>
  </w:style>
  <w:style w:type="paragraph" w:styleId="Heading6">
    <w:name w:val="heading 6"/>
    <w:basedOn w:val="HeadingBase"/>
    <w:next w:val="Normal"/>
    <w:link w:val="Heading6Char"/>
    <w:qFormat/>
    <w:rsid w:val="00A31699"/>
    <w:pPr>
      <w:spacing w:before="60"/>
      <w:outlineLvl w:val="5"/>
    </w:pPr>
    <w:rPr>
      <w:color w:val="918585"/>
      <w:sz w:val="20"/>
    </w:rPr>
  </w:style>
  <w:style w:type="paragraph" w:styleId="Heading7">
    <w:name w:val="heading 7"/>
    <w:basedOn w:val="Normal"/>
    <w:next w:val="Normal"/>
    <w:link w:val="Heading7Char"/>
    <w:qFormat/>
    <w:rsid w:val="00A31699"/>
    <w:pPr>
      <w:ind w:left="720"/>
      <w:outlineLvl w:val="6"/>
    </w:pPr>
    <w:rPr>
      <w:i/>
    </w:rPr>
  </w:style>
  <w:style w:type="paragraph" w:styleId="Heading8">
    <w:name w:val="heading 8"/>
    <w:basedOn w:val="Normal"/>
    <w:next w:val="Normal"/>
    <w:link w:val="Heading8Char"/>
    <w:qFormat/>
    <w:rsid w:val="00A31699"/>
    <w:pPr>
      <w:ind w:left="720"/>
      <w:outlineLvl w:val="7"/>
    </w:pPr>
    <w:rPr>
      <w:i/>
    </w:rPr>
  </w:style>
  <w:style w:type="paragraph" w:styleId="Heading9">
    <w:name w:val="heading 9"/>
    <w:basedOn w:val="Normal"/>
    <w:next w:val="Normal"/>
    <w:link w:val="Heading9Char"/>
    <w:qFormat/>
    <w:rsid w:val="00A31699"/>
    <w:pPr>
      <w:ind w:left="720"/>
      <w:outlineLvl w:val="8"/>
    </w:pPr>
    <w:rPr>
      <w:i/>
    </w:rPr>
  </w:style>
  <w:style w:type="character" w:default="1" w:styleId="DefaultParagraphFont">
    <w:name w:val="Default Paragraph Font"/>
    <w:uiPriority w:val="1"/>
    <w:unhideWhenUsed/>
    <w:rsid w:val="00A316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699"/>
  </w:style>
  <w:style w:type="character" w:customStyle="1" w:styleId="Heading1Char">
    <w:name w:val="Heading 1 Char"/>
    <w:basedOn w:val="DefaultParagraphFont"/>
    <w:link w:val="Heading1"/>
    <w:rsid w:val="00A31699"/>
    <w:rPr>
      <w:rFonts w:ascii="Times New Roman" w:eastAsia="Times New Roman" w:hAnsi="Times New Roman" w:cs="Times New Roman"/>
      <w:b/>
      <w:sz w:val="32"/>
      <w:szCs w:val="20"/>
      <w:lang w:eastAsia="en-US"/>
    </w:rPr>
  </w:style>
  <w:style w:type="paragraph" w:styleId="BodyText">
    <w:name w:val="Body Text"/>
    <w:basedOn w:val="Normal"/>
    <w:link w:val="BodyTextChar"/>
    <w:rsid w:val="00A316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1699"/>
    <w:rPr>
      <w:rFonts w:ascii="Times New Roman" w:eastAsia="Times New Roman" w:hAnsi="Times New Roman" w:cs="Times New Roman"/>
      <w:sz w:val="24"/>
      <w:lang w:eastAsia="en-US"/>
    </w:rPr>
  </w:style>
  <w:style w:type="paragraph" w:styleId="Footer">
    <w:name w:val="footer"/>
    <w:basedOn w:val="Normal"/>
    <w:link w:val="FooterChar"/>
    <w:rsid w:val="00A316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699"/>
    <w:rPr>
      <w:rFonts w:ascii="Times New Roman" w:eastAsia="Times New Roman" w:hAnsi="Times New Roman" w:cs="Times New Roman"/>
      <w:sz w:val="16"/>
      <w:lang w:eastAsia="en-US"/>
    </w:rPr>
  </w:style>
  <w:style w:type="paragraph" w:styleId="List">
    <w:name w:val="List"/>
    <w:basedOn w:val="BodyText"/>
    <w:next w:val="BodyText"/>
    <w:rsid w:val="00A31699"/>
    <w:pPr>
      <w:tabs>
        <w:tab w:val="left" w:pos="340"/>
      </w:tabs>
      <w:spacing w:before="60" w:after="60"/>
      <w:ind w:left="340" w:hanging="340"/>
    </w:pPr>
  </w:style>
  <w:style w:type="paragraph" w:styleId="ListBullet">
    <w:name w:val="List Bullet"/>
    <w:basedOn w:val="List"/>
    <w:rsid w:val="00A31699"/>
    <w:pPr>
      <w:numPr>
        <w:numId w:val="13"/>
      </w:numPr>
      <w:tabs>
        <w:tab w:val="clear" w:pos="340"/>
      </w:tabs>
      <w:spacing w:before="40" w:after="40"/>
    </w:pPr>
  </w:style>
  <w:style w:type="character" w:customStyle="1" w:styleId="SpecialBold">
    <w:name w:val="Special Bold"/>
    <w:basedOn w:val="DefaultParagraphFont"/>
    <w:rsid w:val="00A31699"/>
    <w:rPr>
      <w:b/>
      <w:spacing w:val="0"/>
    </w:rPr>
  </w:style>
  <w:style w:type="paragraph" w:styleId="ListBullet2">
    <w:name w:val="List Bullet 2"/>
    <w:basedOn w:val="List2"/>
    <w:rsid w:val="00A31699"/>
    <w:pPr>
      <w:numPr>
        <w:numId w:val="14"/>
      </w:numPr>
      <w:tabs>
        <w:tab w:val="clear" w:pos="680"/>
      </w:tabs>
    </w:pPr>
  </w:style>
  <w:style w:type="character" w:styleId="Emphasis">
    <w:name w:val="Emphasis"/>
    <w:basedOn w:val="DefaultParagraphFont"/>
    <w:qFormat/>
    <w:rsid w:val="00A31699"/>
    <w:rPr>
      <w:i/>
    </w:rPr>
  </w:style>
  <w:style w:type="paragraph" w:customStyle="1" w:styleId="SuperHeading">
    <w:name w:val="SuperHeading"/>
    <w:basedOn w:val="Normal"/>
    <w:rsid w:val="00A31699"/>
    <w:pPr>
      <w:spacing w:before="240" w:after="120"/>
      <w:outlineLvl w:val="0"/>
    </w:pPr>
    <w:rPr>
      <w:rFonts w:ascii="Times New Roman" w:hAnsi="Times New Roman"/>
      <w:b/>
      <w:sz w:val="28"/>
    </w:rPr>
  </w:style>
  <w:style w:type="paragraph" w:customStyle="1" w:styleId="AllowPageBreak">
    <w:name w:val="AllowPageBreak"/>
    <w:rsid w:val="00A316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A31699"/>
    <w:rPr>
      <w:u w:val="single"/>
    </w:rPr>
  </w:style>
  <w:style w:type="character" w:customStyle="1" w:styleId="BoldandItalics">
    <w:name w:val="Bold and Italics"/>
    <w:qFormat/>
    <w:rsid w:val="00A31699"/>
    <w:rPr>
      <w:b/>
      <w:i/>
      <w:u w:val="none"/>
    </w:rPr>
  </w:style>
  <w:style w:type="character" w:customStyle="1" w:styleId="Heading2Char">
    <w:name w:val="Heading 2 Char"/>
    <w:basedOn w:val="DefaultParagraphFont"/>
    <w:link w:val="Heading2"/>
    <w:rsid w:val="00A316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6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6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6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6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6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16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1699"/>
    <w:rPr>
      <w:rFonts w:ascii="Courier New" w:eastAsia="Times New Roman" w:hAnsi="Courier New" w:cs="Times New Roman"/>
      <w:i/>
      <w:szCs w:val="20"/>
      <w:lang w:eastAsia="en-US"/>
    </w:rPr>
  </w:style>
  <w:style w:type="paragraph" w:customStyle="1" w:styleId="HeadingBase">
    <w:name w:val="Heading Base"/>
    <w:rsid w:val="00A316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699"/>
    <w:pPr>
      <w:tabs>
        <w:tab w:val="right" w:leader="dot" w:pos="9072"/>
      </w:tabs>
      <w:ind w:left="567"/>
    </w:pPr>
    <w:rPr>
      <w:szCs w:val="22"/>
    </w:rPr>
  </w:style>
  <w:style w:type="paragraph" w:customStyle="1" w:styleId="TOCBase">
    <w:name w:val="TOC Base"/>
    <w:rsid w:val="00A316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699"/>
    <w:pPr>
      <w:tabs>
        <w:tab w:val="right" w:leader="dot" w:pos="9072"/>
      </w:tabs>
      <w:spacing w:before="40" w:after="40"/>
      <w:ind w:left="284"/>
    </w:pPr>
    <w:rPr>
      <w:rFonts w:ascii="Times New Roman" w:hAnsi="Times New Roman"/>
    </w:rPr>
  </w:style>
  <w:style w:type="paragraph" w:styleId="TOC1">
    <w:name w:val="toc 1"/>
    <w:basedOn w:val="TOCBase"/>
    <w:next w:val="Normal"/>
    <w:rsid w:val="00A316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1699"/>
    <w:pPr>
      <w:spacing w:before="5040"/>
      <w:jc w:val="center"/>
    </w:pPr>
    <w:rPr>
      <w:sz w:val="48"/>
      <w:szCs w:val="72"/>
      <w:lang w:val="en-US"/>
    </w:rPr>
  </w:style>
  <w:style w:type="character" w:customStyle="1" w:styleId="TitleChar">
    <w:name w:val="Title Char"/>
    <w:basedOn w:val="DefaultParagraphFont"/>
    <w:link w:val="Title"/>
    <w:rsid w:val="00A316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699"/>
    <w:pPr>
      <w:tabs>
        <w:tab w:val="left" w:pos="3600"/>
        <w:tab w:val="left" w:pos="3958"/>
      </w:tabs>
    </w:pPr>
  </w:style>
  <w:style w:type="paragraph" w:customStyle="1" w:styleId="Note">
    <w:name w:val="Note"/>
    <w:basedOn w:val="BodyText"/>
    <w:rsid w:val="00A316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699"/>
    <w:pPr>
      <w:framePr w:wrap="auto" w:hAnchor="text" w:y="6049"/>
    </w:pPr>
    <w:rPr>
      <w:color w:val="000000"/>
      <w:sz w:val="40"/>
    </w:rPr>
  </w:style>
  <w:style w:type="paragraph" w:customStyle="1" w:styleId="TOCTitle">
    <w:name w:val="TOCTitle"/>
    <w:basedOn w:val="Heading1"/>
    <w:rsid w:val="00A31699"/>
    <w:pPr>
      <w:spacing w:after="240"/>
      <w:jc w:val="center"/>
      <w:outlineLvl w:val="9"/>
    </w:pPr>
    <w:rPr>
      <w:caps/>
    </w:rPr>
  </w:style>
  <w:style w:type="paragraph" w:customStyle="1" w:styleId="Version">
    <w:name w:val="Version"/>
    <w:rsid w:val="00A316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699"/>
    <w:pPr>
      <w:keepNext w:val="0"/>
      <w:tabs>
        <w:tab w:val="right" w:pos="4176"/>
      </w:tabs>
      <w:ind w:left="198" w:hanging="198"/>
    </w:pPr>
    <w:rPr>
      <w:rFonts w:ascii="Garamond" w:hAnsi="Garamond"/>
    </w:rPr>
  </w:style>
  <w:style w:type="paragraph" w:styleId="IndexHeading">
    <w:name w:val="index heading"/>
    <w:basedOn w:val="Normal"/>
    <w:next w:val="Index1"/>
    <w:semiHidden/>
    <w:rsid w:val="00A31699"/>
    <w:pPr>
      <w:spacing w:before="120" w:after="120"/>
    </w:pPr>
    <w:rPr>
      <w:rFonts w:ascii="Arial" w:hAnsi="Arial"/>
      <w:b/>
      <w:color w:val="918585"/>
      <w:sz w:val="24"/>
    </w:rPr>
  </w:style>
  <w:style w:type="paragraph" w:styleId="Header">
    <w:name w:val="header"/>
    <w:basedOn w:val="Normal"/>
    <w:link w:val="HeaderChar"/>
    <w:rsid w:val="00A316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699"/>
    <w:rPr>
      <w:rFonts w:ascii="Times New Roman" w:eastAsia="Times New Roman" w:hAnsi="Times New Roman" w:cs="Times New Roman"/>
      <w:sz w:val="16"/>
      <w:szCs w:val="20"/>
      <w:lang w:val="en-GB" w:eastAsia="en-US"/>
    </w:rPr>
  </w:style>
  <w:style w:type="paragraph" w:customStyle="1" w:styleId="Chapter">
    <w:name w:val="Chapter"/>
    <w:basedOn w:val="Normal"/>
    <w:rsid w:val="00A31699"/>
    <w:pPr>
      <w:spacing w:before="240"/>
    </w:pPr>
    <w:rPr>
      <w:rFonts w:ascii="Times New Roman" w:hAnsi="Times New Roman"/>
      <w:smallCaps/>
      <w:spacing w:val="80"/>
      <w:sz w:val="28"/>
    </w:rPr>
  </w:style>
  <w:style w:type="paragraph" w:customStyle="1" w:styleId="InChapter">
    <w:name w:val="InChapter"/>
    <w:basedOn w:val="Heading3"/>
    <w:rsid w:val="00A31699"/>
    <w:pPr>
      <w:spacing w:after="240"/>
      <w:outlineLvl w:val="9"/>
    </w:pPr>
    <w:rPr>
      <w:noProof/>
    </w:rPr>
  </w:style>
  <w:style w:type="paragraph" w:styleId="Index2">
    <w:name w:val="index 2"/>
    <w:basedOn w:val="Normal"/>
    <w:next w:val="Normal"/>
    <w:semiHidden/>
    <w:rsid w:val="00A31699"/>
    <w:pPr>
      <w:tabs>
        <w:tab w:val="right" w:pos="4176"/>
      </w:tabs>
      <w:ind w:left="568" w:hanging="284"/>
    </w:pPr>
    <w:rPr>
      <w:rFonts w:ascii="Garamond" w:hAnsi="Garamond"/>
    </w:rPr>
  </w:style>
  <w:style w:type="paragraph" w:customStyle="1" w:styleId="Byline">
    <w:name w:val="Byline"/>
    <w:rsid w:val="00A316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699"/>
    <w:pPr>
      <w:tabs>
        <w:tab w:val="clear" w:pos="3600"/>
        <w:tab w:val="clear" w:pos="3958"/>
      </w:tabs>
      <w:jc w:val="right"/>
    </w:pPr>
  </w:style>
  <w:style w:type="paragraph" w:styleId="Caption">
    <w:name w:val="caption"/>
    <w:basedOn w:val="BodyText"/>
    <w:next w:val="Normal"/>
    <w:qFormat/>
    <w:rsid w:val="00A31699"/>
    <w:pPr>
      <w:framePr w:w="2268" w:hSpace="181" w:vSpace="181" w:wrap="around" w:vAnchor="text" w:hAnchor="page" w:x="1135" w:y="285" w:anchorLock="1"/>
    </w:pPr>
    <w:rPr>
      <w:i/>
    </w:rPr>
  </w:style>
  <w:style w:type="paragraph" w:customStyle="1" w:styleId="MiniTOCTitle">
    <w:name w:val="MiniTOCTitle"/>
    <w:basedOn w:val="Heading4"/>
    <w:rsid w:val="00A31699"/>
    <w:pPr>
      <w:spacing w:before="240"/>
      <w:outlineLvl w:val="9"/>
    </w:pPr>
    <w:rPr>
      <w:noProof/>
      <w:sz w:val="24"/>
    </w:rPr>
  </w:style>
  <w:style w:type="paragraph" w:customStyle="1" w:styleId="MiniTOCItem">
    <w:name w:val="MiniTOCItem"/>
    <w:basedOn w:val="ListBullet"/>
    <w:rsid w:val="00A31699"/>
    <w:pPr>
      <w:numPr>
        <w:numId w:val="0"/>
      </w:numPr>
      <w:tabs>
        <w:tab w:val="right" w:leader="dot" w:pos="6521"/>
      </w:tabs>
      <w:spacing w:before="0" w:after="0"/>
    </w:pPr>
  </w:style>
  <w:style w:type="paragraph" w:customStyle="1" w:styleId="TOFTitle">
    <w:name w:val="TOFTitle"/>
    <w:basedOn w:val="TOCTitle"/>
    <w:rsid w:val="00A31699"/>
  </w:style>
  <w:style w:type="paragraph" w:styleId="TableofFigures">
    <w:name w:val="table of figures"/>
    <w:basedOn w:val="Normal"/>
    <w:next w:val="Normal"/>
    <w:semiHidden/>
    <w:rsid w:val="00A31699"/>
    <w:pPr>
      <w:tabs>
        <w:tab w:val="right" w:leader="dot" w:pos="9072"/>
      </w:tabs>
      <w:ind w:left="970" w:hanging="403"/>
    </w:pPr>
    <w:rPr>
      <w:rFonts w:ascii="Times New Roman" w:hAnsi="Times New Roman"/>
      <w:b/>
    </w:rPr>
  </w:style>
  <w:style w:type="paragraph" w:styleId="ListNumber">
    <w:name w:val="List Number"/>
    <w:basedOn w:val="List"/>
    <w:rsid w:val="00A31699"/>
    <w:pPr>
      <w:numPr>
        <w:numId w:val="11"/>
      </w:numPr>
    </w:pPr>
  </w:style>
  <w:style w:type="character" w:customStyle="1" w:styleId="WingdingSymbols">
    <w:name w:val="Wingding Symbols"/>
    <w:rsid w:val="00A31699"/>
    <w:rPr>
      <w:rFonts w:ascii="Wingdings" w:hAnsi="Wingdings"/>
    </w:rPr>
  </w:style>
  <w:style w:type="paragraph" w:customStyle="1" w:styleId="TableHeading">
    <w:name w:val="Table Heading"/>
    <w:basedOn w:val="HeadingBase"/>
    <w:rsid w:val="00A31699"/>
    <w:pPr>
      <w:keepLines/>
      <w:pBdr>
        <w:bottom w:val="single" w:sz="6" w:space="1" w:color="918585"/>
      </w:pBdr>
      <w:spacing w:before="240"/>
    </w:pPr>
  </w:style>
  <w:style w:type="character" w:customStyle="1" w:styleId="HotSpot">
    <w:name w:val="HotSpot"/>
    <w:rsid w:val="00A31699"/>
    <w:rPr>
      <w:color w:val="0033CC"/>
      <w:u w:val="none"/>
    </w:rPr>
  </w:style>
  <w:style w:type="paragraph" w:customStyle="1" w:styleId="BodyTextRight">
    <w:name w:val="Body Text Right"/>
    <w:basedOn w:val="BodyText"/>
    <w:rsid w:val="00A31699"/>
    <w:pPr>
      <w:spacing w:before="0" w:after="0"/>
      <w:jc w:val="right"/>
    </w:pPr>
  </w:style>
  <w:style w:type="paragraph" w:styleId="Index3">
    <w:name w:val="index 3"/>
    <w:basedOn w:val="ListNumber2"/>
    <w:next w:val="Normal"/>
    <w:semiHidden/>
    <w:rsid w:val="00A31699"/>
    <w:pPr>
      <w:numPr>
        <w:numId w:val="0"/>
      </w:numPr>
      <w:tabs>
        <w:tab w:val="right" w:leader="dot" w:pos="4176"/>
      </w:tabs>
    </w:pPr>
  </w:style>
  <w:style w:type="paragraph" w:styleId="ListNumber2">
    <w:name w:val="List Number 2"/>
    <w:basedOn w:val="List2"/>
    <w:rsid w:val="00A31699"/>
    <w:pPr>
      <w:numPr>
        <w:numId w:val="10"/>
      </w:numPr>
      <w:tabs>
        <w:tab w:val="clear" w:pos="1060"/>
      </w:tabs>
    </w:pPr>
  </w:style>
  <w:style w:type="paragraph" w:customStyle="1" w:styleId="MarginNote">
    <w:name w:val="Margin Note"/>
    <w:basedOn w:val="BodyText"/>
    <w:rsid w:val="00A316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6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6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1699"/>
    <w:rPr>
      <w:sz w:val="32"/>
    </w:rPr>
  </w:style>
  <w:style w:type="paragraph" w:customStyle="1" w:styleId="HeadingProcedure">
    <w:name w:val="Heading Procedure"/>
    <w:basedOn w:val="HeadingBase"/>
    <w:next w:val="Normal"/>
    <w:rsid w:val="00A31699"/>
    <w:pPr>
      <w:tabs>
        <w:tab w:val="left" w:pos="0"/>
      </w:tabs>
      <w:spacing w:before="120" w:after="60"/>
    </w:pPr>
    <w:rPr>
      <w:i/>
      <w:color w:val="918585"/>
      <w:sz w:val="22"/>
    </w:rPr>
  </w:style>
  <w:style w:type="paragraph" w:customStyle="1" w:styleId="TableBodyText">
    <w:name w:val="Table Body Text"/>
    <w:basedOn w:val="BodyText"/>
    <w:rsid w:val="00A31699"/>
    <w:pPr>
      <w:spacing w:before="60" w:after="60"/>
    </w:pPr>
  </w:style>
  <w:style w:type="paragraph" w:styleId="ListContinue">
    <w:name w:val="List Continue"/>
    <w:basedOn w:val="List"/>
    <w:rsid w:val="00A31699"/>
    <w:pPr>
      <w:ind w:firstLine="0"/>
    </w:pPr>
  </w:style>
  <w:style w:type="paragraph" w:customStyle="1" w:styleId="ListNote">
    <w:name w:val="List Note"/>
    <w:basedOn w:val="List"/>
    <w:rsid w:val="00A31699"/>
    <w:pPr>
      <w:pBdr>
        <w:top w:val="single" w:sz="6" w:space="2" w:color="918585"/>
        <w:bottom w:val="single" w:sz="6" w:space="2" w:color="918585"/>
      </w:pBdr>
      <w:tabs>
        <w:tab w:val="left" w:pos="1021"/>
      </w:tabs>
      <w:ind w:firstLine="0"/>
    </w:pPr>
  </w:style>
  <w:style w:type="paragraph" w:customStyle="1" w:styleId="Warning">
    <w:name w:val="Warning"/>
    <w:basedOn w:val="BodyText"/>
    <w:rsid w:val="00A31699"/>
    <w:pPr>
      <w:shd w:val="clear" w:color="auto" w:fill="D9D9D9"/>
      <w:tabs>
        <w:tab w:val="left" w:pos="992"/>
      </w:tabs>
      <w:ind w:left="119" w:right="119"/>
    </w:pPr>
    <w:rPr>
      <w:sz w:val="20"/>
    </w:rPr>
  </w:style>
  <w:style w:type="paragraph" w:customStyle="1" w:styleId="MarginIcons">
    <w:name w:val="Margin Icons"/>
    <w:basedOn w:val="BodyText"/>
    <w:rsid w:val="00A316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699"/>
    <w:rPr>
      <w:rFonts w:ascii="Courier New" w:hAnsi="Courier New"/>
    </w:rPr>
  </w:style>
  <w:style w:type="paragraph" w:customStyle="1" w:styleId="NoteBullet">
    <w:name w:val="Note Bullet"/>
    <w:basedOn w:val="Note"/>
    <w:rsid w:val="00A31699"/>
    <w:pPr>
      <w:tabs>
        <w:tab w:val="clear" w:pos="680"/>
      </w:tabs>
      <w:spacing w:before="60" w:after="60"/>
    </w:pPr>
  </w:style>
  <w:style w:type="paragraph" w:customStyle="1" w:styleId="SubHeading2">
    <w:name w:val="SubHeading2"/>
    <w:basedOn w:val="HeadingBase"/>
    <w:rsid w:val="00A31699"/>
    <w:pPr>
      <w:spacing w:before="240" w:after="60"/>
    </w:pPr>
    <w:rPr>
      <w:sz w:val="20"/>
    </w:rPr>
  </w:style>
  <w:style w:type="paragraph" w:customStyle="1" w:styleId="SubHeading1">
    <w:name w:val="SubHeading1"/>
    <w:basedOn w:val="HeadingBase"/>
    <w:rsid w:val="00A31699"/>
    <w:pPr>
      <w:spacing w:before="240" w:after="60"/>
    </w:pPr>
    <w:rPr>
      <w:color w:val="918585"/>
      <w:sz w:val="22"/>
    </w:rPr>
  </w:style>
  <w:style w:type="paragraph" w:customStyle="1" w:styleId="SideHeading">
    <w:name w:val="Side Heading"/>
    <w:basedOn w:val="HeadingBase"/>
    <w:rsid w:val="00A316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699"/>
    <w:pPr>
      <w:numPr>
        <w:numId w:val="12"/>
      </w:numPr>
    </w:pPr>
  </w:style>
  <w:style w:type="paragraph" w:styleId="PlainText">
    <w:name w:val="Plain Text"/>
    <w:basedOn w:val="Normal"/>
    <w:link w:val="PlainTextChar"/>
    <w:rsid w:val="00A31699"/>
    <w:rPr>
      <w:sz w:val="20"/>
    </w:rPr>
  </w:style>
  <w:style w:type="character" w:customStyle="1" w:styleId="PlainTextChar">
    <w:name w:val="Plain Text Char"/>
    <w:basedOn w:val="DefaultParagraphFont"/>
    <w:link w:val="PlainText"/>
    <w:rsid w:val="00A31699"/>
    <w:rPr>
      <w:rFonts w:ascii="Courier New" w:eastAsia="Times New Roman" w:hAnsi="Courier New" w:cs="Times New Roman"/>
      <w:sz w:val="20"/>
      <w:szCs w:val="20"/>
      <w:lang w:eastAsia="en-US"/>
    </w:rPr>
  </w:style>
  <w:style w:type="character" w:customStyle="1" w:styleId="MenuOption">
    <w:name w:val="Menu Option"/>
    <w:basedOn w:val="DefaultParagraphFont"/>
    <w:rsid w:val="00A31699"/>
    <w:rPr>
      <w:b/>
      <w:smallCaps/>
    </w:rPr>
  </w:style>
  <w:style w:type="paragraph" w:customStyle="1" w:styleId="TableListNumber">
    <w:name w:val="Table List Number"/>
    <w:basedOn w:val="ListNumber"/>
    <w:rsid w:val="00A31699"/>
    <w:pPr>
      <w:numPr>
        <w:numId w:val="0"/>
      </w:numPr>
    </w:pPr>
  </w:style>
  <w:style w:type="paragraph" w:styleId="TOC4">
    <w:name w:val="toc 4"/>
    <w:basedOn w:val="TOCBase"/>
    <w:next w:val="Normal"/>
    <w:semiHidden/>
    <w:rsid w:val="00A31699"/>
    <w:pPr>
      <w:tabs>
        <w:tab w:val="right" w:leader="dot" w:pos="9071"/>
      </w:tabs>
      <w:ind w:left="1701"/>
    </w:pPr>
  </w:style>
  <w:style w:type="paragraph" w:customStyle="1" w:styleId="ListAlpha">
    <w:name w:val="List Alpha"/>
    <w:basedOn w:val="List"/>
    <w:rsid w:val="00A31699"/>
    <w:pPr>
      <w:numPr>
        <w:numId w:val="9"/>
      </w:numPr>
    </w:pPr>
  </w:style>
  <w:style w:type="paragraph" w:customStyle="1" w:styleId="ListAlpha2">
    <w:name w:val="List Alpha 2"/>
    <w:basedOn w:val="List2"/>
    <w:rsid w:val="00A31699"/>
    <w:pPr>
      <w:numPr>
        <w:numId w:val="8"/>
      </w:numPr>
    </w:pPr>
  </w:style>
  <w:style w:type="paragraph" w:styleId="List2">
    <w:name w:val="List 2"/>
    <w:basedOn w:val="BodyText"/>
    <w:rsid w:val="00A31699"/>
    <w:pPr>
      <w:tabs>
        <w:tab w:val="left" w:pos="680"/>
      </w:tabs>
      <w:spacing w:before="60" w:after="60"/>
      <w:ind w:left="680" w:hanging="340"/>
    </w:pPr>
  </w:style>
  <w:style w:type="paragraph" w:styleId="List3">
    <w:name w:val="List 3"/>
    <w:basedOn w:val="BodyText"/>
    <w:rsid w:val="00A31699"/>
    <w:pPr>
      <w:tabs>
        <w:tab w:val="left" w:pos="1021"/>
      </w:tabs>
      <w:spacing w:before="60" w:after="60"/>
      <w:ind w:left="1020" w:hanging="340"/>
    </w:pPr>
  </w:style>
  <w:style w:type="paragraph" w:styleId="List4">
    <w:name w:val="List 4"/>
    <w:basedOn w:val="BodyText"/>
    <w:rsid w:val="00A31699"/>
    <w:pPr>
      <w:tabs>
        <w:tab w:val="left" w:pos="1361"/>
      </w:tabs>
      <w:spacing w:before="60" w:after="60"/>
      <w:ind w:left="1361" w:hanging="340"/>
    </w:pPr>
  </w:style>
  <w:style w:type="paragraph" w:styleId="List5">
    <w:name w:val="List 5"/>
    <w:basedOn w:val="BodyText"/>
    <w:rsid w:val="00A31699"/>
    <w:pPr>
      <w:tabs>
        <w:tab w:val="left" w:pos="1701"/>
      </w:tabs>
      <w:spacing w:before="60" w:after="60"/>
      <w:ind w:left="1701" w:hanging="340"/>
    </w:pPr>
  </w:style>
  <w:style w:type="paragraph" w:styleId="ListBullet3">
    <w:name w:val="List Bullet 3"/>
    <w:basedOn w:val="List3"/>
    <w:rsid w:val="00A31699"/>
    <w:pPr>
      <w:numPr>
        <w:numId w:val="15"/>
      </w:numPr>
      <w:tabs>
        <w:tab w:val="clear" w:pos="1021"/>
      </w:tabs>
      <w:ind w:left="1037" w:hanging="357"/>
    </w:pPr>
  </w:style>
  <w:style w:type="paragraph" w:styleId="ListBullet4">
    <w:name w:val="List Bullet 4"/>
    <w:basedOn w:val="List4"/>
    <w:rsid w:val="00A31699"/>
    <w:pPr>
      <w:numPr>
        <w:numId w:val="3"/>
      </w:numPr>
    </w:pPr>
  </w:style>
  <w:style w:type="paragraph" w:styleId="ListBullet5">
    <w:name w:val="List Bullet 5"/>
    <w:basedOn w:val="List5"/>
    <w:rsid w:val="00A31699"/>
    <w:pPr>
      <w:numPr>
        <w:numId w:val="4"/>
      </w:numPr>
    </w:pPr>
  </w:style>
  <w:style w:type="paragraph" w:styleId="ListContinue2">
    <w:name w:val="List Continue 2"/>
    <w:basedOn w:val="List2"/>
    <w:rsid w:val="00A31699"/>
    <w:pPr>
      <w:ind w:firstLine="0"/>
    </w:pPr>
  </w:style>
  <w:style w:type="paragraph" w:styleId="ListContinue3">
    <w:name w:val="List Continue 3"/>
    <w:basedOn w:val="List3"/>
    <w:rsid w:val="00A31699"/>
    <w:pPr>
      <w:ind w:left="1021" w:firstLine="0"/>
    </w:pPr>
  </w:style>
  <w:style w:type="paragraph" w:styleId="ListContinue4">
    <w:name w:val="List Continue 4"/>
    <w:basedOn w:val="List4"/>
    <w:rsid w:val="00A31699"/>
    <w:pPr>
      <w:ind w:firstLine="0"/>
    </w:pPr>
  </w:style>
  <w:style w:type="paragraph" w:styleId="ListContinue5">
    <w:name w:val="List Continue 5"/>
    <w:basedOn w:val="List5"/>
    <w:rsid w:val="00A31699"/>
    <w:pPr>
      <w:ind w:firstLine="0"/>
    </w:pPr>
  </w:style>
  <w:style w:type="paragraph" w:styleId="ListNumber3">
    <w:name w:val="List Number 3"/>
    <w:basedOn w:val="List3"/>
    <w:rsid w:val="00A31699"/>
    <w:pPr>
      <w:numPr>
        <w:numId w:val="5"/>
      </w:numPr>
    </w:pPr>
  </w:style>
  <w:style w:type="paragraph" w:styleId="ListNumber4">
    <w:name w:val="List Number 4"/>
    <w:basedOn w:val="List4"/>
    <w:rsid w:val="00A31699"/>
    <w:pPr>
      <w:numPr>
        <w:numId w:val="6"/>
      </w:numPr>
    </w:pPr>
  </w:style>
  <w:style w:type="paragraph" w:styleId="ListNumber5">
    <w:name w:val="List Number 5"/>
    <w:basedOn w:val="List5"/>
    <w:rsid w:val="00A31699"/>
    <w:pPr>
      <w:numPr>
        <w:numId w:val="7"/>
      </w:numPr>
    </w:pPr>
  </w:style>
  <w:style w:type="paragraph" w:styleId="BlockText">
    <w:name w:val="Block Text"/>
    <w:basedOn w:val="Normal"/>
    <w:rsid w:val="00A31699"/>
    <w:pPr>
      <w:spacing w:after="120"/>
      <w:ind w:left="1440" w:right="1440"/>
    </w:pPr>
  </w:style>
  <w:style w:type="character" w:customStyle="1" w:styleId="Subscript">
    <w:name w:val="Subscript"/>
    <w:basedOn w:val="DefaultParagraphFont"/>
    <w:rsid w:val="00A31699"/>
    <w:rPr>
      <w:sz w:val="16"/>
      <w:vertAlign w:val="subscript"/>
    </w:rPr>
  </w:style>
  <w:style w:type="character" w:customStyle="1" w:styleId="Superscript">
    <w:name w:val="Superscript"/>
    <w:basedOn w:val="DefaultParagraphFont"/>
    <w:rsid w:val="00A31699"/>
    <w:rPr>
      <w:sz w:val="16"/>
      <w:vertAlign w:val="superscript"/>
    </w:rPr>
  </w:style>
  <w:style w:type="character" w:customStyle="1" w:styleId="Symbols">
    <w:name w:val="Symbols"/>
    <w:basedOn w:val="DefaultParagraphFont"/>
    <w:rsid w:val="00A31699"/>
    <w:rPr>
      <w:rFonts w:ascii="Symbol" w:hAnsi="Symbol"/>
    </w:rPr>
  </w:style>
  <w:style w:type="character" w:customStyle="1" w:styleId="MenuOptions">
    <w:name w:val="Menu Options"/>
    <w:basedOn w:val="DefaultParagraphFont"/>
    <w:rsid w:val="00A31699"/>
    <w:rPr>
      <w:rFonts w:ascii="Arial Narrow" w:hAnsi="Arial Narrow"/>
      <w:smallCaps/>
    </w:rPr>
  </w:style>
  <w:style w:type="character" w:customStyle="1" w:styleId="Buttons">
    <w:name w:val="Buttons"/>
    <w:basedOn w:val="DefaultParagraphFont"/>
    <w:rsid w:val="00A31699"/>
    <w:rPr>
      <w:b/>
    </w:rPr>
  </w:style>
  <w:style w:type="character" w:customStyle="1" w:styleId="Underlined">
    <w:name w:val="Underlined"/>
    <w:basedOn w:val="DefaultParagraphFont"/>
    <w:rsid w:val="00A31699"/>
    <w:rPr>
      <w:u w:val="single"/>
    </w:rPr>
  </w:style>
  <w:style w:type="paragraph" w:customStyle="1" w:styleId="TableBodyTextRight">
    <w:name w:val="Table Body Text Right"/>
    <w:basedOn w:val="TableBodyText"/>
    <w:rsid w:val="00A31699"/>
    <w:pPr>
      <w:widowControl w:val="0"/>
      <w:autoSpaceDE w:val="0"/>
      <w:autoSpaceDN w:val="0"/>
      <w:adjustRightInd w:val="0"/>
      <w:jc w:val="right"/>
    </w:pPr>
    <w:rPr>
      <w:rFonts w:cs="Arial"/>
      <w:szCs w:val="18"/>
    </w:rPr>
  </w:style>
  <w:style w:type="paragraph" w:customStyle="1" w:styleId="CopyrightText">
    <w:name w:val="Copyright Text"/>
    <w:basedOn w:val="BodyText"/>
    <w:rsid w:val="00A31699"/>
    <w:rPr>
      <w:sz w:val="18"/>
    </w:rPr>
  </w:style>
  <w:style w:type="paragraph" w:customStyle="1" w:styleId="BodySmallRight">
    <w:name w:val="Body Small Right"/>
    <w:basedOn w:val="BodyTextRight"/>
    <w:rsid w:val="00A31699"/>
    <w:rPr>
      <w:sz w:val="18"/>
      <w:szCs w:val="18"/>
    </w:rPr>
  </w:style>
  <w:style w:type="paragraph" w:customStyle="1" w:styleId="MarginEdition">
    <w:name w:val="Margin Edition"/>
    <w:basedOn w:val="MarginNote"/>
    <w:rsid w:val="00A31699"/>
    <w:pPr>
      <w:spacing w:before="0" w:after="0"/>
    </w:pPr>
    <w:rPr>
      <w:rFonts w:ascii="Times New Roman" w:hAnsi="Times New Roman"/>
      <w:color w:val="999999"/>
    </w:rPr>
  </w:style>
  <w:style w:type="paragraph" w:customStyle="1" w:styleId="Spacer">
    <w:name w:val="Spacer"/>
    <w:basedOn w:val="Normal"/>
    <w:rsid w:val="00A31699"/>
    <w:rPr>
      <w:sz w:val="2"/>
      <w:szCs w:val="2"/>
    </w:rPr>
  </w:style>
  <w:style w:type="character" w:customStyle="1" w:styleId="Small">
    <w:name w:val="Small"/>
    <w:basedOn w:val="DefaultParagraphFont"/>
    <w:rsid w:val="00A31699"/>
    <w:rPr>
      <w:sz w:val="16"/>
    </w:rPr>
  </w:style>
  <w:style w:type="paragraph" w:customStyle="1" w:styleId="WideTable">
    <w:name w:val="Wide Table"/>
    <w:basedOn w:val="Normal"/>
    <w:rsid w:val="00A31699"/>
    <w:pPr>
      <w:ind w:left="-1418"/>
    </w:pPr>
    <w:rPr>
      <w:sz w:val="2"/>
      <w:szCs w:val="2"/>
    </w:rPr>
  </w:style>
  <w:style w:type="character" w:styleId="PageNumber">
    <w:name w:val="page number"/>
    <w:basedOn w:val="DefaultParagraphFont"/>
    <w:rsid w:val="00A31699"/>
  </w:style>
  <w:style w:type="paragraph" w:styleId="Quote">
    <w:name w:val="Quote"/>
    <w:basedOn w:val="Heading1"/>
    <w:link w:val="QuoteChar"/>
    <w:qFormat/>
    <w:rsid w:val="00A31699"/>
    <w:rPr>
      <w:b w:val="0"/>
      <w:sz w:val="72"/>
      <w:szCs w:val="72"/>
      <w:lang w:val="en-NZ"/>
    </w:rPr>
  </w:style>
  <w:style w:type="character" w:customStyle="1" w:styleId="QuoteChar">
    <w:name w:val="Quote Char"/>
    <w:basedOn w:val="DefaultParagraphFont"/>
    <w:link w:val="Quote"/>
    <w:rsid w:val="00A316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699"/>
    <w:pPr>
      <w:pageBreakBefore/>
    </w:pPr>
  </w:style>
  <w:style w:type="paragraph" w:customStyle="1" w:styleId="Border">
    <w:name w:val="Border"/>
    <w:basedOn w:val="Normal"/>
    <w:qFormat/>
    <w:rsid w:val="00A316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699"/>
    <w:rPr>
      <w:b/>
      <w:bCs/>
      <w:i/>
      <w:iCs/>
      <w:color w:val="auto"/>
    </w:rPr>
  </w:style>
  <w:style w:type="paragraph" w:styleId="IntenseQuote">
    <w:name w:val="Intense Quote"/>
    <w:basedOn w:val="Normal"/>
    <w:next w:val="Normal"/>
    <w:link w:val="IntenseQuoteChar"/>
    <w:uiPriority w:val="30"/>
    <w:qFormat/>
    <w:rsid w:val="00A316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6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1699"/>
    <w:rPr>
      <w:smallCaps/>
      <w:color w:val="auto"/>
      <w:u w:val="single"/>
    </w:rPr>
  </w:style>
  <w:style w:type="character" w:styleId="IntenseReference">
    <w:name w:val="Intense Reference"/>
    <w:basedOn w:val="DefaultParagraphFont"/>
    <w:uiPriority w:val="32"/>
    <w:qFormat/>
    <w:rsid w:val="00A31699"/>
    <w:rPr>
      <w:b/>
      <w:bCs/>
      <w:smallCaps/>
      <w:color w:val="auto"/>
      <w:spacing w:val="5"/>
      <w:u w:val="single"/>
    </w:rPr>
  </w:style>
  <w:style w:type="paragraph" w:customStyle="1" w:styleId="2ColumnHeading">
    <w:name w:val="2Column Heading"/>
    <w:basedOn w:val="BodyText"/>
    <w:qFormat/>
    <w:rsid w:val="00A31699"/>
    <w:pPr>
      <w:spacing w:after="60"/>
      <w:ind w:left="-2268"/>
    </w:pPr>
    <w:rPr>
      <w:b/>
    </w:rPr>
  </w:style>
  <w:style w:type="paragraph" w:customStyle="1" w:styleId="Heading1TOC">
    <w:name w:val="Heading1 TOC"/>
    <w:basedOn w:val="Normal"/>
    <w:qFormat/>
    <w:rsid w:val="00A31699"/>
    <w:pPr>
      <w:spacing w:before="240" w:after="120"/>
    </w:pPr>
    <w:rPr>
      <w:rFonts w:ascii="Times New Roman" w:hAnsi="Times New Roman"/>
      <w:b/>
      <w:sz w:val="32"/>
    </w:rPr>
  </w:style>
  <w:style w:type="paragraph" w:customStyle="1" w:styleId="Heading2TOC">
    <w:name w:val="Heading2 TOC"/>
    <w:basedOn w:val="Normal"/>
    <w:qFormat/>
    <w:rsid w:val="00A31699"/>
    <w:pPr>
      <w:spacing w:before="240" w:after="60"/>
    </w:pPr>
    <w:rPr>
      <w:rFonts w:ascii="Times New Roman" w:hAnsi="Times New Roman"/>
      <w:b/>
      <w:sz w:val="28"/>
    </w:rPr>
  </w:style>
  <w:style w:type="paragraph" w:styleId="BalloonText">
    <w:name w:val="Balloon Text"/>
    <w:basedOn w:val="Normal"/>
    <w:link w:val="BalloonTextChar"/>
    <w:rsid w:val="00A31699"/>
    <w:rPr>
      <w:rFonts w:ascii="Tahoma" w:hAnsi="Tahoma" w:cs="Tahoma"/>
      <w:sz w:val="16"/>
      <w:szCs w:val="16"/>
    </w:rPr>
  </w:style>
  <w:style w:type="character" w:customStyle="1" w:styleId="BalloonTextChar">
    <w:name w:val="Balloon Text Char"/>
    <w:basedOn w:val="DefaultParagraphFont"/>
    <w:link w:val="BalloonText"/>
    <w:rsid w:val="00A316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16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16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1699"/>
    <w:rPr>
      <w:b/>
      <w:color w:val="660033"/>
      <w:spacing w:val="0"/>
    </w:rPr>
  </w:style>
  <w:style w:type="paragraph" w:customStyle="1" w:styleId="Nameditemlist">
    <w:name w:val="Named item list"/>
    <w:basedOn w:val="BodyText"/>
    <w:qFormat/>
    <w:rsid w:val="00A316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1415</Words>
  <Characters>8784</Characters>
  <Application>Microsoft Office Word</Application>
  <DocSecurity>0</DocSecurity>
  <Lines>265</Lines>
  <Paragraphs>161</Paragraphs>
  <ScaleCrop>false</ScaleCrop>
  <Company>Author-it Software Corporation Ltd.</Company>
  <LinksUpToDate>false</LinksUpToDate>
  <CharactersWithSpaces>10132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PSPFRAU401B Monitor data for indicators of fraud</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2012-11-01T17:21:00Z</dcterms:created>
  <dcterms:modified xsi:type="dcterms:W3CDTF">2012-11-01T17:21:00Z</dcterms:modified>
</cp:coreProperties>
</file>