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825" w:rsidP="00D74825">
      <w:pPr>
        <w:pStyle w:val="Title"/>
      </w:pPr>
      <w:r>
        <w:fldChar w:fldCharType="begin"/>
      </w:r>
      <w:r>
        <w:instrText xml:space="preserve"> TITLE   \* MERGEFORMAT </w:instrText>
      </w:r>
      <w:r>
        <w:fldChar w:fldCharType="separate"/>
      </w:r>
      <w:r>
        <w:t>PSPFIN601A Apply complex public sector financial requirements</w:t>
      </w:r>
      <w:r>
        <w:fldChar w:fldCharType="end"/>
      </w:r>
    </w:p>
    <w:p w:rsidR="00D74825" w:rsidP="00D74825">
      <w:pPr>
        <w:pStyle w:val="Version"/>
        <w:sectPr w:rsidSect="00FB6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B66FA" w:rsidP="00FB66FA">
      <w:pPr>
        <w:pStyle w:val="SuperHeading"/>
      </w:pPr>
      <w:r w:rsidRPr="00FB66FA">
        <w:t>PSPFIN601A Apply complex public sector financial requirements</w:t>
      </w:r>
    </w:p>
    <w:p w:rsidR="00000000" w:rsidRPr="00FB66FA" w:rsidP="00FB66FA">
      <w:pPr>
        <w:pStyle w:val="SuperHeading"/>
      </w:pPr>
    </w:p>
    <w:p w:rsidR="00000000" w:rsidRPr="00FB66FA" w:rsidP="00FB66FA">
      <w:pPr>
        <w:pStyle w:val="Heading1"/>
      </w:pPr>
      <w:bookmarkStart w:id="1" w:name="O_494987"/>
      <w:bookmarkEnd w:id="1"/>
      <w:r w:rsidRPr="00FB66FA">
        <w:t>Modification History</w:t>
      </w:r>
    </w:p>
    <w:tbl>
      <w:tblPr>
        <w:tblW w:w="0" w:type="auto"/>
        <w:tblLayout w:type="fixed"/>
        <w:tblCellMar>
          <w:left w:w="62" w:type="dxa"/>
          <w:right w:w="62" w:type="dxa"/>
        </w:tblCellMar>
        <w:tblLook w:val="0000"/>
      </w:tblPr>
      <w:tblGrid>
        <w:gridCol w:w="3052"/>
        <w:gridCol w:w="3052"/>
        <w:gridCol w:w="3052"/>
      </w:tblGrid>
      <w:tr w:rsidTr="00D7482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BodyText"/>
            </w:pPr>
            <w:r w:rsidRPr="00FB66F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BodyText"/>
            </w:pPr>
            <w:r w:rsidRPr="00FB66F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rPr>
                <w:rStyle w:val="SpecialBold"/>
              </w:rPr>
              <w:t>Comments</w:t>
            </w:r>
          </w:p>
        </w:tc>
      </w:tr>
      <w:tr w:rsidTr="00D7482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 xml:space="preserve">Unit descriptor edited. </w:t>
            </w:r>
          </w:p>
        </w:tc>
      </w:tr>
      <w:tr w:rsidTr="00D7482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Layout adjusted. No changes to content.</w:t>
            </w:r>
          </w:p>
        </w:tc>
      </w:tr>
      <w:tr w:rsidTr="00D7482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BodyText"/>
            </w:pPr>
            <w:r w:rsidRPr="00FB66FA">
              <w:t>Primary release.</w:t>
            </w:r>
          </w:p>
        </w:tc>
      </w:tr>
    </w:tbl>
    <w:p w:rsidR="00D74825" w:rsidP="00FB66FA">
      <w:pPr>
        <w:pStyle w:val="BodyText"/>
      </w:pPr>
    </w:p>
    <w:p w:rsidR="00D74825" w:rsidP="00FB66FA">
      <w:pPr>
        <w:pStyle w:val="BodyText"/>
      </w:pPr>
    </w:p>
    <w:p w:rsidR="00000000" w:rsidRPr="00FB66FA" w:rsidP="00FB66FA">
      <w:pPr>
        <w:pStyle w:val="Heading1"/>
      </w:pPr>
      <w:bookmarkStart w:id="2" w:name="O_494990"/>
      <w:bookmarkEnd w:id="2"/>
      <w:r w:rsidRPr="00FB66FA">
        <w:t>Unit Descriptor</w:t>
      </w:r>
    </w:p>
    <w:p w:rsidR="00000000" w:rsidRPr="00FB66FA" w:rsidP="00FB66FA">
      <w:pPr>
        <w:pStyle w:val="BodyText"/>
      </w:pPr>
      <w:r w:rsidRPr="00FB66FA">
        <w:t>This unit covers interpretation of complex financial policies and procedures and provision of advice on complex financial issues. It i</w:t>
      </w:r>
      <w:r w:rsidRPr="00FB66FA">
        <w:t>ncludes intimate, high-level knowledge of the public sector financial management compliance framework, external requirements, industry and accounting standards and the application of these to work in a specialist finance role in the public sector. It inclu</w:t>
      </w:r>
      <w:r w:rsidRPr="00FB66FA">
        <w:t>des interpreting and applying complex public sector financial requirements, establishing and applying internal financial controls, and formulating/maintaining financial policy.</w:t>
      </w:r>
    </w:p>
    <w:p w:rsidR="00000000" w:rsidRPr="00FB66FA" w:rsidP="00FB66FA">
      <w:pPr>
        <w:pStyle w:val="BodyText"/>
      </w:pPr>
      <w:r w:rsidRPr="00FB66FA">
        <w:t>In practice, the application of complex public sector financial requirements oc</w:t>
      </w:r>
      <w:r w:rsidRPr="00FB66FA">
        <w:t>curs in the context of other generalist or specialist work activities such as managing resources, managing risk, formulating business strategies etc.</w:t>
      </w:r>
    </w:p>
    <w:p w:rsidR="00000000" w:rsidRPr="00FB66FA" w:rsidP="00FB66FA">
      <w:pPr>
        <w:pStyle w:val="BodyText"/>
      </w:pPr>
      <w:r w:rsidRPr="00FB66FA">
        <w:t>No licensing, legislative, regulatory or certification requirements apply to this unit at the time of publ</w:t>
      </w:r>
      <w:r w:rsidRPr="00FB66FA">
        <w:t>ication</w:t>
      </w:r>
    </w:p>
    <w:p w:rsidR="00000000" w:rsidRPr="00FB66FA" w:rsidP="00FB66FA">
      <w:pPr>
        <w:pStyle w:val="AllowPageBreak"/>
      </w:pPr>
    </w:p>
    <w:p w:rsidR="00000000" w:rsidRPr="00FB66FA" w:rsidP="00FB66FA">
      <w:pPr>
        <w:pStyle w:val="Heading1"/>
      </w:pPr>
      <w:bookmarkStart w:id="3" w:name="O_494998"/>
      <w:bookmarkEnd w:id="3"/>
      <w:r w:rsidRPr="00FB66FA">
        <w:t>Application of the Unit</w:t>
      </w:r>
    </w:p>
    <w:p w:rsidR="00000000" w:rsidRPr="00FB66FA" w:rsidP="00FB66FA">
      <w:pPr>
        <w:pStyle w:val="BodyText"/>
      </w:pPr>
      <w:r w:rsidRPr="00FB66FA">
        <w:t>Not applicable.</w:t>
      </w:r>
    </w:p>
    <w:p w:rsidR="00000000" w:rsidRPr="00FB66FA" w:rsidP="00FB66FA">
      <w:pPr>
        <w:pStyle w:val="AllowPageBreak"/>
      </w:pPr>
    </w:p>
    <w:p w:rsidR="00000000" w:rsidRPr="00FB66FA" w:rsidP="00FB66FA">
      <w:pPr>
        <w:pStyle w:val="Heading1"/>
      </w:pPr>
      <w:bookmarkStart w:id="4" w:name="O_494993"/>
      <w:bookmarkEnd w:id="4"/>
      <w:r w:rsidRPr="00FB66FA">
        <w:t>Licensing/Regulatory Information</w:t>
      </w:r>
    </w:p>
    <w:p w:rsidR="00000000" w:rsidRPr="00FB66FA" w:rsidP="00FB66FA">
      <w:pPr>
        <w:pStyle w:val="BodyText"/>
      </w:pPr>
      <w:r w:rsidRPr="00FB66FA">
        <w:t>Not applicable.</w:t>
      </w:r>
    </w:p>
    <w:p w:rsidR="00000000" w:rsidRPr="00FB66FA" w:rsidP="00FB66FA">
      <w:pPr>
        <w:pStyle w:val="AllowPageBreak"/>
      </w:pPr>
    </w:p>
    <w:p w:rsidR="00000000" w:rsidRPr="00FB66FA" w:rsidP="00FB66FA">
      <w:pPr>
        <w:pStyle w:val="Heading1"/>
      </w:pPr>
      <w:bookmarkStart w:id="5" w:name="O_494985"/>
      <w:bookmarkEnd w:id="5"/>
      <w:r w:rsidRPr="00FB66FA">
        <w:t>Pre-Requisites</w:t>
      </w:r>
    </w:p>
    <w:p w:rsidR="00000000" w:rsidRPr="00FB66FA" w:rsidP="00FB66FA">
      <w:pPr>
        <w:pStyle w:val="BodyText"/>
      </w:pPr>
      <w:r w:rsidRPr="00FB66FA">
        <w:t>Not applicable.</w:t>
      </w:r>
    </w:p>
    <w:p w:rsidR="00000000" w:rsidRPr="00FB66FA" w:rsidP="00FB66FA">
      <w:pPr>
        <w:pStyle w:val="AllowPageBreak"/>
      </w:pPr>
    </w:p>
    <w:p w:rsidR="00000000" w:rsidRPr="00FB66FA" w:rsidP="00FB66FA">
      <w:pPr>
        <w:pStyle w:val="Heading1"/>
      </w:pPr>
      <w:bookmarkStart w:id="6" w:name="O_494994"/>
      <w:bookmarkEnd w:id="6"/>
      <w:r w:rsidRPr="00FB66FA">
        <w:t>Employability Skills Information</w:t>
      </w:r>
    </w:p>
    <w:p w:rsidR="00000000" w:rsidRPr="00FB66FA" w:rsidP="00FB66FA">
      <w:pPr>
        <w:pStyle w:val="BodyText"/>
      </w:pPr>
      <w:r w:rsidRPr="00FB66FA">
        <w:t>This unit contains employability skills.</w:t>
      </w:r>
    </w:p>
    <w:p w:rsidR="00000000" w:rsidRPr="00FB66FA" w:rsidP="00FB66FA">
      <w:pPr>
        <w:pStyle w:val="AllowPageBreak"/>
      </w:pPr>
    </w:p>
    <w:p w:rsidR="00000000" w:rsidRPr="00FB66FA" w:rsidP="00FB66FA">
      <w:pPr>
        <w:pStyle w:val="Heading1"/>
      </w:pPr>
      <w:bookmarkStart w:id="7" w:name="O_494995"/>
      <w:bookmarkEnd w:id="7"/>
      <w:r w:rsidRPr="00FB66FA">
        <w:t>Elements and Performance Criteria Pre-Content</w:t>
      </w:r>
    </w:p>
    <w:tbl>
      <w:tblPr>
        <w:tblW w:w="9322" w:type="dxa"/>
        <w:tblLayout w:type="fixed"/>
        <w:tblCellMar>
          <w:left w:w="62" w:type="dxa"/>
          <w:right w:w="62" w:type="dxa"/>
        </w:tblCellMar>
        <w:tblLook w:val="0000"/>
      </w:tblPr>
      <w:tblGrid>
        <w:gridCol w:w="2660"/>
        <w:gridCol w:w="6662"/>
      </w:tblGrid>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t>Together, performance criteria specify the requirements for competent performance. Text i</w:t>
            </w:r>
            <w:r w:rsidRPr="00FB66FA">
              <w:t xml:space="preserve">n </w:t>
            </w:r>
            <w:r w:rsidRPr="00FB66FA">
              <w:rPr>
                <w:rStyle w:val="BoldandItalics"/>
              </w:rPr>
              <w:t>bold italics</w:t>
            </w:r>
            <w:r w:rsidRPr="00FB66FA">
              <w:t xml:space="preserve">  is explained in the Range Statement following.</w:t>
            </w:r>
          </w:p>
        </w:tc>
      </w:tr>
    </w:tbl>
    <w:p w:rsidR="00000000" w:rsidRPr="00FB66FA" w:rsidP="00FB66FA">
      <w:pPr>
        <w:pStyle w:val="BodyText"/>
      </w:pPr>
    </w:p>
    <w:p w:rsidR="00000000" w:rsidRPr="00FB66FA" w:rsidP="00FB66FA">
      <w:pPr>
        <w:pStyle w:val="AllowPageBreak"/>
      </w:pPr>
    </w:p>
    <w:p w:rsidR="00000000" w:rsidRPr="00FB66FA" w:rsidP="00FB66FA">
      <w:pPr>
        <w:pStyle w:val="Heading1"/>
      </w:pPr>
      <w:bookmarkStart w:id="8" w:name="O_494996"/>
      <w:bookmarkEnd w:id="8"/>
      <w:r w:rsidRPr="00FB66FA">
        <w:t>Elements and Performance Criteria</w:t>
      </w:r>
    </w:p>
    <w:tbl>
      <w:tblPr>
        <w:tblW w:w="9322" w:type="dxa"/>
        <w:tblLayout w:type="fixed"/>
        <w:tblCellMar>
          <w:left w:w="62" w:type="dxa"/>
          <w:right w:w="62" w:type="dxa"/>
        </w:tblCellMar>
        <w:tblLook w:val="0000"/>
      </w:tblPr>
      <w:tblGrid>
        <w:gridCol w:w="2660"/>
        <w:gridCol w:w="6662"/>
      </w:tblGrid>
      <w:tr w:rsidTr="00D7482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rPr>
                <w:rStyle w:val="SpecialBold"/>
              </w:rPr>
              <w:t>PERFORMANCE CRITERIA</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List"/>
              <w:rPr>
                <w:lang w:val="en-NZ"/>
              </w:rPr>
            </w:pPr>
            <w:r w:rsidRPr="00FB66FA">
              <w:rPr>
                <w:rStyle w:val="SpecialBold"/>
              </w:rPr>
              <w:t>1</w:t>
            </w:r>
            <w:r w:rsidRPr="00FB66FA">
              <w:t xml:space="preserve">.  </w:t>
            </w:r>
            <w:r w:rsidRPr="00FB66FA">
              <w:tab/>
            </w:r>
            <w:r w:rsidRPr="00FB66FA">
              <w:rPr>
                <w:rStyle w:val="SpecialBold"/>
              </w:rPr>
              <w:t>Interpret and apply complex public sector financial requirements</w:t>
            </w:r>
            <w:r w:rsidRPr="00FB66FA">
              <w:t xml:space="preserve"> </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List"/>
            </w:pPr>
            <w:r w:rsidRPr="00FB66FA">
              <w:t>1.1</w:t>
            </w:r>
            <w:r w:rsidRPr="00FB66FA">
              <w:tab/>
            </w:r>
            <w:r w:rsidRPr="00FB66FA">
              <w:t>Public sector financial requirements are identified in accordance with legislation, policy and instructions.</w:t>
            </w:r>
          </w:p>
          <w:p w:rsidR="00000000" w:rsidRPr="00FB66FA" w:rsidP="00FB66FA">
            <w:pPr>
              <w:pStyle w:val="List"/>
            </w:pPr>
            <w:r w:rsidRPr="00FB66FA">
              <w:t>1.2</w:t>
            </w:r>
            <w:r w:rsidRPr="00FB66FA">
              <w:tab/>
            </w:r>
            <w:r w:rsidRPr="00FB66FA">
              <w:rPr>
                <w:rStyle w:val="BoldandItalics"/>
              </w:rPr>
              <w:t xml:space="preserve">Public sector financial management compliance framework </w:t>
            </w:r>
            <w:r w:rsidRPr="00FB66FA">
              <w:t>hierarchy is interpreted and explained to others in accordance with their needs, to ens</w:t>
            </w:r>
            <w:r w:rsidRPr="00FB66FA">
              <w:t>ure the organisation's compliance with the framework's requirements.</w:t>
            </w:r>
          </w:p>
          <w:p w:rsidR="00000000" w:rsidRPr="00FB66FA" w:rsidP="00FB66FA">
            <w:pPr>
              <w:pStyle w:val="List"/>
            </w:pPr>
            <w:r w:rsidRPr="00FB66FA">
              <w:t>1.3</w:t>
            </w:r>
            <w:r w:rsidRPr="00FB66FA">
              <w:tab/>
              <w:t>Advice regarding interpretation of</w:t>
            </w:r>
            <w:r w:rsidRPr="00FB66FA">
              <w:rPr>
                <w:rStyle w:val="BoldandItalics"/>
              </w:rPr>
              <w:t xml:space="preserve"> public sector financial policies and procedures </w:t>
            </w:r>
            <w:r w:rsidRPr="00FB66FA">
              <w:t>and accounting standards is provided in accordance with organisational requirements.</w:t>
            </w:r>
          </w:p>
          <w:p w:rsidR="00000000" w:rsidRPr="00FB66FA" w:rsidP="00FB66FA">
            <w:pPr>
              <w:pStyle w:val="List"/>
            </w:pPr>
            <w:r w:rsidRPr="00FB66FA">
              <w:t>1.4</w:t>
            </w:r>
            <w:r w:rsidRPr="00FB66FA">
              <w:tab/>
              <w:t>Information</w:t>
            </w:r>
            <w:r w:rsidRPr="00FB66FA">
              <w:t xml:space="preserve"> on the organisation's financial controls and accountabilities is interpreted and provided to management and staff in accordance with organisational requirements.</w:t>
            </w:r>
          </w:p>
          <w:p w:rsidR="00000000" w:rsidP="00FB66FA">
            <w:pPr>
              <w:pStyle w:val="List"/>
              <w:rPr>
                <w:lang w:val="en-NZ"/>
              </w:rPr>
            </w:pPr>
            <w:r w:rsidRPr="00FB66FA">
              <w:t>1.5</w:t>
            </w:r>
            <w:r w:rsidRPr="00FB66FA">
              <w:tab/>
              <w:t>Business solutions are developed/refined for the organisation in accordance with financia</w:t>
            </w:r>
            <w:r w:rsidRPr="00FB66FA">
              <w:t>l management standards and public sector financial policies and procedures.</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List"/>
              <w:rPr>
                <w:lang w:val="en-NZ"/>
              </w:rPr>
            </w:pPr>
            <w:r w:rsidRPr="00FB66FA">
              <w:rPr>
                <w:rStyle w:val="SpecialBold"/>
              </w:rPr>
              <w:t>2</w:t>
            </w:r>
            <w:r w:rsidRPr="00FB66FA">
              <w:t xml:space="preserve">.  </w:t>
            </w:r>
            <w:r w:rsidRPr="00FB66FA">
              <w:tab/>
            </w:r>
            <w:r w:rsidRPr="00FB66FA">
              <w:rPr>
                <w:rStyle w:val="SpecialBold"/>
              </w:rPr>
              <w:t>Establish and apply internal financial controls</w:t>
            </w:r>
            <w:r w:rsidRPr="00FB66FA">
              <w:t xml:space="preserve"> </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List"/>
            </w:pPr>
            <w:r w:rsidRPr="00FB66FA">
              <w:t>2.1</w:t>
            </w:r>
            <w:r w:rsidRPr="00FB66FA">
              <w:tab/>
              <w:t xml:space="preserve">Current </w:t>
            </w:r>
            <w:r w:rsidRPr="00FB66FA">
              <w:rPr>
                <w:rStyle w:val="BoldandItalics"/>
              </w:rPr>
              <w:t xml:space="preserve">internal controls </w:t>
            </w:r>
            <w:r w:rsidRPr="00FB66FA">
              <w:t>are analysed for improvement and revised or replaced in accordance with organisational requirem</w:t>
            </w:r>
            <w:r w:rsidRPr="00FB66FA">
              <w:t>ents.</w:t>
            </w:r>
          </w:p>
          <w:p w:rsidR="00000000" w:rsidRPr="00FB66FA" w:rsidP="00FB66FA">
            <w:pPr>
              <w:pStyle w:val="List"/>
            </w:pPr>
            <w:r w:rsidRPr="00FB66FA">
              <w:t>2.2</w:t>
            </w:r>
            <w:r w:rsidRPr="00FB66FA">
              <w:tab/>
              <w:t xml:space="preserve">Controls are reviewed to ensure these include effective </w:t>
            </w:r>
            <w:r w:rsidRPr="00FB66FA">
              <w:rPr>
                <w:rStyle w:val="BoldandItalics"/>
              </w:rPr>
              <w:t xml:space="preserve">delegation </w:t>
            </w:r>
            <w:r w:rsidRPr="00FB66FA">
              <w:t>levels, lines of responsibility, and associated accountabilities.</w:t>
            </w:r>
          </w:p>
          <w:p w:rsidR="00000000" w:rsidRPr="00FB66FA" w:rsidP="00FB66FA">
            <w:pPr>
              <w:pStyle w:val="List"/>
            </w:pPr>
            <w:r w:rsidRPr="00FB66FA">
              <w:t>2.3</w:t>
            </w:r>
            <w:r w:rsidRPr="00FB66FA">
              <w:tab/>
              <w:t>Controls are checked for consistency with government policy and organisational structure.</w:t>
            </w:r>
          </w:p>
          <w:p w:rsidR="00000000" w:rsidP="00FB66FA">
            <w:pPr>
              <w:pStyle w:val="List"/>
              <w:rPr>
                <w:lang w:val="en-NZ"/>
              </w:rPr>
            </w:pPr>
            <w:r w:rsidRPr="00FB66FA">
              <w:t>2.4</w:t>
            </w:r>
            <w:r w:rsidRPr="00FB66FA">
              <w:tab/>
              <w:t>Systems and sur</w:t>
            </w:r>
            <w:r w:rsidRPr="00FB66FA">
              <w:t xml:space="preserve">rounding control procedures are implemented, </w:t>
            </w:r>
            <w:r w:rsidRPr="00FB66FA">
              <w:rPr>
                <w:rStyle w:val="BoldandItalics"/>
              </w:rPr>
              <w:t xml:space="preserve">documented </w:t>
            </w:r>
            <w:r w:rsidRPr="00FB66FA">
              <w:t>and made accessible in accordance with organisational policy and procedures.</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List"/>
              <w:rPr>
                <w:lang w:val="en-NZ"/>
              </w:rPr>
            </w:pPr>
            <w:r w:rsidRPr="00FB66FA">
              <w:rPr>
                <w:rStyle w:val="SpecialBold"/>
              </w:rPr>
              <w:t>3</w:t>
            </w:r>
            <w:r w:rsidRPr="00FB66FA">
              <w:t xml:space="preserve">.  </w:t>
            </w:r>
            <w:r w:rsidRPr="00FB66FA">
              <w:tab/>
            </w:r>
            <w:r w:rsidRPr="00FB66FA">
              <w:rPr>
                <w:rStyle w:val="SpecialBold"/>
              </w:rPr>
              <w:t>Formulate and maintain financial policy and procedures</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List"/>
            </w:pPr>
            <w:r w:rsidRPr="00FB66FA">
              <w:t>3.1</w:t>
            </w:r>
            <w:r w:rsidRPr="00FB66FA">
              <w:tab/>
            </w:r>
            <w:r w:rsidRPr="00FB66FA">
              <w:t>Public sector financial policies and procedures are interpreted and advice is provided on the implications for the organisation's financial policy and procedures.</w:t>
            </w:r>
          </w:p>
          <w:p w:rsidR="00000000" w:rsidRPr="00FB66FA" w:rsidP="00FB66FA">
            <w:pPr>
              <w:pStyle w:val="List"/>
            </w:pPr>
            <w:r w:rsidRPr="00FB66FA">
              <w:t>3.2</w:t>
            </w:r>
            <w:r w:rsidRPr="00FB66FA">
              <w:tab/>
              <w:t xml:space="preserve">Organisational financial policy and procedures are developed/approved in accordance with </w:t>
            </w:r>
            <w:r w:rsidRPr="00FB66FA">
              <w:t>organisational requirements and government policy.</w:t>
            </w:r>
          </w:p>
          <w:p w:rsidR="00000000" w:rsidRPr="00FB66FA" w:rsidP="00FB66FA">
            <w:pPr>
              <w:pStyle w:val="List"/>
            </w:pPr>
            <w:r w:rsidRPr="00FB66FA">
              <w:t>3.3</w:t>
            </w:r>
            <w:r w:rsidRPr="00FB66FA">
              <w:tab/>
              <w:t>Input is provided to inter-departmental accounting groups responsible for policy development in accordance with organisational requirements to maintain and improve financial policy outcomes.</w:t>
            </w:r>
          </w:p>
          <w:p w:rsidR="00000000" w:rsidRPr="00FB66FA" w:rsidP="00FB66FA">
            <w:pPr>
              <w:pStyle w:val="List"/>
            </w:pPr>
            <w:r w:rsidRPr="00FB66FA">
              <w:t>3.4</w:t>
            </w:r>
            <w:r w:rsidRPr="00FB66FA">
              <w:tab/>
              <w:t>Polici</w:t>
            </w:r>
            <w:r w:rsidRPr="00FB66FA">
              <w:t>es are developed to meet regulatory and legislative requirements and cost effective best practice.</w:t>
            </w:r>
          </w:p>
        </w:tc>
      </w:tr>
    </w:tbl>
    <w:p w:rsidR="00000000" w:rsidRPr="00FB66FA" w:rsidP="00FB66FA">
      <w:pPr>
        <w:pStyle w:val="BodyText"/>
      </w:pPr>
    </w:p>
    <w:p w:rsidR="00000000" w:rsidRPr="00FB66FA" w:rsidP="00FB66FA">
      <w:pPr>
        <w:pStyle w:val="AllowPageBreak"/>
      </w:pPr>
    </w:p>
    <w:p w:rsidR="00000000" w:rsidRPr="00FB66FA" w:rsidP="00FB66FA">
      <w:pPr>
        <w:pStyle w:val="Heading1"/>
      </w:pPr>
      <w:bookmarkStart w:id="9" w:name="O_494991"/>
      <w:bookmarkEnd w:id="9"/>
      <w:r w:rsidRPr="00FB66FA">
        <w:t>Required Skills and Knowledge</w:t>
      </w:r>
    </w:p>
    <w:tbl>
      <w:tblPr>
        <w:tblW w:w="0" w:type="auto"/>
        <w:tblLayout w:type="fixed"/>
        <w:tblCellMar>
          <w:left w:w="62" w:type="dxa"/>
          <w:right w:w="62" w:type="dxa"/>
        </w:tblCellMar>
        <w:tblLook w:val="0000"/>
      </w:tblPr>
      <w:tblGrid>
        <w:gridCol w:w="8514"/>
      </w:tblGrid>
      <w:tr w:rsidTr="00D7482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t>This section describes the essential skills and knowledge and their level, required for this unit.</w:t>
            </w:r>
          </w:p>
        </w:tc>
      </w:tr>
      <w:tr w:rsidTr="00D7482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rPr>
                <w:rStyle w:val="SpecialBold"/>
              </w:rPr>
              <w:t>Skill re</w:t>
            </w:r>
            <w:r w:rsidRPr="00FB66FA">
              <w:rPr>
                <w:rStyle w:val="SpecialBold"/>
              </w:rPr>
              <w:t>quirements</w:t>
            </w:r>
          </w:p>
          <w:p w:rsidR="00000000" w:rsidRPr="00FB66FA" w:rsidP="00FB66FA">
            <w:pPr>
              <w:pStyle w:val="BodyText"/>
            </w:pPr>
            <w:r w:rsidRPr="00FB66FA">
              <w:t>Look for evidence that confirms skills in:</w:t>
            </w:r>
          </w:p>
          <w:p w:rsidR="00000000" w:rsidRPr="00FB66FA" w:rsidP="00FB66FA">
            <w:pPr>
              <w:pStyle w:val="ListBullet"/>
            </w:pPr>
            <w:r w:rsidRPr="00FB66FA">
              <w:t>interpreting complex and formal documents such as legislation, policies, procedures, and accounting standards, and providing advice on their interpretation and application</w:t>
            </w:r>
          </w:p>
          <w:p w:rsidR="00000000" w:rsidRPr="00FB66FA" w:rsidP="00FB66FA">
            <w:pPr>
              <w:pStyle w:val="ListBullet"/>
            </w:pPr>
            <w:r w:rsidRPr="00FB66FA">
              <w:t>adjusting communication to suit different audiences</w:t>
            </w:r>
          </w:p>
          <w:p w:rsidR="00000000" w:rsidRPr="00FB66FA" w:rsidP="00FB66FA">
            <w:pPr>
              <w:pStyle w:val="ListBullet"/>
            </w:pPr>
            <w:r w:rsidRPr="00FB66FA">
              <w:t>preparing reports and policies requiring precision of expression</w:t>
            </w:r>
          </w:p>
          <w:p w:rsidR="00000000" w:rsidRPr="00FB66FA" w:rsidP="00FB66FA">
            <w:pPr>
              <w:pStyle w:val="ListBullet"/>
            </w:pPr>
            <w:r w:rsidRPr="00FB66FA">
              <w:t>setting industry benchmarks and influencing policy</w:t>
            </w:r>
          </w:p>
          <w:p w:rsidR="00000000" w:rsidRPr="00FB66FA" w:rsidP="00FB66FA">
            <w:pPr>
              <w:pStyle w:val="ListBullet"/>
            </w:pPr>
            <w:r w:rsidRPr="00FB66FA">
              <w:t>responding to diversity, including gender and disability</w:t>
            </w:r>
          </w:p>
          <w:p w:rsidR="00000000" w:rsidRPr="00FB66FA" w:rsidP="00FB66FA">
            <w:pPr>
              <w:pStyle w:val="ListBullet"/>
            </w:pPr>
            <w:r w:rsidRPr="00FB66FA">
              <w:t>synthesising and applying infor</w:t>
            </w:r>
            <w:r w:rsidRPr="00FB66FA">
              <w:t>mation and legislation accessed electronically or in hard copy</w:t>
            </w:r>
          </w:p>
          <w:p w:rsidR="00000000" w:rsidP="00FB66FA">
            <w:pPr>
              <w:pStyle w:val="ListBullet"/>
              <w:rPr>
                <w:lang w:val="en-NZ"/>
              </w:rPr>
            </w:pPr>
            <w:r w:rsidRPr="00FB66FA">
              <w:t>applying environmental and occupational health and safety procedures relating to working in the public sector</w:t>
            </w:r>
          </w:p>
        </w:tc>
      </w:tr>
      <w:tr w:rsidTr="00D7482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rPr>
                <w:rStyle w:val="SpecialBold"/>
              </w:rPr>
              <w:t>Knowledge requirements</w:t>
            </w:r>
          </w:p>
          <w:p w:rsidR="00000000" w:rsidRPr="00FB66FA" w:rsidP="00FB66FA">
            <w:pPr>
              <w:pStyle w:val="ListBullet"/>
            </w:pPr>
            <w:r w:rsidRPr="00FB66FA">
              <w:t>Look for evidence that confirms knowledge and understandin</w:t>
            </w:r>
            <w:r w:rsidRPr="00FB66FA">
              <w:t>g of:</w:t>
            </w:r>
          </w:p>
          <w:p w:rsidR="00000000" w:rsidRPr="00FB66FA" w:rsidP="00FB66FA">
            <w:pPr>
              <w:pStyle w:val="ListBullet"/>
            </w:pPr>
            <w:r w:rsidRPr="00FB66FA">
              <w:t>legislation, policies and processes relating to public sector finance</w:t>
            </w:r>
          </w:p>
          <w:p w:rsidR="00000000" w:rsidRPr="00FB66FA" w:rsidP="00FB66FA">
            <w:pPr>
              <w:pStyle w:val="ListBullet"/>
            </w:pPr>
            <w:r w:rsidRPr="00FB66FA">
              <w:t>public sector financial management compliance framework (intimate knowledge) and the relationship of the elements of the framework</w:t>
            </w:r>
          </w:p>
          <w:p w:rsidR="00000000" w:rsidRPr="00FB66FA" w:rsidP="00FB66FA">
            <w:pPr>
              <w:pStyle w:val="ListBullet"/>
            </w:pPr>
            <w:r w:rsidRPr="00FB66FA">
              <w:t>internal control principles and how these have be</w:t>
            </w:r>
            <w:r w:rsidRPr="00FB66FA">
              <w:t>en applied to financial processes</w:t>
            </w:r>
          </w:p>
          <w:p w:rsidR="00000000" w:rsidRPr="00FB66FA" w:rsidP="00FB66FA">
            <w:pPr>
              <w:pStyle w:val="ListBullet"/>
            </w:pPr>
            <w:r w:rsidRPr="00FB66FA">
              <w:t>corporate governance requirements/relationship of financial management compliance framework to organisational structures</w:t>
            </w:r>
          </w:p>
          <w:p w:rsidR="00000000" w:rsidRPr="00FB66FA" w:rsidP="00FB66FA">
            <w:pPr>
              <w:pStyle w:val="ListBullet"/>
            </w:pPr>
            <w:r w:rsidRPr="00FB66FA">
              <w:t>service level agreements</w:t>
            </w:r>
          </w:p>
          <w:p w:rsidR="00000000" w:rsidRPr="00FB66FA" w:rsidP="00FB66FA">
            <w:pPr>
              <w:pStyle w:val="ListBullet"/>
            </w:pPr>
            <w:r w:rsidRPr="00FB66FA">
              <w:t>internal and external reporting requirements</w:t>
            </w:r>
          </w:p>
          <w:p w:rsidR="00000000" w:rsidRPr="00FB66FA" w:rsidP="00FB66FA">
            <w:pPr>
              <w:pStyle w:val="ListBullet"/>
            </w:pPr>
            <w:r w:rsidRPr="00FB66FA">
              <w:t xml:space="preserve">industry and accounting standards </w:t>
            </w:r>
          </w:p>
          <w:p w:rsidR="00000000" w:rsidRPr="00FB66FA" w:rsidP="00FB66FA">
            <w:pPr>
              <w:pStyle w:val="ListBullet"/>
            </w:pPr>
            <w:r w:rsidRPr="00FB66FA">
              <w:t>public sector standards and codes of conduct/ethics</w:t>
            </w:r>
          </w:p>
          <w:p w:rsidR="00000000" w:rsidRPr="00FB66FA" w:rsidP="00FB66FA">
            <w:pPr>
              <w:pStyle w:val="ListBullet"/>
            </w:pPr>
            <w:r w:rsidRPr="00FB66FA">
              <w:t xml:space="preserve">legislation related to work in the public sector such as environmental and occupational health and safety requirements </w:t>
            </w:r>
          </w:p>
        </w:tc>
      </w:tr>
    </w:tbl>
    <w:p w:rsidR="00000000" w:rsidRPr="00FB66FA" w:rsidP="00FB66FA">
      <w:pPr>
        <w:pStyle w:val="BodyText"/>
      </w:pPr>
    </w:p>
    <w:p w:rsidR="00000000" w:rsidRPr="00FB66FA" w:rsidP="00FB66FA">
      <w:pPr>
        <w:pStyle w:val="AllowPageBreak"/>
      </w:pPr>
    </w:p>
    <w:p w:rsidR="00000000" w:rsidRPr="00FB66FA" w:rsidP="00FB66FA">
      <w:pPr>
        <w:pStyle w:val="Heading1"/>
      </w:pPr>
      <w:bookmarkStart w:id="10" w:name="O_494989"/>
      <w:bookmarkEnd w:id="10"/>
      <w:r w:rsidRPr="00FB66FA">
        <w:t>Evidence Guide</w:t>
      </w:r>
    </w:p>
    <w:tbl>
      <w:tblPr>
        <w:tblW w:w="9322" w:type="dxa"/>
        <w:tblLayout w:type="fixed"/>
        <w:tblCellMar>
          <w:left w:w="62" w:type="dxa"/>
          <w:right w:w="62" w:type="dxa"/>
        </w:tblCellMar>
        <w:tblLook w:val="0000"/>
      </w:tblPr>
      <w:tblGrid>
        <w:gridCol w:w="2660"/>
        <w:gridCol w:w="6662"/>
      </w:tblGrid>
      <w:tr w:rsidTr="00D7482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t>The Evidence Gu</w:t>
            </w:r>
            <w:r w:rsidRPr="00FB66FA">
              <w:t>ide specifies the evidence required to demonstrate achievement in the unit of competency as a whole. It must be read in conjunction with the Unit descriptor, Performance Criteria, the Range Statement and the Assessment Guidelines for the Public Sector Trai</w:t>
            </w:r>
            <w:r w:rsidRPr="00FB66FA">
              <w:t>ning Package.</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rPr>
                <w:rStyle w:val="SpecialBold"/>
              </w:rPr>
              <w:t>Units to be assessed together</w:t>
            </w:r>
            <w:r w:rsidRPr="00FB66FA">
              <w:t xml:space="preserve"> </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ListBullet"/>
            </w:pPr>
            <w:r w:rsidRPr="00FB66FA">
              <w:rPr>
                <w:rStyle w:val="Emphasis"/>
              </w:rPr>
              <w:t>Pre</w:t>
            </w:r>
            <w:r w:rsidRPr="00FB66FA">
              <w:t>-</w:t>
            </w:r>
            <w:r w:rsidRPr="00FB66FA">
              <w:rPr>
                <w:rStyle w:val="Emphasis"/>
              </w:rPr>
              <w:t>requisite</w:t>
            </w:r>
            <w:r w:rsidRPr="00FB66FA">
              <w:t xml:space="preserve"> units that </w:t>
            </w:r>
            <w:r w:rsidRPr="00FB66FA">
              <w:rPr>
                <w:rStyle w:val="Underline"/>
              </w:rPr>
              <w:t>must</w:t>
            </w:r>
            <w:r w:rsidRPr="00FB66FA">
              <w:t xml:space="preserve"> be achieved </w:t>
            </w:r>
            <w:r w:rsidRPr="00FB66FA">
              <w:rPr>
                <w:rStyle w:val="Underline"/>
              </w:rPr>
              <w:t>prior</w:t>
            </w:r>
            <w:r w:rsidRPr="00FB66FA">
              <w:t xml:space="preserve"> to this unit:</w:t>
            </w:r>
            <w:r w:rsidRPr="00FB66FA">
              <w:rPr>
                <w:rStyle w:val="Emphasis"/>
              </w:rPr>
              <w:t>Nil</w:t>
            </w:r>
          </w:p>
          <w:p w:rsidR="00000000" w:rsidRPr="00FB66FA" w:rsidP="00FB66FA">
            <w:pPr>
              <w:pStyle w:val="ListBullet"/>
            </w:pPr>
            <w:r w:rsidRPr="00FB66FA">
              <w:rPr>
                <w:rStyle w:val="Emphasis"/>
              </w:rPr>
              <w:t>Co</w:t>
            </w:r>
            <w:r w:rsidRPr="00FB66FA">
              <w:t>-</w:t>
            </w:r>
            <w:r w:rsidRPr="00FB66FA">
              <w:rPr>
                <w:rStyle w:val="Emphasis"/>
              </w:rPr>
              <w:t>requisite</w:t>
            </w:r>
            <w:r w:rsidRPr="00FB66FA">
              <w:t xml:space="preserve"> units that </w:t>
            </w:r>
            <w:r w:rsidRPr="00FB66FA">
              <w:rPr>
                <w:rStyle w:val="Underline"/>
              </w:rPr>
              <w:t>must</w:t>
            </w:r>
            <w:r w:rsidRPr="00FB66FA">
              <w:t xml:space="preserve"> be assessed </w:t>
            </w:r>
            <w:r w:rsidRPr="00FB66FA">
              <w:rPr>
                <w:rStyle w:val="Underline"/>
              </w:rPr>
              <w:t>with</w:t>
            </w:r>
            <w:r w:rsidRPr="00FB66FA">
              <w:t xml:space="preserve"> this unit:</w:t>
            </w:r>
            <w:r w:rsidRPr="00FB66FA">
              <w:rPr>
                <w:rStyle w:val="Emphasis"/>
              </w:rPr>
              <w:t>Nil</w:t>
            </w:r>
          </w:p>
          <w:p w:rsidR="00000000" w:rsidRPr="00FB66FA" w:rsidP="00FB66FA">
            <w:pPr>
              <w:pStyle w:val="ListBullet"/>
            </w:pPr>
            <w:r w:rsidRPr="00FB66FA">
              <w:rPr>
                <w:rStyle w:val="Emphasis"/>
              </w:rPr>
              <w:t>Co</w:t>
            </w:r>
            <w:r w:rsidRPr="00FB66FA">
              <w:t>-</w:t>
            </w:r>
            <w:r w:rsidRPr="00FB66FA">
              <w:rPr>
                <w:rStyle w:val="Emphasis"/>
              </w:rPr>
              <w:t>assessed units</w:t>
            </w:r>
            <w:r w:rsidRPr="00FB66FA">
              <w:t xml:space="preserve"> that </w:t>
            </w:r>
            <w:r w:rsidRPr="00FB66FA">
              <w:rPr>
                <w:rStyle w:val="Underline"/>
              </w:rPr>
              <w:t>may</w:t>
            </w:r>
            <w:r w:rsidRPr="00FB66FA">
              <w:t xml:space="preserve"> be assessed with this unit to increase the efficiency and realism of the assessment process include, but are not limited to:</w:t>
            </w:r>
          </w:p>
          <w:p w:rsidR="00000000" w:rsidRPr="00FB66FA" w:rsidP="00FB66FA">
            <w:pPr>
              <w:pStyle w:val="ListBullet2"/>
            </w:pPr>
            <w:r w:rsidRPr="00FB66FA">
              <w:t>PSPETHC601B Maintain and enhance confidence in public service</w:t>
            </w:r>
          </w:p>
          <w:p w:rsidR="00000000" w:rsidRPr="00FB66FA" w:rsidP="00FB66FA">
            <w:pPr>
              <w:pStyle w:val="ListBullet2"/>
            </w:pPr>
            <w:r w:rsidRPr="00FB66FA">
              <w:t>PSPLEGN601B Manage compliance with legislation in the public sector</w:t>
            </w:r>
          </w:p>
          <w:p w:rsidR="00000000" w:rsidRPr="00FB66FA" w:rsidP="00FB66FA">
            <w:pPr>
              <w:pStyle w:val="ListBullet2"/>
            </w:pPr>
            <w:r w:rsidRPr="00FB66FA">
              <w:t xml:space="preserve">PSPMNGT602B Manage resources </w:t>
            </w:r>
          </w:p>
          <w:p w:rsidR="00000000" w:rsidRPr="00FB66FA" w:rsidP="00FB66FA">
            <w:pPr>
              <w:pStyle w:val="ListBullet2"/>
            </w:pPr>
            <w:r w:rsidRPr="00FB66FA">
              <w:t>PSPMNGT608B Manage risk</w:t>
            </w:r>
          </w:p>
          <w:p w:rsidR="00000000" w:rsidP="00FB66FA">
            <w:pPr>
              <w:pStyle w:val="ListBullet2"/>
              <w:rPr>
                <w:lang w:val="en-NZ"/>
              </w:rPr>
            </w:pPr>
            <w:r w:rsidRPr="00FB66FA">
              <w:t>PSPMNGT609B Formulate business strategies</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t>In addition to integrated demonstration of the elements and their related performance criteria, look for evidence that confirms:</w:t>
            </w:r>
          </w:p>
          <w:p w:rsidR="00000000" w:rsidRPr="00FB66FA" w:rsidP="00FB66FA">
            <w:pPr>
              <w:pStyle w:val="ListBullet"/>
            </w:pPr>
            <w:r w:rsidRPr="00FB66FA">
              <w:t xml:space="preserve">the knowledge requirements of this unit </w:t>
            </w:r>
          </w:p>
          <w:p w:rsidR="00000000" w:rsidRPr="00FB66FA" w:rsidP="00FB66FA">
            <w:pPr>
              <w:pStyle w:val="ListBullet"/>
            </w:pPr>
            <w:r w:rsidRPr="00FB66FA">
              <w:t>the skill requirements of this unit</w:t>
            </w:r>
          </w:p>
          <w:p w:rsidR="00000000" w:rsidRPr="00FB66FA" w:rsidP="00FB66FA">
            <w:pPr>
              <w:pStyle w:val="ListBullet"/>
            </w:pPr>
            <w:r w:rsidRPr="00FB66FA">
              <w:t>application of the Employability Skills as they relate to this unit (see Employability Summaries in Qualifications Framework)</w:t>
            </w:r>
          </w:p>
          <w:p w:rsidR="00000000" w:rsidP="00FB66FA">
            <w:pPr>
              <w:pStyle w:val="ListBullet"/>
              <w:rPr>
                <w:lang w:val="en-NZ"/>
              </w:rPr>
            </w:pPr>
            <w:r w:rsidRPr="00FB66FA">
              <w:t>application of complex public sector financial requirements in a range of (3 or more) contexts (or occasions, over time)</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rPr>
                <w:rStyle w:val="SpecialBold"/>
              </w:rPr>
              <w:t>Resource</w:t>
            </w:r>
            <w:r w:rsidRPr="00FB66FA">
              <w:rPr>
                <w:rStyle w:val="SpecialBold"/>
              </w:rPr>
              <w:t>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t>These resources include:</w:t>
            </w:r>
          </w:p>
          <w:p w:rsidR="00000000" w:rsidRPr="00FB66FA" w:rsidP="00FB66FA">
            <w:pPr>
              <w:pStyle w:val="ListBullet"/>
            </w:pPr>
            <w:r w:rsidRPr="00FB66FA">
              <w:t>public sector and organisational financial procedures and protocols</w:t>
            </w:r>
          </w:p>
          <w:p w:rsidR="00000000" w:rsidRPr="00FB66FA" w:rsidP="00FB66FA">
            <w:pPr>
              <w:pStyle w:val="ListBullet"/>
            </w:pPr>
            <w:r w:rsidRPr="00FB66FA">
              <w:t>legislation, policy, procedures and guidelines relating to the public sector financial management compliance framework</w:t>
            </w:r>
          </w:p>
          <w:p w:rsidR="00000000" w:rsidRPr="00FB66FA" w:rsidP="00FB66FA">
            <w:pPr>
              <w:pStyle w:val="ListBullet"/>
            </w:pPr>
            <w:r w:rsidRPr="00FB66FA">
              <w:t>industry</w:t>
            </w:r>
            <w:r w:rsidRPr="00FB66FA">
              <w:t xml:space="preserve"> and accounting standards</w:t>
            </w:r>
          </w:p>
          <w:p w:rsidR="00000000" w:rsidP="00FB66FA">
            <w:pPr>
              <w:pStyle w:val="ListBullet"/>
              <w:rPr>
                <w:lang w:val="en-NZ"/>
              </w:rPr>
            </w:pPr>
            <w:r w:rsidRPr="00FB66FA">
              <w:t>case studies and workplace scenarios to capture the range of situations likely to be encountered when applying complex public sector financial requirements</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t xml:space="preserve">Valid assessment of this unit requires: </w:t>
            </w:r>
          </w:p>
          <w:p w:rsidR="00000000" w:rsidRPr="00FB66FA" w:rsidP="00FB66FA">
            <w:pPr>
              <w:pStyle w:val="ListBullet"/>
            </w:pPr>
            <w:r w:rsidRPr="00FB66FA">
              <w:t xml:space="preserve">a workplace environment or one that closely resembles normal work practice and replicates the range of conditions likely to be encountered when applying complex public sector financial requirements, including coping with difficulties, irregularities and </w:t>
            </w:r>
            <w:r w:rsidRPr="00FB66FA">
              <w:t>breakdowns in routine</w:t>
            </w:r>
          </w:p>
          <w:p w:rsidR="00000000" w:rsidRPr="00FB66FA" w:rsidP="00FB66FA">
            <w:pPr>
              <w:pStyle w:val="ListBullet"/>
            </w:pPr>
            <w:r w:rsidRPr="00FB66FA">
              <w:t xml:space="preserve">application of complex public sector financial requirements in a </w:t>
            </w:r>
            <w:r w:rsidRPr="00FB66FA">
              <w:t>range of (3 or more) contexts (or occasions, over time)</w:t>
            </w:r>
          </w:p>
          <w:p w:rsidR="00000000" w:rsidRPr="00FB66FA" w:rsidP="00FB66FA">
            <w:pPr>
              <w:pStyle w:val="BodyText"/>
            </w:pPr>
            <w:r w:rsidRPr="00FB66FA">
              <w:t>Assessment methods should reflect workplace demands, such as literacy, and the needs of particular groups, such as:</w:t>
            </w:r>
          </w:p>
          <w:p w:rsidR="00000000" w:rsidRPr="00FB66FA" w:rsidP="00FB66FA">
            <w:pPr>
              <w:pStyle w:val="ListBullet"/>
            </w:pPr>
            <w:r w:rsidRPr="00FB66FA">
              <w:t>people with disabilities</w:t>
            </w:r>
          </w:p>
          <w:p w:rsidR="00000000" w:rsidRPr="00FB66FA" w:rsidP="00FB66FA">
            <w:pPr>
              <w:pStyle w:val="ListBullet"/>
            </w:pPr>
            <w:r w:rsidRPr="00FB66FA">
              <w:t>people from culturally and linguistically diverse backgrounds</w:t>
            </w:r>
          </w:p>
          <w:p w:rsidR="00000000" w:rsidRPr="00FB66FA" w:rsidP="00FB66FA">
            <w:pPr>
              <w:pStyle w:val="ListBullet"/>
            </w:pPr>
            <w:r w:rsidRPr="00FB66FA">
              <w:t>Aboriginal and Torres Strait Islander people</w:t>
            </w:r>
          </w:p>
          <w:p w:rsidR="00000000" w:rsidRPr="00FB66FA" w:rsidP="00FB66FA">
            <w:pPr>
              <w:pStyle w:val="ListBullet"/>
            </w:pPr>
            <w:r w:rsidRPr="00FB66FA">
              <w:t>women</w:t>
            </w:r>
          </w:p>
          <w:p w:rsidR="00000000" w:rsidRPr="00FB66FA" w:rsidP="00FB66FA">
            <w:pPr>
              <w:pStyle w:val="ListBullet"/>
            </w:pPr>
            <w:r w:rsidRPr="00FB66FA">
              <w:t>y</w:t>
            </w:r>
            <w:r w:rsidRPr="00FB66FA">
              <w:t>oung people</w:t>
            </w:r>
          </w:p>
          <w:p w:rsidR="00000000" w:rsidRPr="00FB66FA" w:rsidP="00FB66FA">
            <w:pPr>
              <w:pStyle w:val="ListBullet"/>
            </w:pPr>
            <w:r w:rsidRPr="00FB66FA">
              <w:t>older people</w:t>
            </w:r>
          </w:p>
          <w:p w:rsidR="00000000" w:rsidRPr="00FB66FA" w:rsidP="00FB66FA">
            <w:pPr>
              <w:pStyle w:val="ListBullet"/>
            </w:pPr>
            <w:r w:rsidRPr="00FB66FA">
              <w:t>people in rural and remote locations</w:t>
            </w:r>
          </w:p>
          <w:p w:rsidR="00000000" w:rsidRPr="00FB66FA" w:rsidP="00FB66FA">
            <w:pPr>
              <w:pStyle w:val="BodyText"/>
            </w:pPr>
            <w:r w:rsidRPr="00FB66FA">
              <w:t xml:space="preserve">Assessment methods suitable for valid and reliable assessment of this competency may include, but are not limited to, a combination of 2 or more of: </w:t>
            </w:r>
          </w:p>
          <w:p w:rsidR="00000000" w:rsidRPr="00FB66FA" w:rsidP="00FB66FA">
            <w:pPr>
              <w:pStyle w:val="ListBullet"/>
            </w:pPr>
            <w:r w:rsidRPr="00FB66FA">
              <w:t>case studies</w:t>
            </w:r>
          </w:p>
          <w:p w:rsidR="00000000" w:rsidRPr="00FB66FA" w:rsidP="00FB66FA">
            <w:pPr>
              <w:pStyle w:val="ListBullet"/>
            </w:pPr>
            <w:r w:rsidRPr="00FB66FA">
              <w:t xml:space="preserve">portfolios </w:t>
            </w:r>
          </w:p>
          <w:p w:rsidR="00000000" w:rsidRPr="00FB66FA" w:rsidP="00FB66FA">
            <w:pPr>
              <w:pStyle w:val="ListBullet"/>
            </w:pPr>
            <w:r w:rsidRPr="00FB66FA">
              <w:t>projects</w:t>
            </w:r>
          </w:p>
          <w:p w:rsidR="00000000" w:rsidRPr="00FB66FA" w:rsidP="00FB66FA">
            <w:pPr>
              <w:pStyle w:val="ListBullet"/>
            </w:pPr>
            <w:r w:rsidRPr="00FB66FA">
              <w:t>questioni</w:t>
            </w:r>
            <w:r w:rsidRPr="00FB66FA">
              <w:t>ng</w:t>
            </w:r>
          </w:p>
          <w:p w:rsidR="00000000" w:rsidRPr="00FB66FA" w:rsidP="00FB66FA">
            <w:pPr>
              <w:pStyle w:val="ListBullet"/>
            </w:pPr>
            <w:r w:rsidRPr="00FB66FA">
              <w:t>scenarios</w:t>
            </w:r>
          </w:p>
          <w:p w:rsidR="00000000" w:rsidP="00FB66FA">
            <w:pPr>
              <w:pStyle w:val="ListBullet"/>
              <w:rPr>
                <w:lang w:val="en-NZ"/>
              </w:rPr>
            </w:pPr>
            <w:r w:rsidRPr="00FB66FA">
              <w:t xml:space="preserve">authenticated evidence from the workplace and/or training courses  </w:t>
            </w:r>
          </w:p>
        </w:tc>
      </w:tr>
      <w:tr w:rsidTr="00D7482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66FA">
            <w:pPr>
              <w:pStyle w:val="BodyText"/>
              <w:rPr>
                <w:lang w:val="en-NZ"/>
              </w:rPr>
            </w:pPr>
            <w:r w:rsidRPr="00FB66F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B66FA" w:rsidP="00FB66FA">
            <w:pPr>
              <w:pStyle w:val="BodyText"/>
            </w:pPr>
            <w:r w:rsidRPr="00FB66FA">
              <w:t xml:space="preserve">Evidence must be gathered over time in a range of contexts to ensure the person can achieve the unit outcome and apply the competency in </w:t>
            </w:r>
            <w:r w:rsidRPr="00FB66FA">
              <w:t>different situations or environments</w:t>
            </w:r>
          </w:p>
        </w:tc>
      </w:tr>
    </w:tbl>
    <w:p w:rsidR="00000000" w:rsidRPr="00FB66FA" w:rsidP="00FB66FA">
      <w:pPr>
        <w:pStyle w:val="BodyText"/>
      </w:pPr>
    </w:p>
    <w:p w:rsidR="00000000" w:rsidRPr="00FB66FA" w:rsidP="00FB66FA">
      <w:pPr>
        <w:pStyle w:val="AllowPageBreak"/>
      </w:pPr>
    </w:p>
    <w:p w:rsidR="00000000" w:rsidRPr="00FB66FA" w:rsidP="00FB66FA">
      <w:pPr>
        <w:pStyle w:val="Heading1"/>
      </w:pPr>
      <w:bookmarkStart w:id="11" w:name="O_494988"/>
      <w:bookmarkEnd w:id="11"/>
      <w:r w:rsidRPr="00FB66FA">
        <w:t>Range Statement</w:t>
      </w:r>
    </w:p>
    <w:tbl>
      <w:tblPr>
        <w:tblW w:w="9322" w:type="dxa"/>
        <w:tblLayout w:type="fixed"/>
        <w:tblCellMar>
          <w:left w:w="62" w:type="dxa"/>
          <w:right w:w="62" w:type="dxa"/>
        </w:tblCellMar>
        <w:tblLook w:val="0000"/>
      </w:tblPr>
      <w:tblGrid>
        <w:gridCol w:w="2660"/>
        <w:gridCol w:w="6662"/>
      </w:tblGrid>
      <w:tr w:rsidTr="00D74825">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t>The Range Statement provides information about the context in which the unit of competency is carried out. The variables cater for differences between States and Territories and the Co</w:t>
            </w:r>
            <w:r w:rsidRPr="00FB66FA">
              <w:t xml:space="preserve">mmonwealth, and between organisations and workplaces. They allow for different work requirements, work practices and knowledge. The Range Statement also provides a focus for assessment. It relates to the unit as a whole. Text in </w:t>
            </w:r>
            <w:r w:rsidRPr="00FB66FA">
              <w:rPr>
                <w:rStyle w:val="BoldandItalics"/>
              </w:rPr>
              <w:t>bold italics</w:t>
            </w:r>
            <w:r w:rsidRPr="00FB66FA">
              <w:t xml:space="preserve"> in the Perform</w:t>
            </w:r>
            <w:r w:rsidRPr="00FB66FA">
              <w:t>ance Criteria is explained here.</w:t>
            </w:r>
          </w:p>
        </w:tc>
      </w:tr>
      <w:tr w:rsidTr="00D7482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rPr>
                <w:rStyle w:val="BoldandItalics"/>
              </w:rPr>
              <w:t>Elements of the public sector financial management compliance framework</w:t>
            </w:r>
            <w:r w:rsidRPr="00FB66FA">
              <w:rPr>
                <w:rStyle w:val="SpecialBold"/>
              </w:rPr>
              <w:t xml:space="preserve"> </w:t>
            </w:r>
            <w:r w:rsidRPr="00FB66FA">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ListBullet"/>
            </w:pPr>
            <w:r w:rsidRPr="00FB66FA">
              <w:t>Generally Accepted Accounting Practices (GAAP)</w:t>
            </w:r>
          </w:p>
          <w:p w:rsidR="00000000" w:rsidRPr="00FB66FA" w:rsidP="00FB66FA">
            <w:pPr>
              <w:pStyle w:val="ListBullet"/>
            </w:pPr>
            <w:r w:rsidRPr="00FB66FA">
              <w:t>financial management Acts and regulations</w:t>
            </w:r>
          </w:p>
          <w:p w:rsidR="00000000" w:rsidRPr="00FB66FA" w:rsidP="00FB66FA">
            <w:pPr>
              <w:pStyle w:val="ListBullet"/>
            </w:pPr>
            <w:r w:rsidRPr="00FB66FA">
              <w:t xml:space="preserve">financial administration and audit Acts </w:t>
            </w:r>
          </w:p>
          <w:p w:rsidR="00000000" w:rsidRPr="00FB66FA" w:rsidP="00FB66FA">
            <w:pPr>
              <w:pStyle w:val="ListBullet"/>
            </w:pPr>
            <w:r w:rsidRPr="00FB66FA">
              <w:t xml:space="preserve">central agency (such as Treasury) guidelines </w:t>
            </w:r>
          </w:p>
          <w:p w:rsidR="00000000" w:rsidRPr="00FB66FA" w:rsidP="00FB66FA">
            <w:pPr>
              <w:pStyle w:val="ListBullet"/>
            </w:pPr>
            <w:r w:rsidRPr="00FB66FA">
              <w:t xml:space="preserve">requirements for: </w:t>
            </w:r>
          </w:p>
          <w:p w:rsidR="00000000" w:rsidRPr="00FB66FA" w:rsidP="00FB66FA">
            <w:pPr>
              <w:pStyle w:val="ListBullet2"/>
            </w:pPr>
            <w:r w:rsidRPr="00FB66FA">
              <w:t>internal controls</w:t>
            </w:r>
          </w:p>
          <w:p w:rsidR="00000000" w:rsidRPr="00FB66FA" w:rsidP="00FB66FA">
            <w:pPr>
              <w:pStyle w:val="ListBullet2"/>
            </w:pPr>
            <w:r w:rsidRPr="00FB66FA">
              <w:t>separation of duties</w:t>
            </w:r>
          </w:p>
          <w:p w:rsidR="00000000" w:rsidRPr="00FB66FA" w:rsidP="00FB66FA">
            <w:pPr>
              <w:pStyle w:val="ListBullet2"/>
            </w:pPr>
            <w:r w:rsidRPr="00FB66FA">
              <w:t>delegations</w:t>
            </w:r>
          </w:p>
          <w:p w:rsidR="00000000" w:rsidRPr="00FB66FA" w:rsidP="00FB66FA">
            <w:pPr>
              <w:pStyle w:val="ListBullet2"/>
            </w:pPr>
            <w:r w:rsidRPr="00FB66FA">
              <w:t>corporate governance</w:t>
            </w:r>
          </w:p>
          <w:p w:rsidR="00000000" w:rsidRPr="00FB66FA" w:rsidP="00FB66FA">
            <w:pPr>
              <w:pStyle w:val="ListBullet2"/>
            </w:pPr>
            <w:r w:rsidRPr="00FB66FA">
              <w:t>service level agreements</w:t>
            </w:r>
          </w:p>
          <w:p w:rsidR="00000000" w:rsidRPr="00FB66FA" w:rsidP="00FB66FA">
            <w:pPr>
              <w:pStyle w:val="ListBullet2"/>
            </w:pPr>
            <w:r w:rsidRPr="00FB66FA">
              <w:t>internal and external reporting</w:t>
            </w:r>
          </w:p>
          <w:p w:rsidR="00000000" w:rsidP="00FB66FA">
            <w:pPr>
              <w:pStyle w:val="ListBullet2"/>
              <w:rPr>
                <w:lang w:val="en-NZ"/>
              </w:rPr>
            </w:pPr>
            <w:r w:rsidRPr="00FB66FA">
              <w:t>risk management</w:t>
            </w:r>
          </w:p>
        </w:tc>
      </w:tr>
      <w:tr w:rsidTr="00D7482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rPr>
                <w:rStyle w:val="BoldandItalics"/>
              </w:rPr>
              <w:t>Public sector financial policies and procedures</w:t>
            </w:r>
            <w:r w:rsidRPr="00FB66FA">
              <w:rPr>
                <w:rStyle w:val="SpecialBold"/>
              </w:rPr>
              <w:t xml:space="preserve"> </w:t>
            </w:r>
            <w:r w:rsidRPr="00FB66FA">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ListBullet"/>
            </w:pPr>
            <w:r w:rsidRPr="00FB66FA">
              <w:t>financial management Acts and regulations</w:t>
            </w:r>
          </w:p>
          <w:p w:rsidR="00000000" w:rsidRPr="00FB66FA" w:rsidP="00FB66FA">
            <w:pPr>
              <w:pStyle w:val="ListBullet"/>
            </w:pPr>
            <w:r w:rsidRPr="00FB66FA">
              <w:t xml:space="preserve">financial administration and audit Acts </w:t>
            </w:r>
          </w:p>
          <w:p w:rsidR="00000000" w:rsidRPr="00FB66FA" w:rsidP="00FB66FA">
            <w:pPr>
              <w:pStyle w:val="ListBullet"/>
            </w:pPr>
            <w:r w:rsidRPr="00FB66FA">
              <w:t xml:space="preserve">public sector finance standards </w:t>
            </w:r>
          </w:p>
          <w:p w:rsidR="00000000" w:rsidRPr="00FB66FA" w:rsidP="00FB66FA">
            <w:pPr>
              <w:pStyle w:val="ListBullet"/>
            </w:pPr>
            <w:r w:rsidRPr="00FB66FA">
              <w:t>financial management benchmarking studies</w:t>
            </w:r>
          </w:p>
          <w:p w:rsidR="00000000" w:rsidRPr="00FB66FA" w:rsidP="00FB66FA">
            <w:pPr>
              <w:pStyle w:val="ListBullet"/>
            </w:pPr>
            <w:r w:rsidRPr="00FB66FA">
              <w:t xml:space="preserve">the organisation's: </w:t>
            </w:r>
          </w:p>
          <w:p w:rsidR="00000000" w:rsidRPr="00FB66FA" w:rsidP="00FB66FA">
            <w:pPr>
              <w:pStyle w:val="ListBullet2"/>
            </w:pPr>
            <w:r w:rsidRPr="00FB66FA">
              <w:t>financial mana</w:t>
            </w:r>
            <w:r w:rsidRPr="00FB66FA">
              <w:t xml:space="preserve">gement </w:t>
            </w:r>
          </w:p>
          <w:p w:rsidR="00000000" w:rsidRPr="00FB66FA" w:rsidP="00FB66FA">
            <w:pPr>
              <w:pStyle w:val="ListBullet2"/>
            </w:pPr>
            <w:r w:rsidRPr="00FB66FA">
              <w:t xml:space="preserve">delegations </w:t>
            </w:r>
          </w:p>
          <w:p w:rsidR="00000000" w:rsidRPr="00FB66FA" w:rsidP="00FB66FA">
            <w:pPr>
              <w:pStyle w:val="ListBullet2"/>
            </w:pPr>
            <w:r w:rsidRPr="00FB66FA">
              <w:t>budget guidelines/instructions</w:t>
            </w:r>
          </w:p>
          <w:p w:rsidR="00000000" w:rsidRPr="00FB66FA" w:rsidP="00FB66FA">
            <w:pPr>
              <w:pStyle w:val="ListBullet2"/>
            </w:pPr>
            <w:r w:rsidRPr="00FB66FA">
              <w:t xml:space="preserve">style requirements </w:t>
            </w:r>
          </w:p>
          <w:p w:rsidR="00000000" w:rsidRPr="00FB66FA" w:rsidP="00FB66FA">
            <w:pPr>
              <w:pStyle w:val="ListBullet2"/>
            </w:pPr>
            <w:r w:rsidRPr="00FB66FA">
              <w:t xml:space="preserve">quality requirements </w:t>
            </w:r>
          </w:p>
          <w:p w:rsidR="00000000" w:rsidRPr="00FB66FA" w:rsidP="00FB66FA">
            <w:pPr>
              <w:pStyle w:val="ListBullet"/>
            </w:pPr>
            <w:r w:rsidRPr="00FB66FA">
              <w:t>government financial policy statements and guidelines</w:t>
            </w:r>
          </w:p>
          <w:p w:rsidR="00000000" w:rsidRPr="00FB66FA" w:rsidP="00FB66FA">
            <w:pPr>
              <w:pStyle w:val="ListBullet"/>
            </w:pPr>
            <w:r w:rsidRPr="00FB66FA">
              <w:t>Australian Accounting Standards</w:t>
            </w:r>
          </w:p>
          <w:p w:rsidR="00000000" w:rsidRPr="00FB66FA" w:rsidP="00FB66FA">
            <w:pPr>
              <w:pStyle w:val="ListBullet"/>
            </w:pPr>
            <w:r w:rsidRPr="00FB66FA">
              <w:t>Generally Accepted Accounting Practices (GAAP)</w:t>
            </w:r>
          </w:p>
          <w:p w:rsidR="00000000" w:rsidRPr="00FB66FA" w:rsidP="00FB66FA">
            <w:pPr>
              <w:pStyle w:val="ListBullet"/>
            </w:pPr>
            <w:r w:rsidRPr="00FB66FA">
              <w:t xml:space="preserve">Australian Bureau </w:t>
            </w:r>
            <w:r w:rsidRPr="00FB66FA">
              <w:t>of Statistics (ABS) requirements</w:t>
            </w:r>
          </w:p>
          <w:p w:rsidR="00000000" w:rsidRPr="00FB66FA" w:rsidP="00FB66FA">
            <w:pPr>
              <w:pStyle w:val="ListBullet"/>
            </w:pPr>
            <w:r w:rsidRPr="00FB66FA">
              <w:t>Government Finance Statistics (GFS) requirements</w:t>
            </w:r>
          </w:p>
          <w:p w:rsidR="00000000" w:rsidRPr="00FB66FA" w:rsidP="00FB66FA">
            <w:pPr>
              <w:pStyle w:val="ListBullet"/>
            </w:pPr>
            <w:r w:rsidRPr="00FB66FA">
              <w:t>corporate planning</w:t>
            </w:r>
          </w:p>
          <w:p w:rsidR="00000000" w:rsidP="00FB66FA">
            <w:pPr>
              <w:pStyle w:val="ListBullet"/>
              <w:rPr>
                <w:lang w:val="en-NZ"/>
              </w:rPr>
            </w:pPr>
            <w:r w:rsidRPr="00FB66FA">
              <w:t>whole-of-government/agency systems and reporting</w:t>
            </w:r>
          </w:p>
        </w:tc>
      </w:tr>
      <w:tr w:rsidTr="00D7482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rPr>
                <w:rStyle w:val="BoldandItalics"/>
              </w:rPr>
              <w:t>Internal controls</w:t>
            </w:r>
            <w:r w:rsidRPr="00FB66FA">
              <w:t xml:space="preserve"> should: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ListBullet"/>
            </w:pPr>
            <w:r w:rsidRPr="00FB66FA">
              <w:t xml:space="preserve">identify, record and measure income, expenditure, assets, liabilities and equity </w:t>
            </w:r>
          </w:p>
          <w:p w:rsidR="00000000" w:rsidRPr="00FB66FA" w:rsidP="00FB66FA">
            <w:pPr>
              <w:pStyle w:val="ListBullet"/>
            </w:pPr>
            <w:r w:rsidRPr="00FB66FA">
              <w:t>ensure separation of duties</w:t>
            </w:r>
          </w:p>
          <w:p w:rsidR="00000000" w:rsidRPr="00FB66FA" w:rsidP="00FB66FA">
            <w:pPr>
              <w:pStyle w:val="ListBullet"/>
            </w:pPr>
            <w:r w:rsidRPr="00FB66FA">
              <w:t>ensure procedures are properly described</w:t>
            </w:r>
          </w:p>
          <w:p w:rsidR="00000000" w:rsidRPr="00FB66FA" w:rsidP="00FB66FA">
            <w:pPr>
              <w:pStyle w:val="ListBullet"/>
            </w:pPr>
            <w:r w:rsidRPr="00FB66FA">
              <w:t>incorporate other key organisations' guidelines such as banker's terms and conditions, guidelines for use</w:t>
            </w:r>
            <w:r w:rsidRPr="00FB66FA">
              <w:t xml:space="preserve"> of high risk equipment like EFTPOS and debit and credit transactions</w:t>
            </w:r>
          </w:p>
          <w:p w:rsidR="00000000" w:rsidRPr="00FB66FA" w:rsidP="00FB66FA">
            <w:pPr>
              <w:pStyle w:val="ListBullet"/>
            </w:pPr>
            <w:r w:rsidRPr="00FB66FA">
              <w:t>ensure all revenues are received</w:t>
            </w:r>
          </w:p>
          <w:p w:rsidR="00000000" w:rsidRPr="00FB66FA" w:rsidP="00FB66FA">
            <w:pPr>
              <w:pStyle w:val="ListBullet"/>
            </w:pPr>
            <w:r w:rsidRPr="00FB66FA">
              <w:t>ensure assets are safeguarded and efficiently and effectively used so as to avoid waste, extravagance, misuse and loss</w:t>
            </w:r>
          </w:p>
          <w:p w:rsidR="00000000" w:rsidRPr="00FB66FA" w:rsidP="00FB66FA">
            <w:pPr>
              <w:pStyle w:val="ListBullet"/>
            </w:pPr>
            <w:r w:rsidRPr="00FB66FA">
              <w:t>ensure liabilities are not incurre</w:t>
            </w:r>
            <w:r w:rsidRPr="00FB66FA">
              <w:t xml:space="preserve">d without proper authority </w:t>
            </w:r>
          </w:p>
          <w:p w:rsidR="00000000" w:rsidRPr="00FB66FA" w:rsidP="00FB66FA">
            <w:pPr>
              <w:pStyle w:val="ListBullet"/>
            </w:pPr>
            <w:r w:rsidRPr="00FB66FA">
              <w:t xml:space="preserve">ensure correct valuation, cut-off, presentation and disclosure of financial balances and transactions </w:t>
            </w:r>
          </w:p>
          <w:p w:rsidR="00000000" w:rsidRPr="00FB66FA" w:rsidP="00FB66FA">
            <w:pPr>
              <w:pStyle w:val="ListBullet"/>
            </w:pPr>
            <w:r w:rsidRPr="00FB66FA">
              <w:t>include contingency plans</w:t>
            </w:r>
          </w:p>
          <w:p w:rsidR="00000000" w:rsidRPr="00FB66FA" w:rsidP="00FB66FA">
            <w:pPr>
              <w:pStyle w:val="ListBullet"/>
            </w:pPr>
            <w:r w:rsidRPr="00FB66FA">
              <w:t>be linked to the organisation's risk management strategy</w:t>
            </w:r>
          </w:p>
          <w:p w:rsidR="00000000" w:rsidRPr="00FB66FA" w:rsidP="00FB66FA">
            <w:pPr>
              <w:pStyle w:val="ListBullet"/>
            </w:pPr>
            <w:r w:rsidRPr="00FB66FA">
              <w:t>be established to accord with the organisa</w:t>
            </w:r>
            <w:r w:rsidRPr="00FB66FA">
              <w:t>tion's delegation framework</w:t>
            </w:r>
          </w:p>
          <w:p w:rsidR="00000000" w:rsidP="00FB66FA">
            <w:pPr>
              <w:pStyle w:val="ListBullet"/>
              <w:rPr>
                <w:lang w:val="en-NZ"/>
              </w:rPr>
            </w:pPr>
            <w:r w:rsidRPr="00FB66FA">
              <w:t>be cost effective</w:t>
            </w:r>
          </w:p>
        </w:tc>
      </w:tr>
      <w:tr w:rsidTr="00D7482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rPr>
                <w:rStyle w:val="BoldandItalics"/>
              </w:rPr>
              <w:t>Delegations</w:t>
            </w:r>
            <w:r w:rsidRPr="00FB66FA">
              <w:t xml:space="preserve"> 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ListBullet"/>
            </w:pPr>
            <w:r w:rsidRPr="00FB66FA">
              <w:t xml:space="preserve">functions or powers (under an Act) assigned to others </w:t>
            </w:r>
          </w:p>
          <w:p w:rsidR="00000000" w:rsidRPr="00FB66FA" w:rsidP="00FB66FA">
            <w:pPr>
              <w:pStyle w:val="ListBullet"/>
            </w:pPr>
            <w:r w:rsidRPr="00FB66FA">
              <w:t>made to specified limits</w:t>
            </w:r>
          </w:p>
          <w:p w:rsidR="00000000" w:rsidP="00FB66FA">
            <w:pPr>
              <w:pStyle w:val="ListBullet"/>
              <w:rPr>
                <w:lang w:val="en-NZ"/>
              </w:rPr>
            </w:pPr>
            <w:r w:rsidRPr="00FB66FA">
              <w:t>made to specified positions and ex officio, i.e. not to specific people but to particular positions</w:t>
            </w:r>
          </w:p>
        </w:tc>
      </w:tr>
      <w:tr w:rsidTr="00D7482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FA">
            <w:pPr>
              <w:pStyle w:val="BodyText"/>
              <w:rPr>
                <w:lang w:val="en-NZ"/>
              </w:rPr>
            </w:pPr>
            <w:r w:rsidRPr="00FB66FA">
              <w:rPr>
                <w:rStyle w:val="BoldandItalics"/>
              </w:rPr>
              <w:t>Documentation of internal controls</w:t>
            </w:r>
            <w:r w:rsidRPr="00FB66FA">
              <w:rPr>
                <w:rStyle w:val="SpecialBold"/>
              </w:rPr>
              <w:t xml:space="preserve"> </w:t>
            </w:r>
            <w:r w:rsidRPr="00FB66FA">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FA" w:rsidP="00FB66FA">
            <w:pPr>
              <w:pStyle w:val="ListBullet"/>
            </w:pPr>
            <w:r w:rsidRPr="00FB66FA">
              <w:t>financial management practice manual</w:t>
            </w:r>
          </w:p>
          <w:p w:rsidR="00000000" w:rsidRPr="00FB66FA" w:rsidP="00FB66FA">
            <w:pPr>
              <w:pStyle w:val="ListBullet"/>
            </w:pPr>
            <w:r w:rsidRPr="00FB66FA">
              <w:t>intranet</w:t>
            </w:r>
          </w:p>
        </w:tc>
      </w:tr>
    </w:tbl>
    <w:p w:rsidR="00D74825" w:rsidP="00FB66FA">
      <w:pPr>
        <w:pStyle w:val="BodyText"/>
      </w:pPr>
    </w:p>
    <w:p w:rsidR="00D74825" w:rsidP="00FB66FA">
      <w:pPr>
        <w:pStyle w:val="BodyText"/>
      </w:pPr>
    </w:p>
    <w:p w:rsidR="00000000" w:rsidRPr="00FB66FA" w:rsidP="00FB66FA">
      <w:pPr>
        <w:pStyle w:val="Heading1"/>
      </w:pPr>
      <w:bookmarkStart w:id="12" w:name="O_494986"/>
      <w:bookmarkEnd w:id="12"/>
      <w:r w:rsidRPr="00FB66FA">
        <w:t>Unit Sector(s)</w:t>
      </w:r>
    </w:p>
    <w:p w:rsidR="00000000" w:rsidRPr="00FB66FA" w:rsidP="00FB66FA">
      <w:pPr>
        <w:pStyle w:val="BodyText"/>
      </w:pPr>
      <w:r w:rsidRPr="00FB66FA">
        <w:t>Not applicable.</w:t>
      </w:r>
    </w:p>
    <w:p w:rsidR="00000000" w:rsidRPr="00FB66FA" w:rsidP="00FB66FA">
      <w:pPr>
        <w:pStyle w:val="AllowPageBreak"/>
      </w:pPr>
    </w:p>
    <w:p w:rsidR="00000000" w:rsidRPr="00FB66FA" w:rsidP="00FB66FA">
      <w:pPr>
        <w:pStyle w:val="Heading1"/>
      </w:pPr>
      <w:bookmarkStart w:id="13" w:name="O_494997"/>
      <w:bookmarkEnd w:id="13"/>
      <w:r w:rsidRPr="00FB66FA">
        <w:t>Competency field</w:t>
      </w:r>
    </w:p>
    <w:p w:rsidR="00000000" w:rsidRPr="00FB66FA" w:rsidP="00FB66FA">
      <w:pPr>
        <w:pStyle w:val="BodyText"/>
      </w:pPr>
      <w:r w:rsidRPr="00FB66FA">
        <w:t>Financial Services.</w:t>
      </w:r>
    </w:p>
    <w:p w:rsidR="00000000" w:rsidRPr="00FB66FA" w:rsidP="00FB66FA"/>
    <w:sectPr w:rsidSect="00FB6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825" w:rsidP="00D74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25" w:rsidP="00FB6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4825" w:rsidP="00FB66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74825" w:rsidP="00FB66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FA" w:rsidRPr="00D74825" w:rsidP="00D748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25" w:rsidRPr="002D2AF8" w:rsidP="00FB66FA">
    <w:pPr>
      <w:pStyle w:val="Header"/>
      <w:framePr w:wrap="around"/>
    </w:pPr>
    <w:r>
      <w:fldChar w:fldCharType="begin"/>
    </w:r>
    <w:r>
      <w:instrText xml:space="preserve"> TITLE   \* MERGEFORMAT </w:instrText>
    </w:r>
    <w:r>
      <w:fldChar w:fldCharType="separate"/>
    </w:r>
    <w:r>
      <w:t>PSPFIN601A Apply complex public sector financial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D74825" w:rsidP="00FB6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C1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88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42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6FA"/>
    <w:pPr>
      <w:spacing w:before="360" w:after="60"/>
      <w:outlineLvl w:val="0"/>
    </w:pPr>
    <w:rPr>
      <w:sz w:val="32"/>
    </w:rPr>
  </w:style>
  <w:style w:type="paragraph" w:styleId="Heading2">
    <w:name w:val="heading 2"/>
    <w:basedOn w:val="HeadingBase"/>
    <w:next w:val="BodyText"/>
    <w:link w:val="Heading2Char"/>
    <w:qFormat/>
    <w:rsid w:val="00FB66FA"/>
    <w:pPr>
      <w:keepLines/>
      <w:spacing w:before="240" w:after="120"/>
      <w:outlineLvl w:val="1"/>
    </w:pPr>
    <w:rPr>
      <w:sz w:val="28"/>
      <w:szCs w:val="40"/>
    </w:rPr>
  </w:style>
  <w:style w:type="paragraph" w:styleId="Heading3">
    <w:name w:val="heading 3"/>
    <w:basedOn w:val="HeadingBase"/>
    <w:next w:val="BodyText"/>
    <w:link w:val="Heading3Char"/>
    <w:qFormat/>
    <w:rsid w:val="00FB66FA"/>
    <w:pPr>
      <w:spacing w:before="180" w:after="120"/>
      <w:outlineLvl w:val="2"/>
    </w:pPr>
    <w:rPr>
      <w:spacing w:val="-10"/>
      <w:kern w:val="32"/>
    </w:rPr>
  </w:style>
  <w:style w:type="paragraph" w:styleId="Heading4">
    <w:name w:val="heading 4"/>
    <w:basedOn w:val="HeadingBase"/>
    <w:next w:val="BodyText"/>
    <w:link w:val="Heading4Char"/>
    <w:qFormat/>
    <w:rsid w:val="00FB66FA"/>
    <w:pPr>
      <w:spacing w:before="160" w:after="120"/>
      <w:outlineLvl w:val="3"/>
    </w:pPr>
    <w:rPr>
      <w:sz w:val="22"/>
    </w:rPr>
  </w:style>
  <w:style w:type="paragraph" w:styleId="Heading5">
    <w:name w:val="heading 5"/>
    <w:basedOn w:val="HeadingBase"/>
    <w:next w:val="Normal"/>
    <w:link w:val="Heading5Char"/>
    <w:qFormat/>
    <w:rsid w:val="00FB66FA"/>
    <w:pPr>
      <w:spacing w:before="80"/>
      <w:outlineLvl w:val="4"/>
    </w:pPr>
    <w:rPr>
      <w:color w:val="918585"/>
      <w:sz w:val="20"/>
    </w:rPr>
  </w:style>
  <w:style w:type="paragraph" w:styleId="Heading6">
    <w:name w:val="heading 6"/>
    <w:basedOn w:val="HeadingBase"/>
    <w:next w:val="Normal"/>
    <w:link w:val="Heading6Char"/>
    <w:qFormat/>
    <w:rsid w:val="00FB66FA"/>
    <w:pPr>
      <w:spacing w:before="60"/>
      <w:outlineLvl w:val="5"/>
    </w:pPr>
    <w:rPr>
      <w:color w:val="918585"/>
      <w:sz w:val="20"/>
    </w:rPr>
  </w:style>
  <w:style w:type="paragraph" w:styleId="Heading7">
    <w:name w:val="heading 7"/>
    <w:basedOn w:val="Normal"/>
    <w:next w:val="Normal"/>
    <w:link w:val="Heading7Char"/>
    <w:qFormat/>
    <w:rsid w:val="00FB66FA"/>
    <w:pPr>
      <w:ind w:left="720"/>
      <w:outlineLvl w:val="6"/>
    </w:pPr>
    <w:rPr>
      <w:i/>
    </w:rPr>
  </w:style>
  <w:style w:type="paragraph" w:styleId="Heading8">
    <w:name w:val="heading 8"/>
    <w:basedOn w:val="Normal"/>
    <w:next w:val="Normal"/>
    <w:link w:val="Heading8Char"/>
    <w:qFormat/>
    <w:rsid w:val="00FB66FA"/>
    <w:pPr>
      <w:ind w:left="720"/>
      <w:outlineLvl w:val="7"/>
    </w:pPr>
    <w:rPr>
      <w:i/>
    </w:rPr>
  </w:style>
  <w:style w:type="paragraph" w:styleId="Heading9">
    <w:name w:val="heading 9"/>
    <w:basedOn w:val="Normal"/>
    <w:next w:val="Normal"/>
    <w:link w:val="Heading9Char"/>
    <w:qFormat/>
    <w:rsid w:val="00FB66FA"/>
    <w:pPr>
      <w:ind w:left="720"/>
      <w:outlineLvl w:val="8"/>
    </w:pPr>
    <w:rPr>
      <w:i/>
    </w:rPr>
  </w:style>
  <w:style w:type="character" w:default="1" w:styleId="DefaultParagraphFont">
    <w:name w:val="Default Paragraph Font"/>
    <w:uiPriority w:val="1"/>
    <w:unhideWhenUsed/>
    <w:rsid w:val="00FB6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6FA"/>
  </w:style>
  <w:style w:type="character" w:customStyle="1" w:styleId="Heading1Char">
    <w:name w:val="Heading 1 Char"/>
    <w:basedOn w:val="DefaultParagraphFont"/>
    <w:link w:val="Heading1"/>
    <w:rsid w:val="00FB66FA"/>
    <w:rPr>
      <w:rFonts w:ascii="Times New Roman" w:eastAsia="Times New Roman" w:hAnsi="Times New Roman" w:cs="Times New Roman"/>
      <w:b/>
      <w:sz w:val="32"/>
      <w:szCs w:val="20"/>
      <w:lang w:eastAsia="en-US"/>
    </w:rPr>
  </w:style>
  <w:style w:type="paragraph" w:styleId="BodyText">
    <w:name w:val="Body Text"/>
    <w:basedOn w:val="Normal"/>
    <w:link w:val="BodyTextChar"/>
    <w:rsid w:val="00FB6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6FA"/>
    <w:rPr>
      <w:rFonts w:ascii="Times New Roman" w:eastAsia="Times New Roman" w:hAnsi="Times New Roman" w:cs="Times New Roman"/>
      <w:sz w:val="24"/>
      <w:lang w:eastAsia="en-US"/>
    </w:rPr>
  </w:style>
  <w:style w:type="paragraph" w:styleId="Footer">
    <w:name w:val="footer"/>
    <w:basedOn w:val="Normal"/>
    <w:link w:val="FooterChar"/>
    <w:rsid w:val="00FB6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6FA"/>
    <w:rPr>
      <w:rFonts w:ascii="Times New Roman" w:eastAsia="Times New Roman" w:hAnsi="Times New Roman" w:cs="Times New Roman"/>
      <w:sz w:val="16"/>
      <w:lang w:eastAsia="en-US"/>
    </w:rPr>
  </w:style>
  <w:style w:type="paragraph" w:styleId="List">
    <w:name w:val="List"/>
    <w:basedOn w:val="BodyText"/>
    <w:next w:val="BodyText"/>
    <w:rsid w:val="00FB66FA"/>
    <w:pPr>
      <w:tabs>
        <w:tab w:val="left" w:pos="340"/>
      </w:tabs>
      <w:spacing w:before="60" w:after="60"/>
      <w:ind w:left="340" w:hanging="340"/>
    </w:pPr>
  </w:style>
  <w:style w:type="paragraph" w:styleId="ListBullet">
    <w:name w:val="List Bullet"/>
    <w:basedOn w:val="List"/>
    <w:rsid w:val="00FB66FA"/>
    <w:pPr>
      <w:numPr>
        <w:numId w:val="13"/>
      </w:numPr>
      <w:tabs>
        <w:tab w:val="clear" w:pos="340"/>
      </w:tabs>
      <w:spacing w:before="40" w:after="40"/>
    </w:pPr>
  </w:style>
  <w:style w:type="character" w:customStyle="1" w:styleId="SpecialBold">
    <w:name w:val="Special Bold"/>
    <w:basedOn w:val="DefaultParagraphFont"/>
    <w:rsid w:val="00FB66FA"/>
    <w:rPr>
      <w:b/>
      <w:spacing w:val="0"/>
    </w:rPr>
  </w:style>
  <w:style w:type="paragraph" w:styleId="ListBullet2">
    <w:name w:val="List Bullet 2"/>
    <w:basedOn w:val="List2"/>
    <w:rsid w:val="00FB66FA"/>
    <w:pPr>
      <w:numPr>
        <w:numId w:val="14"/>
      </w:numPr>
      <w:tabs>
        <w:tab w:val="clear" w:pos="680"/>
      </w:tabs>
    </w:pPr>
  </w:style>
  <w:style w:type="character" w:styleId="Emphasis">
    <w:name w:val="Emphasis"/>
    <w:basedOn w:val="DefaultParagraphFont"/>
    <w:qFormat/>
    <w:rsid w:val="00FB66FA"/>
    <w:rPr>
      <w:i/>
    </w:rPr>
  </w:style>
  <w:style w:type="paragraph" w:customStyle="1" w:styleId="SuperHeading">
    <w:name w:val="SuperHeading"/>
    <w:basedOn w:val="Normal"/>
    <w:rsid w:val="00FB66FA"/>
    <w:pPr>
      <w:spacing w:before="240" w:after="120"/>
      <w:outlineLvl w:val="0"/>
    </w:pPr>
    <w:rPr>
      <w:rFonts w:ascii="Times New Roman" w:hAnsi="Times New Roman"/>
      <w:b/>
      <w:sz w:val="28"/>
    </w:rPr>
  </w:style>
  <w:style w:type="paragraph" w:customStyle="1" w:styleId="AllowPageBreak">
    <w:name w:val="AllowPageBreak"/>
    <w:rsid w:val="00FB6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B66FA"/>
    <w:rPr>
      <w:u w:val="single"/>
    </w:rPr>
  </w:style>
  <w:style w:type="character" w:customStyle="1" w:styleId="BoldandItalics">
    <w:name w:val="Bold and Italics"/>
    <w:qFormat/>
    <w:rsid w:val="00FB66FA"/>
    <w:rPr>
      <w:b/>
      <w:i/>
      <w:u w:val="none"/>
    </w:rPr>
  </w:style>
  <w:style w:type="character" w:customStyle="1" w:styleId="Heading2Char">
    <w:name w:val="Heading 2 Char"/>
    <w:basedOn w:val="DefaultParagraphFont"/>
    <w:link w:val="Heading2"/>
    <w:rsid w:val="00FB6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6FA"/>
    <w:rPr>
      <w:rFonts w:ascii="Courier New" w:eastAsia="Times New Roman" w:hAnsi="Courier New" w:cs="Times New Roman"/>
      <w:i/>
      <w:szCs w:val="20"/>
      <w:lang w:eastAsia="en-US"/>
    </w:rPr>
  </w:style>
  <w:style w:type="paragraph" w:customStyle="1" w:styleId="HeadingBase">
    <w:name w:val="Heading Base"/>
    <w:rsid w:val="00FB6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6FA"/>
    <w:pPr>
      <w:tabs>
        <w:tab w:val="right" w:leader="dot" w:pos="9072"/>
      </w:tabs>
      <w:ind w:left="567"/>
    </w:pPr>
    <w:rPr>
      <w:szCs w:val="22"/>
    </w:rPr>
  </w:style>
  <w:style w:type="paragraph" w:customStyle="1" w:styleId="TOCBase">
    <w:name w:val="TOC Base"/>
    <w:rsid w:val="00FB6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6FA"/>
    <w:pPr>
      <w:tabs>
        <w:tab w:val="right" w:leader="dot" w:pos="9072"/>
      </w:tabs>
      <w:spacing w:before="40" w:after="40"/>
      <w:ind w:left="284"/>
    </w:pPr>
    <w:rPr>
      <w:rFonts w:ascii="Times New Roman" w:hAnsi="Times New Roman"/>
    </w:rPr>
  </w:style>
  <w:style w:type="paragraph" w:styleId="TOC1">
    <w:name w:val="toc 1"/>
    <w:basedOn w:val="TOCBase"/>
    <w:next w:val="Normal"/>
    <w:rsid w:val="00FB66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6FA"/>
    <w:pPr>
      <w:spacing w:before="5040"/>
      <w:jc w:val="center"/>
    </w:pPr>
    <w:rPr>
      <w:sz w:val="48"/>
      <w:szCs w:val="72"/>
      <w:lang w:val="en-US"/>
    </w:rPr>
  </w:style>
  <w:style w:type="character" w:customStyle="1" w:styleId="TitleChar">
    <w:name w:val="Title Char"/>
    <w:basedOn w:val="DefaultParagraphFont"/>
    <w:link w:val="Title"/>
    <w:rsid w:val="00FB6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6FA"/>
    <w:pPr>
      <w:tabs>
        <w:tab w:val="left" w:pos="3600"/>
        <w:tab w:val="left" w:pos="3958"/>
      </w:tabs>
    </w:pPr>
  </w:style>
  <w:style w:type="paragraph" w:customStyle="1" w:styleId="Note">
    <w:name w:val="Note"/>
    <w:basedOn w:val="BodyText"/>
    <w:rsid w:val="00FB6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6FA"/>
    <w:pPr>
      <w:framePr w:wrap="auto" w:hAnchor="text" w:y="6049"/>
    </w:pPr>
    <w:rPr>
      <w:color w:val="000000"/>
      <w:sz w:val="40"/>
    </w:rPr>
  </w:style>
  <w:style w:type="paragraph" w:customStyle="1" w:styleId="TOCTitle">
    <w:name w:val="TOCTitle"/>
    <w:basedOn w:val="Heading1"/>
    <w:rsid w:val="00FB66FA"/>
    <w:pPr>
      <w:spacing w:after="240"/>
      <w:jc w:val="center"/>
      <w:outlineLvl w:val="9"/>
    </w:pPr>
    <w:rPr>
      <w:caps/>
    </w:rPr>
  </w:style>
  <w:style w:type="paragraph" w:customStyle="1" w:styleId="Version">
    <w:name w:val="Version"/>
    <w:rsid w:val="00FB6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6FA"/>
    <w:pPr>
      <w:keepNext w:val="0"/>
      <w:tabs>
        <w:tab w:val="right" w:pos="4176"/>
      </w:tabs>
      <w:ind w:left="198" w:hanging="198"/>
    </w:pPr>
    <w:rPr>
      <w:rFonts w:ascii="Garamond" w:hAnsi="Garamond"/>
    </w:rPr>
  </w:style>
  <w:style w:type="paragraph" w:styleId="IndexHeading">
    <w:name w:val="index heading"/>
    <w:basedOn w:val="Normal"/>
    <w:next w:val="Index1"/>
    <w:semiHidden/>
    <w:rsid w:val="00FB66FA"/>
    <w:pPr>
      <w:spacing w:before="120" w:after="120"/>
    </w:pPr>
    <w:rPr>
      <w:rFonts w:ascii="Arial" w:hAnsi="Arial"/>
      <w:b/>
      <w:color w:val="918585"/>
      <w:sz w:val="24"/>
    </w:rPr>
  </w:style>
  <w:style w:type="paragraph" w:styleId="Header">
    <w:name w:val="header"/>
    <w:basedOn w:val="Normal"/>
    <w:link w:val="HeaderChar"/>
    <w:rsid w:val="00FB6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6FA"/>
    <w:rPr>
      <w:rFonts w:ascii="Times New Roman" w:eastAsia="Times New Roman" w:hAnsi="Times New Roman" w:cs="Times New Roman"/>
      <w:sz w:val="16"/>
      <w:szCs w:val="20"/>
      <w:lang w:val="en-GB" w:eastAsia="en-US"/>
    </w:rPr>
  </w:style>
  <w:style w:type="paragraph" w:customStyle="1" w:styleId="Chapter">
    <w:name w:val="Chapter"/>
    <w:basedOn w:val="Normal"/>
    <w:rsid w:val="00FB66FA"/>
    <w:pPr>
      <w:spacing w:before="240"/>
    </w:pPr>
    <w:rPr>
      <w:rFonts w:ascii="Times New Roman" w:hAnsi="Times New Roman"/>
      <w:smallCaps/>
      <w:spacing w:val="80"/>
      <w:sz w:val="28"/>
    </w:rPr>
  </w:style>
  <w:style w:type="paragraph" w:customStyle="1" w:styleId="InChapter">
    <w:name w:val="InChapter"/>
    <w:basedOn w:val="Heading3"/>
    <w:rsid w:val="00FB66FA"/>
    <w:pPr>
      <w:spacing w:after="240"/>
      <w:outlineLvl w:val="9"/>
    </w:pPr>
    <w:rPr>
      <w:noProof/>
    </w:rPr>
  </w:style>
  <w:style w:type="paragraph" w:styleId="Index2">
    <w:name w:val="index 2"/>
    <w:basedOn w:val="Normal"/>
    <w:next w:val="Normal"/>
    <w:semiHidden/>
    <w:rsid w:val="00FB66FA"/>
    <w:pPr>
      <w:tabs>
        <w:tab w:val="right" w:pos="4176"/>
      </w:tabs>
      <w:ind w:left="568" w:hanging="284"/>
    </w:pPr>
    <w:rPr>
      <w:rFonts w:ascii="Garamond" w:hAnsi="Garamond"/>
    </w:rPr>
  </w:style>
  <w:style w:type="paragraph" w:customStyle="1" w:styleId="Byline">
    <w:name w:val="Byline"/>
    <w:rsid w:val="00FB6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6FA"/>
    <w:pPr>
      <w:tabs>
        <w:tab w:val="clear" w:pos="3600"/>
        <w:tab w:val="clear" w:pos="3958"/>
      </w:tabs>
      <w:jc w:val="right"/>
    </w:pPr>
  </w:style>
  <w:style w:type="paragraph" w:styleId="Caption">
    <w:name w:val="caption"/>
    <w:basedOn w:val="BodyText"/>
    <w:next w:val="Normal"/>
    <w:qFormat/>
    <w:rsid w:val="00FB66FA"/>
    <w:pPr>
      <w:framePr w:w="2268" w:hSpace="181" w:vSpace="181" w:wrap="around" w:vAnchor="text" w:hAnchor="page" w:x="1135" w:y="285" w:anchorLock="1"/>
    </w:pPr>
    <w:rPr>
      <w:i/>
    </w:rPr>
  </w:style>
  <w:style w:type="paragraph" w:customStyle="1" w:styleId="MiniTOCTitle">
    <w:name w:val="MiniTOCTitle"/>
    <w:basedOn w:val="Heading4"/>
    <w:rsid w:val="00FB66FA"/>
    <w:pPr>
      <w:spacing w:before="240"/>
      <w:outlineLvl w:val="9"/>
    </w:pPr>
    <w:rPr>
      <w:noProof/>
      <w:sz w:val="24"/>
    </w:rPr>
  </w:style>
  <w:style w:type="paragraph" w:customStyle="1" w:styleId="MiniTOCItem">
    <w:name w:val="MiniTOCItem"/>
    <w:basedOn w:val="ListBullet"/>
    <w:rsid w:val="00FB66FA"/>
    <w:pPr>
      <w:numPr>
        <w:numId w:val="0"/>
      </w:numPr>
      <w:tabs>
        <w:tab w:val="right" w:leader="dot" w:pos="6521"/>
      </w:tabs>
      <w:spacing w:before="0" w:after="0"/>
    </w:pPr>
  </w:style>
  <w:style w:type="paragraph" w:customStyle="1" w:styleId="TOFTitle">
    <w:name w:val="TOFTitle"/>
    <w:basedOn w:val="TOCTitle"/>
    <w:rsid w:val="00FB66FA"/>
  </w:style>
  <w:style w:type="paragraph" w:styleId="TableofFigures">
    <w:name w:val="table of figures"/>
    <w:basedOn w:val="Normal"/>
    <w:next w:val="Normal"/>
    <w:semiHidden/>
    <w:rsid w:val="00FB66FA"/>
    <w:pPr>
      <w:tabs>
        <w:tab w:val="right" w:leader="dot" w:pos="9072"/>
      </w:tabs>
      <w:ind w:left="970" w:hanging="403"/>
    </w:pPr>
    <w:rPr>
      <w:rFonts w:ascii="Times New Roman" w:hAnsi="Times New Roman"/>
      <w:b/>
    </w:rPr>
  </w:style>
  <w:style w:type="paragraph" w:styleId="ListNumber">
    <w:name w:val="List Number"/>
    <w:basedOn w:val="List"/>
    <w:rsid w:val="00FB66FA"/>
    <w:pPr>
      <w:numPr>
        <w:numId w:val="11"/>
      </w:numPr>
    </w:pPr>
  </w:style>
  <w:style w:type="character" w:customStyle="1" w:styleId="WingdingSymbols">
    <w:name w:val="Wingding Symbols"/>
    <w:rsid w:val="00FB66FA"/>
    <w:rPr>
      <w:rFonts w:ascii="Wingdings" w:hAnsi="Wingdings"/>
    </w:rPr>
  </w:style>
  <w:style w:type="paragraph" w:customStyle="1" w:styleId="TableHeading">
    <w:name w:val="Table Heading"/>
    <w:basedOn w:val="HeadingBase"/>
    <w:rsid w:val="00FB66FA"/>
    <w:pPr>
      <w:keepLines/>
      <w:pBdr>
        <w:bottom w:val="single" w:sz="6" w:space="1" w:color="918585"/>
      </w:pBdr>
      <w:spacing w:before="240"/>
    </w:pPr>
  </w:style>
  <w:style w:type="character" w:customStyle="1" w:styleId="HotSpot">
    <w:name w:val="HotSpot"/>
    <w:rsid w:val="00FB66FA"/>
    <w:rPr>
      <w:color w:val="0033CC"/>
      <w:u w:val="none"/>
    </w:rPr>
  </w:style>
  <w:style w:type="paragraph" w:customStyle="1" w:styleId="BodyTextRight">
    <w:name w:val="Body Text Right"/>
    <w:basedOn w:val="BodyText"/>
    <w:rsid w:val="00FB66FA"/>
    <w:pPr>
      <w:spacing w:before="0" w:after="0"/>
      <w:jc w:val="right"/>
    </w:pPr>
  </w:style>
  <w:style w:type="paragraph" w:styleId="Index3">
    <w:name w:val="index 3"/>
    <w:basedOn w:val="ListNumber2"/>
    <w:next w:val="Normal"/>
    <w:semiHidden/>
    <w:rsid w:val="00FB66FA"/>
    <w:pPr>
      <w:numPr>
        <w:numId w:val="0"/>
      </w:numPr>
      <w:tabs>
        <w:tab w:val="right" w:leader="dot" w:pos="4176"/>
      </w:tabs>
    </w:pPr>
  </w:style>
  <w:style w:type="paragraph" w:styleId="ListNumber2">
    <w:name w:val="List Number 2"/>
    <w:basedOn w:val="List2"/>
    <w:rsid w:val="00FB66FA"/>
    <w:pPr>
      <w:numPr>
        <w:numId w:val="10"/>
      </w:numPr>
      <w:tabs>
        <w:tab w:val="clear" w:pos="1060"/>
      </w:tabs>
    </w:pPr>
  </w:style>
  <w:style w:type="paragraph" w:customStyle="1" w:styleId="MarginNote">
    <w:name w:val="Margin Note"/>
    <w:basedOn w:val="BodyText"/>
    <w:rsid w:val="00FB6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6FA"/>
    <w:rPr>
      <w:sz w:val="32"/>
    </w:rPr>
  </w:style>
  <w:style w:type="paragraph" w:customStyle="1" w:styleId="HeadingProcedure">
    <w:name w:val="Heading Procedure"/>
    <w:basedOn w:val="HeadingBase"/>
    <w:next w:val="Normal"/>
    <w:rsid w:val="00FB66FA"/>
    <w:pPr>
      <w:tabs>
        <w:tab w:val="left" w:pos="0"/>
      </w:tabs>
      <w:spacing w:before="120" w:after="60"/>
    </w:pPr>
    <w:rPr>
      <w:i/>
      <w:color w:val="918585"/>
      <w:sz w:val="22"/>
    </w:rPr>
  </w:style>
  <w:style w:type="paragraph" w:customStyle="1" w:styleId="TableBodyText">
    <w:name w:val="Table Body Text"/>
    <w:basedOn w:val="BodyText"/>
    <w:rsid w:val="00FB66FA"/>
    <w:pPr>
      <w:spacing w:before="60" w:after="60"/>
    </w:pPr>
  </w:style>
  <w:style w:type="paragraph" w:styleId="ListContinue">
    <w:name w:val="List Continue"/>
    <w:basedOn w:val="List"/>
    <w:rsid w:val="00FB66FA"/>
    <w:pPr>
      <w:ind w:firstLine="0"/>
    </w:pPr>
  </w:style>
  <w:style w:type="paragraph" w:customStyle="1" w:styleId="ListNote">
    <w:name w:val="List Note"/>
    <w:basedOn w:val="List"/>
    <w:rsid w:val="00FB66FA"/>
    <w:pPr>
      <w:pBdr>
        <w:top w:val="single" w:sz="6" w:space="2" w:color="918585"/>
        <w:bottom w:val="single" w:sz="6" w:space="2" w:color="918585"/>
      </w:pBdr>
      <w:tabs>
        <w:tab w:val="left" w:pos="1021"/>
      </w:tabs>
      <w:ind w:firstLine="0"/>
    </w:pPr>
  </w:style>
  <w:style w:type="paragraph" w:customStyle="1" w:styleId="Warning">
    <w:name w:val="Warning"/>
    <w:basedOn w:val="BodyText"/>
    <w:rsid w:val="00FB66FA"/>
    <w:pPr>
      <w:shd w:val="clear" w:color="auto" w:fill="D9D9D9"/>
      <w:tabs>
        <w:tab w:val="left" w:pos="992"/>
      </w:tabs>
      <w:ind w:left="119" w:right="119"/>
    </w:pPr>
    <w:rPr>
      <w:sz w:val="20"/>
    </w:rPr>
  </w:style>
  <w:style w:type="paragraph" w:customStyle="1" w:styleId="MarginIcons">
    <w:name w:val="Margin Icons"/>
    <w:basedOn w:val="BodyText"/>
    <w:rsid w:val="00FB6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6FA"/>
    <w:rPr>
      <w:rFonts w:ascii="Courier New" w:hAnsi="Courier New"/>
    </w:rPr>
  </w:style>
  <w:style w:type="paragraph" w:customStyle="1" w:styleId="NoteBullet">
    <w:name w:val="Note Bullet"/>
    <w:basedOn w:val="Note"/>
    <w:rsid w:val="00FB66FA"/>
    <w:pPr>
      <w:tabs>
        <w:tab w:val="clear" w:pos="680"/>
      </w:tabs>
      <w:spacing w:before="60" w:after="60"/>
    </w:pPr>
  </w:style>
  <w:style w:type="paragraph" w:customStyle="1" w:styleId="SubHeading2">
    <w:name w:val="SubHeading2"/>
    <w:basedOn w:val="HeadingBase"/>
    <w:rsid w:val="00FB66FA"/>
    <w:pPr>
      <w:spacing w:before="240" w:after="60"/>
    </w:pPr>
    <w:rPr>
      <w:sz w:val="20"/>
    </w:rPr>
  </w:style>
  <w:style w:type="paragraph" w:customStyle="1" w:styleId="SubHeading1">
    <w:name w:val="SubHeading1"/>
    <w:basedOn w:val="HeadingBase"/>
    <w:rsid w:val="00FB66FA"/>
    <w:pPr>
      <w:spacing w:before="240" w:after="60"/>
    </w:pPr>
    <w:rPr>
      <w:color w:val="918585"/>
      <w:sz w:val="22"/>
    </w:rPr>
  </w:style>
  <w:style w:type="paragraph" w:customStyle="1" w:styleId="SideHeading">
    <w:name w:val="Side Heading"/>
    <w:basedOn w:val="HeadingBase"/>
    <w:rsid w:val="00FB6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6FA"/>
    <w:pPr>
      <w:numPr>
        <w:numId w:val="12"/>
      </w:numPr>
    </w:pPr>
  </w:style>
  <w:style w:type="paragraph" w:styleId="PlainText">
    <w:name w:val="Plain Text"/>
    <w:basedOn w:val="Normal"/>
    <w:link w:val="PlainTextChar"/>
    <w:rsid w:val="00FB66FA"/>
    <w:rPr>
      <w:sz w:val="20"/>
    </w:rPr>
  </w:style>
  <w:style w:type="character" w:customStyle="1" w:styleId="PlainTextChar">
    <w:name w:val="Plain Text Char"/>
    <w:basedOn w:val="DefaultParagraphFont"/>
    <w:link w:val="PlainText"/>
    <w:rsid w:val="00FB66FA"/>
    <w:rPr>
      <w:rFonts w:ascii="Courier New" w:eastAsia="Times New Roman" w:hAnsi="Courier New" w:cs="Times New Roman"/>
      <w:sz w:val="20"/>
      <w:szCs w:val="20"/>
      <w:lang w:eastAsia="en-US"/>
    </w:rPr>
  </w:style>
  <w:style w:type="character" w:customStyle="1" w:styleId="MenuOption">
    <w:name w:val="Menu Option"/>
    <w:basedOn w:val="DefaultParagraphFont"/>
    <w:rsid w:val="00FB66FA"/>
    <w:rPr>
      <w:b/>
      <w:smallCaps/>
    </w:rPr>
  </w:style>
  <w:style w:type="paragraph" w:customStyle="1" w:styleId="TableListNumber">
    <w:name w:val="Table List Number"/>
    <w:basedOn w:val="ListNumber"/>
    <w:rsid w:val="00FB66FA"/>
    <w:pPr>
      <w:numPr>
        <w:numId w:val="0"/>
      </w:numPr>
    </w:pPr>
  </w:style>
  <w:style w:type="paragraph" w:styleId="TOC4">
    <w:name w:val="toc 4"/>
    <w:basedOn w:val="TOCBase"/>
    <w:next w:val="Normal"/>
    <w:semiHidden/>
    <w:rsid w:val="00FB66FA"/>
    <w:pPr>
      <w:tabs>
        <w:tab w:val="right" w:leader="dot" w:pos="9071"/>
      </w:tabs>
      <w:ind w:left="1701"/>
    </w:pPr>
  </w:style>
  <w:style w:type="paragraph" w:customStyle="1" w:styleId="ListAlpha">
    <w:name w:val="List Alpha"/>
    <w:basedOn w:val="List"/>
    <w:rsid w:val="00FB66FA"/>
    <w:pPr>
      <w:numPr>
        <w:numId w:val="9"/>
      </w:numPr>
    </w:pPr>
  </w:style>
  <w:style w:type="paragraph" w:customStyle="1" w:styleId="ListAlpha2">
    <w:name w:val="List Alpha 2"/>
    <w:basedOn w:val="List2"/>
    <w:rsid w:val="00FB66FA"/>
    <w:pPr>
      <w:numPr>
        <w:numId w:val="8"/>
      </w:numPr>
    </w:pPr>
  </w:style>
  <w:style w:type="paragraph" w:styleId="List2">
    <w:name w:val="List 2"/>
    <w:basedOn w:val="BodyText"/>
    <w:rsid w:val="00FB66FA"/>
    <w:pPr>
      <w:tabs>
        <w:tab w:val="left" w:pos="680"/>
      </w:tabs>
      <w:spacing w:before="60" w:after="60"/>
      <w:ind w:left="680" w:hanging="340"/>
    </w:pPr>
  </w:style>
  <w:style w:type="paragraph" w:styleId="List3">
    <w:name w:val="List 3"/>
    <w:basedOn w:val="BodyText"/>
    <w:rsid w:val="00FB66FA"/>
    <w:pPr>
      <w:tabs>
        <w:tab w:val="left" w:pos="1021"/>
      </w:tabs>
      <w:spacing w:before="60" w:after="60"/>
      <w:ind w:left="1020" w:hanging="340"/>
    </w:pPr>
  </w:style>
  <w:style w:type="paragraph" w:styleId="List4">
    <w:name w:val="List 4"/>
    <w:basedOn w:val="BodyText"/>
    <w:rsid w:val="00FB66FA"/>
    <w:pPr>
      <w:tabs>
        <w:tab w:val="left" w:pos="1361"/>
      </w:tabs>
      <w:spacing w:before="60" w:after="60"/>
      <w:ind w:left="1361" w:hanging="340"/>
    </w:pPr>
  </w:style>
  <w:style w:type="paragraph" w:styleId="List5">
    <w:name w:val="List 5"/>
    <w:basedOn w:val="BodyText"/>
    <w:rsid w:val="00FB66FA"/>
    <w:pPr>
      <w:tabs>
        <w:tab w:val="left" w:pos="1701"/>
      </w:tabs>
      <w:spacing w:before="60" w:after="60"/>
      <w:ind w:left="1701" w:hanging="340"/>
    </w:pPr>
  </w:style>
  <w:style w:type="paragraph" w:styleId="ListBullet3">
    <w:name w:val="List Bullet 3"/>
    <w:basedOn w:val="List3"/>
    <w:rsid w:val="00FB66FA"/>
    <w:pPr>
      <w:numPr>
        <w:numId w:val="15"/>
      </w:numPr>
      <w:tabs>
        <w:tab w:val="clear" w:pos="1021"/>
      </w:tabs>
      <w:ind w:left="1037" w:hanging="357"/>
    </w:pPr>
  </w:style>
  <w:style w:type="paragraph" w:styleId="ListBullet4">
    <w:name w:val="List Bullet 4"/>
    <w:basedOn w:val="List4"/>
    <w:rsid w:val="00FB66FA"/>
    <w:pPr>
      <w:numPr>
        <w:numId w:val="3"/>
      </w:numPr>
    </w:pPr>
  </w:style>
  <w:style w:type="paragraph" w:styleId="ListBullet5">
    <w:name w:val="List Bullet 5"/>
    <w:basedOn w:val="List5"/>
    <w:rsid w:val="00FB66FA"/>
    <w:pPr>
      <w:numPr>
        <w:numId w:val="4"/>
      </w:numPr>
    </w:pPr>
  </w:style>
  <w:style w:type="paragraph" w:styleId="ListContinue2">
    <w:name w:val="List Continue 2"/>
    <w:basedOn w:val="List2"/>
    <w:rsid w:val="00FB66FA"/>
    <w:pPr>
      <w:ind w:firstLine="0"/>
    </w:pPr>
  </w:style>
  <w:style w:type="paragraph" w:styleId="ListContinue3">
    <w:name w:val="List Continue 3"/>
    <w:basedOn w:val="List3"/>
    <w:rsid w:val="00FB66FA"/>
    <w:pPr>
      <w:ind w:left="1021" w:firstLine="0"/>
    </w:pPr>
  </w:style>
  <w:style w:type="paragraph" w:styleId="ListContinue4">
    <w:name w:val="List Continue 4"/>
    <w:basedOn w:val="List4"/>
    <w:rsid w:val="00FB66FA"/>
    <w:pPr>
      <w:ind w:firstLine="0"/>
    </w:pPr>
  </w:style>
  <w:style w:type="paragraph" w:styleId="ListContinue5">
    <w:name w:val="List Continue 5"/>
    <w:basedOn w:val="List5"/>
    <w:rsid w:val="00FB66FA"/>
    <w:pPr>
      <w:ind w:firstLine="0"/>
    </w:pPr>
  </w:style>
  <w:style w:type="paragraph" w:styleId="ListNumber3">
    <w:name w:val="List Number 3"/>
    <w:basedOn w:val="List3"/>
    <w:rsid w:val="00FB66FA"/>
    <w:pPr>
      <w:numPr>
        <w:numId w:val="5"/>
      </w:numPr>
    </w:pPr>
  </w:style>
  <w:style w:type="paragraph" w:styleId="ListNumber4">
    <w:name w:val="List Number 4"/>
    <w:basedOn w:val="List4"/>
    <w:rsid w:val="00FB66FA"/>
    <w:pPr>
      <w:numPr>
        <w:numId w:val="6"/>
      </w:numPr>
    </w:pPr>
  </w:style>
  <w:style w:type="paragraph" w:styleId="ListNumber5">
    <w:name w:val="List Number 5"/>
    <w:basedOn w:val="List5"/>
    <w:rsid w:val="00FB66FA"/>
    <w:pPr>
      <w:numPr>
        <w:numId w:val="7"/>
      </w:numPr>
    </w:pPr>
  </w:style>
  <w:style w:type="paragraph" w:styleId="BlockText">
    <w:name w:val="Block Text"/>
    <w:basedOn w:val="Normal"/>
    <w:rsid w:val="00FB66FA"/>
    <w:pPr>
      <w:spacing w:after="120"/>
      <w:ind w:left="1440" w:right="1440"/>
    </w:pPr>
  </w:style>
  <w:style w:type="character" w:customStyle="1" w:styleId="Subscript">
    <w:name w:val="Subscript"/>
    <w:basedOn w:val="DefaultParagraphFont"/>
    <w:rsid w:val="00FB66FA"/>
    <w:rPr>
      <w:sz w:val="16"/>
      <w:vertAlign w:val="subscript"/>
    </w:rPr>
  </w:style>
  <w:style w:type="character" w:customStyle="1" w:styleId="Superscript">
    <w:name w:val="Superscript"/>
    <w:basedOn w:val="DefaultParagraphFont"/>
    <w:rsid w:val="00FB66FA"/>
    <w:rPr>
      <w:sz w:val="16"/>
      <w:vertAlign w:val="superscript"/>
    </w:rPr>
  </w:style>
  <w:style w:type="character" w:customStyle="1" w:styleId="Symbols">
    <w:name w:val="Symbols"/>
    <w:basedOn w:val="DefaultParagraphFont"/>
    <w:rsid w:val="00FB66FA"/>
    <w:rPr>
      <w:rFonts w:ascii="Symbol" w:hAnsi="Symbol"/>
    </w:rPr>
  </w:style>
  <w:style w:type="character" w:customStyle="1" w:styleId="MenuOptions">
    <w:name w:val="Menu Options"/>
    <w:basedOn w:val="DefaultParagraphFont"/>
    <w:rsid w:val="00FB66FA"/>
    <w:rPr>
      <w:rFonts w:ascii="Arial Narrow" w:hAnsi="Arial Narrow"/>
      <w:smallCaps/>
    </w:rPr>
  </w:style>
  <w:style w:type="character" w:customStyle="1" w:styleId="Buttons">
    <w:name w:val="Buttons"/>
    <w:basedOn w:val="DefaultParagraphFont"/>
    <w:rsid w:val="00FB66FA"/>
    <w:rPr>
      <w:b/>
    </w:rPr>
  </w:style>
  <w:style w:type="character" w:customStyle="1" w:styleId="Underlined">
    <w:name w:val="Underlined"/>
    <w:basedOn w:val="DefaultParagraphFont"/>
    <w:rsid w:val="00FB66FA"/>
    <w:rPr>
      <w:u w:val="single"/>
    </w:rPr>
  </w:style>
  <w:style w:type="paragraph" w:customStyle="1" w:styleId="TableBodyTextRight">
    <w:name w:val="Table Body Text Right"/>
    <w:basedOn w:val="TableBodyText"/>
    <w:rsid w:val="00FB66FA"/>
    <w:pPr>
      <w:widowControl w:val="0"/>
      <w:autoSpaceDE w:val="0"/>
      <w:autoSpaceDN w:val="0"/>
      <w:adjustRightInd w:val="0"/>
      <w:jc w:val="right"/>
    </w:pPr>
    <w:rPr>
      <w:rFonts w:cs="Arial"/>
      <w:szCs w:val="18"/>
    </w:rPr>
  </w:style>
  <w:style w:type="paragraph" w:customStyle="1" w:styleId="CopyrightText">
    <w:name w:val="Copyright Text"/>
    <w:basedOn w:val="BodyText"/>
    <w:rsid w:val="00FB66FA"/>
    <w:rPr>
      <w:sz w:val="18"/>
    </w:rPr>
  </w:style>
  <w:style w:type="paragraph" w:customStyle="1" w:styleId="BodySmallRight">
    <w:name w:val="Body Small Right"/>
    <w:basedOn w:val="BodyTextRight"/>
    <w:rsid w:val="00FB66FA"/>
    <w:rPr>
      <w:sz w:val="18"/>
      <w:szCs w:val="18"/>
    </w:rPr>
  </w:style>
  <w:style w:type="paragraph" w:customStyle="1" w:styleId="MarginEdition">
    <w:name w:val="Margin Edition"/>
    <w:basedOn w:val="MarginNote"/>
    <w:rsid w:val="00FB66FA"/>
    <w:pPr>
      <w:spacing w:before="0" w:after="0"/>
    </w:pPr>
    <w:rPr>
      <w:rFonts w:ascii="Times New Roman" w:hAnsi="Times New Roman"/>
      <w:color w:val="999999"/>
    </w:rPr>
  </w:style>
  <w:style w:type="paragraph" w:customStyle="1" w:styleId="Spacer">
    <w:name w:val="Spacer"/>
    <w:basedOn w:val="Normal"/>
    <w:rsid w:val="00FB66FA"/>
    <w:rPr>
      <w:sz w:val="2"/>
      <w:szCs w:val="2"/>
    </w:rPr>
  </w:style>
  <w:style w:type="character" w:customStyle="1" w:styleId="Small">
    <w:name w:val="Small"/>
    <w:basedOn w:val="DefaultParagraphFont"/>
    <w:rsid w:val="00FB66FA"/>
    <w:rPr>
      <w:sz w:val="16"/>
    </w:rPr>
  </w:style>
  <w:style w:type="paragraph" w:customStyle="1" w:styleId="WideTable">
    <w:name w:val="Wide Table"/>
    <w:basedOn w:val="Normal"/>
    <w:rsid w:val="00FB66FA"/>
    <w:pPr>
      <w:ind w:left="-1418"/>
    </w:pPr>
    <w:rPr>
      <w:sz w:val="2"/>
      <w:szCs w:val="2"/>
    </w:rPr>
  </w:style>
  <w:style w:type="character" w:styleId="PageNumber">
    <w:name w:val="page number"/>
    <w:basedOn w:val="DefaultParagraphFont"/>
    <w:rsid w:val="00FB66FA"/>
  </w:style>
  <w:style w:type="paragraph" w:styleId="Quote">
    <w:name w:val="Quote"/>
    <w:basedOn w:val="Heading1"/>
    <w:link w:val="QuoteChar"/>
    <w:qFormat/>
    <w:rsid w:val="00FB66FA"/>
    <w:rPr>
      <w:b w:val="0"/>
      <w:sz w:val="72"/>
      <w:szCs w:val="72"/>
      <w:lang w:val="en-NZ"/>
    </w:rPr>
  </w:style>
  <w:style w:type="character" w:customStyle="1" w:styleId="QuoteChar">
    <w:name w:val="Quote Char"/>
    <w:basedOn w:val="DefaultParagraphFont"/>
    <w:link w:val="Quote"/>
    <w:rsid w:val="00FB6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6FA"/>
    <w:pPr>
      <w:pageBreakBefore/>
    </w:pPr>
  </w:style>
  <w:style w:type="paragraph" w:customStyle="1" w:styleId="Border">
    <w:name w:val="Border"/>
    <w:basedOn w:val="Normal"/>
    <w:qFormat/>
    <w:rsid w:val="00FB6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6FA"/>
    <w:rPr>
      <w:b/>
      <w:bCs/>
      <w:i/>
      <w:iCs/>
      <w:color w:val="auto"/>
    </w:rPr>
  </w:style>
  <w:style w:type="paragraph" w:styleId="IntenseQuote">
    <w:name w:val="Intense Quote"/>
    <w:basedOn w:val="Normal"/>
    <w:next w:val="Normal"/>
    <w:link w:val="IntenseQuoteChar"/>
    <w:uiPriority w:val="30"/>
    <w:qFormat/>
    <w:rsid w:val="00FB6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6FA"/>
    <w:rPr>
      <w:smallCaps/>
      <w:color w:val="auto"/>
      <w:u w:val="single"/>
    </w:rPr>
  </w:style>
  <w:style w:type="character" w:styleId="IntenseReference">
    <w:name w:val="Intense Reference"/>
    <w:basedOn w:val="DefaultParagraphFont"/>
    <w:uiPriority w:val="32"/>
    <w:qFormat/>
    <w:rsid w:val="00FB66FA"/>
    <w:rPr>
      <w:b/>
      <w:bCs/>
      <w:smallCaps/>
      <w:color w:val="auto"/>
      <w:spacing w:val="5"/>
      <w:u w:val="single"/>
    </w:rPr>
  </w:style>
  <w:style w:type="paragraph" w:customStyle="1" w:styleId="2ColumnHeading">
    <w:name w:val="2Column Heading"/>
    <w:basedOn w:val="BodyText"/>
    <w:qFormat/>
    <w:rsid w:val="00FB66FA"/>
    <w:pPr>
      <w:spacing w:after="60"/>
      <w:ind w:left="-2268"/>
    </w:pPr>
    <w:rPr>
      <w:b/>
    </w:rPr>
  </w:style>
  <w:style w:type="paragraph" w:customStyle="1" w:styleId="Heading1TOC">
    <w:name w:val="Heading1 TOC"/>
    <w:basedOn w:val="Normal"/>
    <w:qFormat/>
    <w:rsid w:val="00FB66FA"/>
    <w:pPr>
      <w:spacing w:before="240" w:after="120"/>
    </w:pPr>
    <w:rPr>
      <w:rFonts w:ascii="Times New Roman" w:hAnsi="Times New Roman"/>
      <w:b/>
      <w:sz w:val="32"/>
    </w:rPr>
  </w:style>
  <w:style w:type="paragraph" w:customStyle="1" w:styleId="Heading2TOC">
    <w:name w:val="Heading2 TOC"/>
    <w:basedOn w:val="Normal"/>
    <w:qFormat/>
    <w:rsid w:val="00FB66FA"/>
    <w:pPr>
      <w:spacing w:before="240" w:after="60"/>
    </w:pPr>
    <w:rPr>
      <w:rFonts w:ascii="Times New Roman" w:hAnsi="Times New Roman"/>
      <w:b/>
      <w:sz w:val="28"/>
    </w:rPr>
  </w:style>
  <w:style w:type="paragraph" w:styleId="BalloonText">
    <w:name w:val="Balloon Text"/>
    <w:basedOn w:val="Normal"/>
    <w:link w:val="BalloonTextChar"/>
    <w:rsid w:val="00FB66FA"/>
    <w:rPr>
      <w:rFonts w:ascii="Tahoma" w:hAnsi="Tahoma" w:cs="Tahoma"/>
      <w:sz w:val="16"/>
      <w:szCs w:val="16"/>
    </w:rPr>
  </w:style>
  <w:style w:type="character" w:customStyle="1" w:styleId="BalloonTextChar">
    <w:name w:val="Balloon Text Char"/>
    <w:basedOn w:val="DefaultParagraphFont"/>
    <w:link w:val="BalloonText"/>
    <w:rsid w:val="00FB6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6FA"/>
    <w:rPr>
      <w:b/>
      <w:color w:val="660033"/>
      <w:spacing w:val="0"/>
    </w:rPr>
  </w:style>
  <w:style w:type="paragraph" w:customStyle="1" w:styleId="Nameditemlist">
    <w:name w:val="Named item list"/>
    <w:basedOn w:val="BodyText"/>
    <w:qFormat/>
    <w:rsid w:val="00FB66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9843</Characters>
  <Application>Microsoft Office Word</Application>
  <DocSecurity>0</DocSecurity>
  <Lines>298</Lines>
  <Paragraphs>173</Paragraphs>
  <ScaleCrop>false</ScaleCrop>
  <Company>Author-it Software Corporation Ltd.</Company>
  <LinksUpToDate>false</LinksUpToDate>
  <CharactersWithSpaces>11282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PSPFIN601A Apply complex public sector financial requirements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2012-11-01T02:50:00Z</dcterms:created>
  <dcterms:modified xsi:type="dcterms:W3CDTF">2012-11-01T02:50:00Z</dcterms:modified>
</cp:coreProperties>
</file>