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B1C" w:rsidP="004D2B1C">
      <w:pPr>
        <w:pStyle w:val="Title"/>
      </w:pPr>
      <w:bookmarkStart w:id="0" w:name="_GoBack"/>
      <w:bookmarkEnd w:id="0"/>
      <w:r>
        <w:fldChar w:fldCharType="begin"/>
      </w:r>
      <w:r>
        <w:instrText xml:space="preserve"> TITLE   \* MERGEFORMAT </w:instrText>
      </w:r>
      <w:r>
        <w:fldChar w:fldCharType="separate"/>
      </w:r>
      <w:r>
        <w:t>PSPETHC601B Maintain and enhance confidence in public service</w:t>
      </w:r>
      <w:r>
        <w:fldChar w:fldCharType="end"/>
      </w:r>
    </w:p>
    <w:p w:rsidR="004D2B1C" w:rsidP="004D2B1C">
      <w:pPr>
        <w:pStyle w:val="Version"/>
        <w:sectPr w:rsidSect="001C60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C60C1" w:rsidP="001C60C1">
      <w:pPr>
        <w:pStyle w:val="SuperHeading"/>
      </w:pPr>
      <w:r w:rsidRPr="001C60C1">
        <w:t>PSPETHC601B Maintain and enhance confidence in public service</w:t>
      </w:r>
    </w:p>
    <w:p w:rsidR="00000000" w:rsidRPr="001C60C1" w:rsidP="001C60C1">
      <w:pPr>
        <w:pStyle w:val="SuperHeading"/>
      </w:pPr>
    </w:p>
    <w:p w:rsidR="00000000" w:rsidRPr="001C60C1" w:rsidP="001C60C1">
      <w:pPr>
        <w:pStyle w:val="Heading1"/>
      </w:pPr>
      <w:bookmarkStart w:id="1" w:name="O_492619"/>
      <w:bookmarkEnd w:id="1"/>
      <w:r w:rsidRPr="001C60C1">
        <w:t>Modification History</w:t>
      </w:r>
    </w:p>
    <w:tbl>
      <w:tblPr>
        <w:tblW w:w="0" w:type="auto"/>
        <w:tblLayout w:type="fixed"/>
        <w:tblCellMar>
          <w:left w:w="62" w:type="dxa"/>
          <w:right w:w="62" w:type="dxa"/>
        </w:tblCellMar>
        <w:tblLook w:val="0000"/>
      </w:tblPr>
      <w:tblGrid>
        <w:gridCol w:w="3052"/>
        <w:gridCol w:w="3052"/>
        <w:gridCol w:w="3052"/>
      </w:tblGrid>
      <w:tr w:rsidTr="004D2B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Comments</w:t>
            </w:r>
          </w:p>
        </w:tc>
      </w:tr>
      <w:tr w:rsidTr="004D2B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Unit descriptor edited. Evi</w:t>
            </w:r>
            <w:r w:rsidRPr="001C60C1">
              <w:t xml:space="preserve">dence guide edited. </w:t>
            </w:r>
          </w:p>
        </w:tc>
      </w:tr>
      <w:tr w:rsidTr="004D2B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Layout adjusted. No changes to content.</w:t>
            </w:r>
          </w:p>
        </w:tc>
      </w:tr>
      <w:tr w:rsidTr="004D2B1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BodyText"/>
            </w:pPr>
            <w:r w:rsidRPr="001C60C1">
              <w:t>Primary release.</w:t>
            </w:r>
          </w:p>
        </w:tc>
      </w:tr>
    </w:tbl>
    <w:p w:rsidR="004D2B1C" w:rsidP="001C60C1">
      <w:pPr>
        <w:pStyle w:val="BodyText"/>
      </w:pPr>
    </w:p>
    <w:p w:rsidR="004D2B1C" w:rsidP="001C60C1">
      <w:pPr>
        <w:pStyle w:val="BodyText"/>
      </w:pPr>
    </w:p>
    <w:p w:rsidR="00000000" w:rsidRPr="001C60C1" w:rsidP="001C60C1">
      <w:pPr>
        <w:pStyle w:val="Heading1"/>
      </w:pPr>
      <w:bookmarkStart w:id="2" w:name="O_492616"/>
      <w:bookmarkEnd w:id="2"/>
      <w:r w:rsidRPr="001C60C1">
        <w:t>Unit Descriptor</w:t>
      </w:r>
    </w:p>
    <w:p w:rsidR="00000000" w:rsidRPr="001C60C1" w:rsidP="001C60C1">
      <w:pPr>
        <w:pStyle w:val="BodyText"/>
      </w:pPr>
      <w:r w:rsidRPr="001C60C1">
        <w:t>This unit covers the provision of effective leadership by those in public service to encourage in others the highest standards of ethical conduct. It includes providing ethical leadership, balancing competing public interests and establishing and monitorin</w:t>
      </w:r>
      <w:r w:rsidRPr="001C60C1">
        <w:t xml:space="preserve">g processes and practices that encourage integrity. </w:t>
      </w:r>
    </w:p>
    <w:p w:rsidR="00000000" w:rsidRPr="001C60C1" w:rsidP="001C60C1">
      <w:pPr>
        <w:pStyle w:val="BodyText"/>
      </w:pPr>
      <w:r w:rsidRPr="001C60C1">
        <w:t>In practice, ethical conduct is demonstrated in the context of other generalist or specialist work activities such as managing client services, managing financial resources, providing strategic HR servic</w:t>
      </w:r>
      <w:r w:rsidRPr="001C60C1">
        <w:t>es, managing regulatory compliance, managing contracts.</w:t>
      </w:r>
    </w:p>
    <w:p w:rsidR="004D2B1C" w:rsidP="001C60C1">
      <w:pPr>
        <w:pStyle w:val="BodyText"/>
      </w:pPr>
      <w:r w:rsidRPr="001C60C1">
        <w:t>No licensing, legislative, regulatory or certification requirements apply to this unit at the time of publication.</w:t>
      </w:r>
    </w:p>
    <w:p w:rsidR="004D2B1C" w:rsidP="001C60C1">
      <w:pPr>
        <w:pStyle w:val="BodyText"/>
      </w:pPr>
    </w:p>
    <w:p w:rsidR="00000000" w:rsidRPr="001C60C1" w:rsidP="001C60C1">
      <w:pPr>
        <w:pStyle w:val="Heading1"/>
      </w:pPr>
      <w:bookmarkStart w:id="3" w:name="O_492629"/>
      <w:bookmarkEnd w:id="3"/>
      <w:r w:rsidRPr="001C60C1">
        <w:t>Application of the Unit</w:t>
      </w:r>
    </w:p>
    <w:p w:rsidR="00000000" w:rsidRPr="001C60C1" w:rsidP="001C60C1">
      <w:pPr>
        <w:pStyle w:val="BodyText"/>
      </w:pPr>
      <w:r w:rsidRPr="001C60C1">
        <w:t>This unit supports the attainment of skills and knowledge required for applying ethical conduct and accountability required in those working in government employment.</w:t>
      </w:r>
    </w:p>
    <w:p w:rsidR="00000000" w:rsidRPr="001C60C1" w:rsidP="001C60C1">
      <w:pPr>
        <w:pStyle w:val="AllowPageBreak"/>
      </w:pPr>
    </w:p>
    <w:p w:rsidR="00000000" w:rsidRPr="001C60C1" w:rsidP="001C60C1">
      <w:pPr>
        <w:pStyle w:val="Heading1"/>
      </w:pPr>
      <w:bookmarkStart w:id="4" w:name="O_492622"/>
      <w:bookmarkEnd w:id="4"/>
      <w:r w:rsidRPr="001C60C1">
        <w:t>Licensing/Regulatory Information</w:t>
      </w:r>
    </w:p>
    <w:p w:rsidR="00000000" w:rsidRPr="001C60C1" w:rsidP="001C60C1">
      <w:pPr>
        <w:pStyle w:val="BodyText"/>
      </w:pPr>
      <w:r w:rsidRPr="001C60C1">
        <w:t>Not applicable.</w:t>
      </w:r>
    </w:p>
    <w:p w:rsidR="00000000" w:rsidRPr="001C60C1" w:rsidP="001C60C1">
      <w:pPr>
        <w:pStyle w:val="AllowPageBreak"/>
      </w:pPr>
    </w:p>
    <w:p w:rsidR="00000000" w:rsidRPr="001C60C1" w:rsidP="001C60C1">
      <w:pPr>
        <w:pStyle w:val="Heading1"/>
      </w:pPr>
      <w:bookmarkStart w:id="5" w:name="O_492617"/>
      <w:bookmarkEnd w:id="5"/>
      <w:r w:rsidRPr="001C60C1">
        <w:t>Pre-Re</w:t>
      </w:r>
      <w:r w:rsidRPr="001C60C1">
        <w:t>quisites</w:t>
      </w:r>
    </w:p>
    <w:p w:rsidR="00000000" w:rsidRPr="001C60C1" w:rsidP="001C60C1">
      <w:pPr>
        <w:pStyle w:val="BodyText"/>
      </w:pPr>
      <w:r w:rsidRPr="001C60C1">
        <w:t>Not applicable.</w:t>
      </w:r>
    </w:p>
    <w:p w:rsidR="00000000" w:rsidRPr="001C60C1" w:rsidP="001C60C1">
      <w:pPr>
        <w:pStyle w:val="AllowPageBreak"/>
      </w:pPr>
    </w:p>
    <w:p w:rsidR="00000000" w:rsidRPr="001C60C1" w:rsidP="001C60C1">
      <w:pPr>
        <w:pStyle w:val="Heading1"/>
      </w:pPr>
      <w:bookmarkStart w:id="6" w:name="O_492625"/>
      <w:bookmarkEnd w:id="6"/>
      <w:r w:rsidRPr="001C60C1">
        <w:t>Employability Skills Information</w:t>
      </w:r>
    </w:p>
    <w:p w:rsidR="00000000" w:rsidRPr="001C60C1" w:rsidP="001C60C1">
      <w:pPr>
        <w:pStyle w:val="BodyText"/>
      </w:pPr>
      <w:r w:rsidRPr="001C60C1">
        <w:t>This unit contains employability skills.</w:t>
      </w:r>
    </w:p>
    <w:p w:rsidR="00000000" w:rsidRPr="001C60C1" w:rsidP="001C60C1">
      <w:pPr>
        <w:pStyle w:val="AllowPageBreak"/>
      </w:pPr>
    </w:p>
    <w:p w:rsidR="00000000" w:rsidRPr="001C60C1" w:rsidP="001C60C1">
      <w:pPr>
        <w:pStyle w:val="Heading1"/>
      </w:pPr>
      <w:bookmarkStart w:id="7" w:name="O_492626"/>
      <w:bookmarkEnd w:id="7"/>
      <w:r w:rsidRPr="001C60C1">
        <w:t>Elements and Performance Criteria Pre-Content</w:t>
      </w:r>
    </w:p>
    <w:tbl>
      <w:tblPr>
        <w:tblW w:w="9322" w:type="dxa"/>
        <w:tblLayout w:type="fixed"/>
        <w:tblCellMar>
          <w:left w:w="62" w:type="dxa"/>
          <w:right w:w="62" w:type="dxa"/>
        </w:tblCellMar>
        <w:tblLook w:val="0000"/>
      </w:tblPr>
      <w:tblGrid>
        <w:gridCol w:w="2660"/>
        <w:gridCol w:w="6662"/>
      </w:tblGrid>
      <w:tr w:rsidTr="004D2B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60C1">
            <w:pPr>
              <w:pStyle w:val="BodyText"/>
              <w:rPr>
                <w:lang w:val="en-NZ"/>
              </w:rPr>
            </w:pPr>
            <w:r w:rsidRPr="001C60C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C60C1" w:rsidP="001C60C1">
            <w:pPr>
              <w:pStyle w:val="BodyText"/>
            </w:pPr>
            <w:r w:rsidRPr="001C60C1">
              <w:t>Together, perf</w:t>
            </w:r>
            <w:r w:rsidRPr="001C60C1">
              <w:t xml:space="preserve">ormance criteria specify the requirements for competent performance. Text in </w:t>
            </w:r>
            <w:r w:rsidRPr="001C60C1">
              <w:rPr>
                <w:rStyle w:val="BoldandItalics"/>
              </w:rPr>
              <w:t>bold italics</w:t>
            </w:r>
            <w:r w:rsidRPr="001C60C1">
              <w:t xml:space="preserve"> is explained in the Range Statement following.</w:t>
            </w:r>
          </w:p>
        </w:tc>
      </w:tr>
    </w:tbl>
    <w:p w:rsidR="00000000" w:rsidRPr="001C60C1" w:rsidP="001C60C1">
      <w:pPr>
        <w:pStyle w:val="BodyText"/>
      </w:pPr>
    </w:p>
    <w:p w:rsidR="00000000" w:rsidRPr="001C60C1" w:rsidP="001C60C1">
      <w:pPr>
        <w:pStyle w:val="AllowPageBreak"/>
      </w:pPr>
    </w:p>
    <w:p w:rsidR="00000000" w:rsidRPr="001C60C1" w:rsidP="001C60C1">
      <w:pPr>
        <w:pStyle w:val="Heading1"/>
      </w:pPr>
      <w:bookmarkStart w:id="8" w:name="O_492627"/>
      <w:bookmarkEnd w:id="8"/>
      <w:r w:rsidRPr="001C60C1">
        <w:t>Elements and Performance Criteria</w:t>
      </w:r>
    </w:p>
    <w:tbl>
      <w:tblPr>
        <w:tblW w:w="9322" w:type="dxa"/>
        <w:tblLayout w:type="fixed"/>
        <w:tblCellMar>
          <w:left w:w="62" w:type="dxa"/>
          <w:right w:w="62" w:type="dxa"/>
        </w:tblCellMar>
        <w:tblLook w:val="0000"/>
      </w:tblPr>
      <w:tblGrid>
        <w:gridCol w:w="2660"/>
        <w:gridCol w:w="6662"/>
      </w:tblGrid>
      <w:tr w:rsidTr="004D2B1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C60C1" w:rsidP="001C60C1">
            <w:pPr>
              <w:pStyle w:val="BodyText"/>
            </w:pPr>
            <w:r w:rsidRPr="001C60C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60C1">
            <w:pPr>
              <w:pStyle w:val="BodyText"/>
              <w:rPr>
                <w:lang w:val="en-NZ"/>
              </w:rPr>
            </w:pPr>
            <w:r w:rsidRPr="001C60C1">
              <w:rPr>
                <w:rStyle w:val="SpecialBold"/>
              </w:rPr>
              <w:t>PERFORMANCE CRITERIA</w:t>
            </w:r>
          </w:p>
        </w:tc>
      </w:tr>
      <w:tr w:rsidTr="004D2B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60C1">
            <w:pPr>
              <w:pStyle w:val="List"/>
              <w:rPr>
                <w:lang w:val="en-NZ"/>
              </w:rPr>
            </w:pPr>
            <w:r w:rsidRPr="001C60C1">
              <w:rPr>
                <w:rStyle w:val="SpecialBold"/>
              </w:rPr>
              <w:t xml:space="preserve">1 </w:t>
            </w:r>
            <w:r w:rsidRPr="001C60C1">
              <w:rPr>
                <w:rStyle w:val="SpecialBold"/>
              </w:rPr>
              <w:tab/>
              <w:t>Provide ethical leadership</w:t>
            </w:r>
          </w:p>
        </w:tc>
        <w:tc>
          <w:tcPr>
            <w:tcW w:w="6662" w:type="dxa"/>
            <w:tcBorders>
              <w:top w:val="nil"/>
              <w:left w:val="nil"/>
              <w:bottom w:val="nil"/>
              <w:right w:val="nil"/>
            </w:tcBorders>
            <w:tcMar>
              <w:top w:w="0" w:type="dxa"/>
              <w:left w:w="62" w:type="dxa"/>
              <w:bottom w:w="0" w:type="dxa"/>
              <w:right w:w="62" w:type="dxa"/>
            </w:tcMar>
          </w:tcPr>
          <w:p w:rsidR="00000000" w:rsidRPr="001C60C1" w:rsidP="001C60C1">
            <w:pPr>
              <w:pStyle w:val="List"/>
            </w:pPr>
            <w:r w:rsidRPr="001C60C1">
              <w:t>1.1</w:t>
            </w:r>
            <w:r w:rsidRPr="001C60C1">
              <w:tab/>
            </w:r>
            <w:r w:rsidRPr="001C60C1">
              <w:rPr>
                <w:rStyle w:val="BoldandItalics"/>
              </w:rPr>
              <w:t xml:space="preserve">Ethical conduct </w:t>
            </w:r>
            <w:r w:rsidRPr="001C60C1">
              <w:t>is modelled, and reinforced in others.</w:t>
            </w:r>
          </w:p>
          <w:p w:rsidR="00000000" w:rsidRPr="001C60C1" w:rsidP="001C60C1">
            <w:pPr>
              <w:pStyle w:val="List"/>
            </w:pPr>
            <w:r w:rsidRPr="001C60C1">
              <w:t>1.2</w:t>
            </w:r>
            <w:r w:rsidRPr="001C60C1">
              <w:tab/>
              <w:t xml:space="preserve">The </w:t>
            </w:r>
            <w:r w:rsidRPr="001C60C1">
              <w:rPr>
                <w:rStyle w:val="BoldandItalics"/>
              </w:rPr>
              <w:t xml:space="preserve">professionalism </w:t>
            </w:r>
            <w:r w:rsidRPr="001C60C1">
              <w:t>required of public servants is communicated and encouraged in ways suited to the diversity of the workforce.</w:t>
            </w:r>
          </w:p>
          <w:p w:rsidR="00000000" w:rsidRPr="001C60C1" w:rsidP="001C60C1">
            <w:pPr>
              <w:pStyle w:val="List"/>
            </w:pPr>
            <w:r w:rsidRPr="001C60C1">
              <w:t>1.3</w:t>
            </w:r>
            <w:r w:rsidRPr="001C60C1">
              <w:tab/>
              <w:t>Staff are encouraged to raise ethical dilemmas, are provided wit</w:t>
            </w:r>
            <w:r w:rsidRPr="001C60C1">
              <w:t>h frameworks for ethical decision making and policy setting, and coached in their application.</w:t>
            </w:r>
          </w:p>
          <w:p w:rsidR="00000000" w:rsidRPr="001C60C1" w:rsidP="001C60C1">
            <w:pPr>
              <w:pStyle w:val="List"/>
            </w:pPr>
            <w:r w:rsidRPr="001C60C1">
              <w:t>1.4</w:t>
            </w:r>
            <w:r w:rsidRPr="001C60C1">
              <w:tab/>
              <w:t>Staff are provided with opportunities to develop skills in identifying and resolving situations requiring ethical judgment.</w:t>
            </w:r>
          </w:p>
          <w:p w:rsidR="00000000" w:rsidRPr="001C60C1" w:rsidP="001C60C1">
            <w:pPr>
              <w:pStyle w:val="List"/>
            </w:pPr>
            <w:r w:rsidRPr="001C60C1">
              <w:t>1.5</w:t>
            </w:r>
            <w:r w:rsidRPr="001C60C1">
              <w:tab/>
              <w:t xml:space="preserve">Clarification of the ethical </w:t>
            </w:r>
            <w:r w:rsidRPr="001C60C1">
              <w:t>aspects of decisions/actions and advice and guidance on more</w:t>
            </w:r>
            <w:r w:rsidRPr="001C60C1">
              <w:rPr>
                <w:rStyle w:val="BoldandItalics"/>
              </w:rPr>
              <w:t xml:space="preserve"> complex ethical problems</w:t>
            </w:r>
            <w:r w:rsidRPr="001C60C1">
              <w:t xml:space="preserve"> are provided promptly and documented in accordance with organisational policy and procedures.</w:t>
            </w:r>
          </w:p>
          <w:p w:rsidR="00000000" w:rsidRPr="001C60C1" w:rsidP="001C60C1">
            <w:pPr>
              <w:pStyle w:val="List"/>
            </w:pPr>
            <w:r w:rsidRPr="001C60C1">
              <w:t>1.6</w:t>
            </w:r>
            <w:r w:rsidRPr="001C60C1">
              <w:tab/>
              <w:t xml:space="preserve">The </w:t>
            </w:r>
            <w:r w:rsidRPr="001C60C1">
              <w:rPr>
                <w:rStyle w:val="BoldandItalics"/>
              </w:rPr>
              <w:t xml:space="preserve">reporting </w:t>
            </w:r>
            <w:r w:rsidRPr="001C60C1">
              <w:t>of suspected</w:t>
            </w:r>
            <w:r w:rsidRPr="001C60C1">
              <w:rPr>
                <w:rStyle w:val="BoldandItalics"/>
              </w:rPr>
              <w:t xml:space="preserve"> unethical conduct </w:t>
            </w:r>
            <w:r w:rsidRPr="001C60C1">
              <w:t>is encouraged, dealt with i</w:t>
            </w:r>
            <w:r w:rsidRPr="001C60C1">
              <w:t>n a confidential manner and acted on promptly, and in accordance with policy and procedures.</w:t>
            </w:r>
          </w:p>
          <w:p w:rsidR="00000000" w:rsidP="001C60C1">
            <w:pPr>
              <w:pStyle w:val="List"/>
              <w:rPr>
                <w:lang w:val="en-NZ"/>
              </w:rPr>
            </w:pPr>
            <w:r w:rsidRPr="001C60C1">
              <w:t>1.7</w:t>
            </w:r>
            <w:r w:rsidRPr="001C60C1">
              <w:tab/>
              <w:t>The work environment is monitored and policies/organisational procedures are evaluated for consistency with public sector standards, and changes are recommende</w:t>
            </w:r>
            <w:r w:rsidRPr="001C60C1">
              <w:t>d where necessary.</w:t>
            </w:r>
          </w:p>
        </w:tc>
      </w:tr>
      <w:tr w:rsidTr="004D2B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60C1">
            <w:pPr>
              <w:pStyle w:val="List"/>
              <w:rPr>
                <w:lang w:val="en-NZ"/>
              </w:rPr>
            </w:pPr>
            <w:r w:rsidRPr="001C60C1">
              <w:rPr>
                <w:rStyle w:val="SpecialBold"/>
              </w:rPr>
              <w:t>2</w:t>
            </w:r>
            <w:r w:rsidRPr="001C60C1">
              <w:t xml:space="preserve">. </w:t>
            </w:r>
            <w:r w:rsidRPr="001C60C1">
              <w:tab/>
            </w:r>
            <w:r w:rsidRPr="001C60C1">
              <w:rPr>
                <w:rStyle w:val="SpecialBold"/>
              </w:rPr>
              <w:t>Balance competing public interests</w:t>
            </w:r>
          </w:p>
        </w:tc>
        <w:tc>
          <w:tcPr>
            <w:tcW w:w="6662" w:type="dxa"/>
            <w:tcBorders>
              <w:top w:val="nil"/>
              <w:left w:val="nil"/>
              <w:bottom w:val="nil"/>
              <w:right w:val="nil"/>
            </w:tcBorders>
            <w:tcMar>
              <w:top w:w="0" w:type="dxa"/>
              <w:left w:w="62" w:type="dxa"/>
              <w:bottom w:w="0" w:type="dxa"/>
              <w:right w:w="62" w:type="dxa"/>
            </w:tcMar>
          </w:tcPr>
          <w:p w:rsidR="00000000" w:rsidRPr="001C60C1" w:rsidP="001C60C1">
            <w:pPr>
              <w:pStyle w:val="List"/>
            </w:pPr>
            <w:r w:rsidRPr="001C60C1">
              <w:t>2.1</w:t>
            </w:r>
            <w:r w:rsidRPr="001C60C1">
              <w:tab/>
              <w:t>Consideration of relevant facts is undertaken comprehensively, and weightings given to competing interests are unbiased, transparent and defensible.</w:t>
            </w:r>
          </w:p>
          <w:p w:rsidR="00000000" w:rsidRPr="001C60C1" w:rsidP="001C60C1">
            <w:pPr>
              <w:pStyle w:val="List"/>
            </w:pPr>
            <w:r w:rsidRPr="001C60C1">
              <w:t>2.2</w:t>
            </w:r>
            <w:r w:rsidRPr="001C60C1">
              <w:tab/>
              <w:t>Decision making processes are used trans</w:t>
            </w:r>
            <w:r w:rsidRPr="001C60C1">
              <w:t>parently, and accountably and reasoning/grounds for decisions are documented in accordance with policy and procedures.</w:t>
            </w:r>
          </w:p>
          <w:p w:rsidR="00000000" w:rsidRPr="001C60C1" w:rsidP="001C60C1">
            <w:pPr>
              <w:pStyle w:val="List"/>
            </w:pPr>
            <w:r w:rsidRPr="001C60C1">
              <w:t>2.3</w:t>
            </w:r>
            <w:r w:rsidRPr="001C60C1">
              <w:tab/>
              <w:t>Objective and impartial advice is provided to government regarding policy decisions relating to the public interest.</w:t>
            </w:r>
          </w:p>
          <w:p w:rsidR="00000000" w:rsidP="001C60C1">
            <w:pPr>
              <w:pStyle w:val="List"/>
              <w:rPr>
                <w:lang w:val="en-NZ"/>
              </w:rPr>
            </w:pPr>
            <w:r w:rsidRPr="001C60C1">
              <w:t>2.4</w:t>
            </w:r>
            <w:r w:rsidRPr="001C60C1">
              <w:tab/>
            </w:r>
            <w:r w:rsidRPr="001C60C1">
              <w:t xml:space="preserve">Where staff indicate </w:t>
            </w:r>
            <w:r w:rsidRPr="001C60C1">
              <w:rPr>
                <w:rStyle w:val="BoldandItalics"/>
              </w:rPr>
              <w:t>conflicts of interest,</w:t>
            </w:r>
            <w:r w:rsidRPr="001C60C1">
              <w:t xml:space="preserve"> action is taken immediately to resolve the situation in accordance with policy and procedures.</w:t>
            </w:r>
          </w:p>
        </w:tc>
      </w:tr>
      <w:tr w:rsidTr="004D2B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60C1">
            <w:pPr>
              <w:pStyle w:val="List"/>
              <w:rPr>
                <w:lang w:val="en-NZ"/>
              </w:rPr>
            </w:pPr>
            <w:r w:rsidRPr="001C60C1">
              <w:rPr>
                <w:rStyle w:val="SpecialBold"/>
              </w:rPr>
              <w:t>3</w:t>
            </w:r>
            <w:r w:rsidRPr="001C60C1">
              <w:t xml:space="preserve">. </w:t>
            </w:r>
            <w:r w:rsidRPr="001C60C1">
              <w:tab/>
            </w:r>
            <w:r w:rsidRPr="001C60C1">
              <w:rPr>
                <w:rStyle w:val="SpecialBold"/>
              </w:rPr>
              <w:t>Establish and monitor processes and practices that encourage integrity</w:t>
            </w:r>
            <w:r w:rsidRPr="001C60C1">
              <w:t xml:space="preserve"> </w:t>
            </w:r>
          </w:p>
        </w:tc>
        <w:tc>
          <w:tcPr>
            <w:tcW w:w="6662" w:type="dxa"/>
            <w:tcBorders>
              <w:top w:val="nil"/>
              <w:left w:val="nil"/>
              <w:bottom w:val="nil"/>
              <w:right w:val="nil"/>
            </w:tcBorders>
            <w:tcMar>
              <w:top w:w="0" w:type="dxa"/>
              <w:left w:w="62" w:type="dxa"/>
              <w:bottom w:w="0" w:type="dxa"/>
              <w:right w:w="62" w:type="dxa"/>
            </w:tcMar>
          </w:tcPr>
          <w:p w:rsidR="00000000" w:rsidRPr="001C60C1" w:rsidP="001C60C1">
            <w:pPr>
              <w:pStyle w:val="List"/>
            </w:pPr>
            <w:r w:rsidRPr="001C60C1">
              <w:t>3.1</w:t>
            </w:r>
            <w:r w:rsidRPr="001C60C1">
              <w:tab/>
            </w:r>
            <w:r w:rsidRPr="001C60C1">
              <w:rPr>
                <w:rStyle w:val="BoldandItalics"/>
              </w:rPr>
              <w:t xml:space="preserve">Organisational processes </w:t>
            </w:r>
            <w:r w:rsidRPr="001C60C1">
              <w:t>and practic</w:t>
            </w:r>
            <w:r w:rsidRPr="001C60C1">
              <w:t>es are developed or reviewed to ensure they meet the requirements of</w:t>
            </w:r>
            <w:r w:rsidRPr="001C60C1">
              <w:rPr>
                <w:rStyle w:val="BoldandItalics"/>
              </w:rPr>
              <w:t xml:space="preserve"> procedural fairness</w:t>
            </w:r>
            <w:r w:rsidRPr="001C60C1">
              <w:t xml:space="preserve"> and accountability.</w:t>
            </w:r>
          </w:p>
          <w:p w:rsidR="00000000" w:rsidRPr="001C60C1" w:rsidP="001C60C1">
            <w:pPr>
              <w:pStyle w:val="List"/>
            </w:pPr>
            <w:r w:rsidRPr="001C60C1">
              <w:t>3.2</w:t>
            </w:r>
            <w:r w:rsidRPr="001C60C1">
              <w:tab/>
              <w:t xml:space="preserve">Processes are developed containing mechanisms to ensure that public resources are used in accordance with public sector ethics standards, </w:t>
            </w:r>
            <w:r w:rsidRPr="001C60C1">
              <w:rPr>
                <w:rStyle w:val="BoldandItalics"/>
              </w:rPr>
              <w:t>legis</w:t>
            </w:r>
            <w:r w:rsidRPr="001C60C1">
              <w:rPr>
                <w:rStyle w:val="BoldandItalics"/>
              </w:rPr>
              <w:t>lation, policy and/or guidelines</w:t>
            </w:r>
            <w:r w:rsidRPr="001C60C1">
              <w:rPr>
                <w:rStyle w:val="Emphasis"/>
              </w:rPr>
              <w:t>.</w:t>
            </w:r>
          </w:p>
          <w:p w:rsidR="00000000" w:rsidRPr="001C60C1" w:rsidP="001C60C1">
            <w:pPr>
              <w:pStyle w:val="List"/>
            </w:pPr>
            <w:r w:rsidRPr="001C60C1">
              <w:t>3.3</w:t>
            </w:r>
            <w:r w:rsidRPr="001C60C1">
              <w:tab/>
              <w:t>Risk management strategies are included in processes and meet client, staff and organisational needs for transparency and accountability.</w:t>
            </w:r>
          </w:p>
          <w:p w:rsidR="00000000" w:rsidRPr="001C60C1" w:rsidP="001C60C1">
            <w:pPr>
              <w:pStyle w:val="List"/>
            </w:pPr>
            <w:r w:rsidRPr="001C60C1">
              <w:t>3.4</w:t>
            </w:r>
            <w:r w:rsidRPr="001C60C1">
              <w:tab/>
              <w:t>Processes and practices are monitored to ensure they encourage and support t</w:t>
            </w:r>
            <w:r w:rsidRPr="001C60C1">
              <w:t xml:space="preserve">hose reporting unethical conduct and protect them </w:t>
            </w:r>
            <w:r w:rsidRPr="001C60C1">
              <w:t>from reprisals.</w:t>
            </w:r>
          </w:p>
          <w:p w:rsidR="00000000" w:rsidRPr="001C60C1" w:rsidP="001C60C1">
            <w:pPr>
              <w:pStyle w:val="List"/>
            </w:pPr>
            <w:r w:rsidRPr="001C60C1">
              <w:t>3.5</w:t>
            </w:r>
            <w:r w:rsidRPr="001C60C1">
              <w:tab/>
              <w:t>Action is taken to ensure that the ethical standard of conduct of contractors is consistent with the requirements of the contracting organisation.</w:t>
            </w:r>
          </w:p>
        </w:tc>
      </w:tr>
    </w:tbl>
    <w:p w:rsidR="00000000" w:rsidRPr="001C60C1" w:rsidP="001C60C1">
      <w:pPr>
        <w:pStyle w:val="BodyText"/>
      </w:pPr>
    </w:p>
    <w:p w:rsidR="00000000" w:rsidRPr="001C60C1" w:rsidP="001C60C1">
      <w:pPr>
        <w:pStyle w:val="AllowPageBreak"/>
      </w:pPr>
    </w:p>
    <w:p w:rsidR="00000000" w:rsidRPr="001C60C1" w:rsidP="001C60C1">
      <w:pPr>
        <w:pStyle w:val="Heading1"/>
      </w:pPr>
      <w:bookmarkStart w:id="9" w:name="O_492620"/>
      <w:bookmarkEnd w:id="9"/>
      <w:r w:rsidRPr="001C60C1">
        <w:t xml:space="preserve">Required Skills and </w:t>
      </w:r>
      <w:r w:rsidRPr="001C60C1">
        <w:t>Knowledge</w:t>
      </w:r>
    </w:p>
    <w:tbl>
      <w:tblPr>
        <w:tblW w:w="9322" w:type="dxa"/>
        <w:tblLayout w:type="fixed"/>
        <w:tblCellMar>
          <w:left w:w="62" w:type="dxa"/>
          <w:right w:w="62" w:type="dxa"/>
        </w:tblCellMar>
        <w:tblLook w:val="0000"/>
      </w:tblPr>
      <w:tblGrid>
        <w:gridCol w:w="9322"/>
      </w:tblGrid>
      <w:tr w:rsidTr="004D2B1C">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1C60C1">
            <w:pPr>
              <w:pStyle w:val="BodyText"/>
              <w:rPr>
                <w:lang w:val="en-NZ"/>
              </w:rPr>
            </w:pPr>
            <w:r w:rsidRPr="001C60C1">
              <w:t>This section describes the essential skills and knowledge and their level, required for this unit.</w:t>
            </w:r>
          </w:p>
        </w:tc>
      </w:tr>
      <w:tr w:rsidTr="004D2B1C">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1C60C1" w:rsidP="001C60C1">
            <w:pPr>
              <w:pStyle w:val="BodyText"/>
            </w:pPr>
            <w:r w:rsidRPr="001C60C1">
              <w:rPr>
                <w:rStyle w:val="SpecialBold"/>
              </w:rPr>
              <w:t>Skill requirements</w:t>
            </w:r>
          </w:p>
          <w:p w:rsidR="00000000" w:rsidRPr="001C60C1" w:rsidP="001C60C1">
            <w:pPr>
              <w:pStyle w:val="BodyText"/>
            </w:pPr>
            <w:r w:rsidRPr="001C60C1">
              <w:t>Look for evidence that confirms skills in:</w:t>
            </w:r>
          </w:p>
          <w:p w:rsidR="00000000" w:rsidRPr="001C60C1" w:rsidP="001C60C1">
            <w:pPr>
              <w:pStyle w:val="ListBullet"/>
            </w:pPr>
            <w:r w:rsidRPr="001C60C1">
              <w:t>using frameworks for ethical decision making</w:t>
            </w:r>
          </w:p>
          <w:p w:rsidR="00000000" w:rsidRPr="001C60C1" w:rsidP="001C60C1">
            <w:pPr>
              <w:pStyle w:val="ListBullet"/>
            </w:pPr>
            <w:r w:rsidRPr="001C60C1">
              <w:t>analysing policies/organisational procedures for consistency with public sector standards</w:t>
            </w:r>
          </w:p>
          <w:p w:rsidR="00000000" w:rsidRPr="001C60C1" w:rsidP="001C60C1">
            <w:pPr>
              <w:pStyle w:val="ListBullet"/>
            </w:pPr>
            <w:r w:rsidRPr="001C60C1">
              <w:t>using a variety of words and language structures to explain complex ideas to different audiences</w:t>
            </w:r>
          </w:p>
          <w:p w:rsidR="00000000" w:rsidRPr="001C60C1" w:rsidP="001C60C1">
            <w:pPr>
              <w:pStyle w:val="ListBullet"/>
            </w:pPr>
            <w:r w:rsidRPr="001C60C1">
              <w:t>interpreting and explaining complex, formal documents and assisting o</w:t>
            </w:r>
            <w:r w:rsidRPr="001C60C1">
              <w:t>thers to apply them in the workplace</w:t>
            </w:r>
          </w:p>
          <w:p w:rsidR="00000000" w:rsidRPr="001C60C1" w:rsidP="001C60C1">
            <w:pPr>
              <w:pStyle w:val="ListBullet"/>
            </w:pPr>
            <w:r w:rsidRPr="001C60C1">
              <w:t>using strategies to clarify understanding</w:t>
            </w:r>
          </w:p>
          <w:p w:rsidR="00000000" w:rsidRPr="001C60C1" w:rsidP="001C60C1">
            <w:pPr>
              <w:pStyle w:val="ListBullet"/>
            </w:pPr>
            <w:r w:rsidRPr="001C60C1">
              <w:t>preparing written advice and reports requiring precision of expression</w:t>
            </w:r>
          </w:p>
          <w:p w:rsidR="00000000" w:rsidRPr="001C60C1" w:rsidP="001C60C1">
            <w:pPr>
              <w:pStyle w:val="ListBullet"/>
            </w:pPr>
            <w:r w:rsidRPr="001C60C1">
              <w:t>accessing legislation and codes of ethics electronically or in hard copy</w:t>
            </w:r>
          </w:p>
          <w:p w:rsidR="00000000" w:rsidRPr="001C60C1" w:rsidP="001C60C1">
            <w:pPr>
              <w:pStyle w:val="ListBullet"/>
            </w:pPr>
            <w:r w:rsidRPr="001C60C1">
              <w:t>responding to diversity, includin</w:t>
            </w:r>
            <w:r w:rsidRPr="001C60C1">
              <w:t>g gender and disability</w:t>
            </w:r>
          </w:p>
          <w:p w:rsidR="00000000" w:rsidP="001C60C1">
            <w:pPr>
              <w:pStyle w:val="ListBullet"/>
              <w:rPr>
                <w:lang w:val="en-NZ"/>
              </w:rPr>
            </w:pPr>
            <w:r w:rsidRPr="001C60C1">
              <w:t>ensuring staff apply occupational health and safety procedures relating to ethical work practices</w:t>
            </w:r>
          </w:p>
        </w:tc>
      </w:tr>
      <w:tr w:rsidTr="004D2B1C">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1C60C1" w:rsidP="001C60C1">
            <w:pPr>
              <w:pStyle w:val="BodyText"/>
            </w:pPr>
            <w:r w:rsidRPr="001C60C1">
              <w:rPr>
                <w:rStyle w:val="SpecialBold"/>
              </w:rPr>
              <w:t>Knowledge requirements</w:t>
            </w:r>
          </w:p>
          <w:p w:rsidR="00000000" w:rsidRPr="001C60C1" w:rsidP="001C60C1">
            <w:pPr>
              <w:pStyle w:val="BodyText"/>
            </w:pPr>
            <w:r w:rsidRPr="001C60C1">
              <w:t>Look for evidence that confirms knowledge and understanding of:</w:t>
            </w:r>
          </w:p>
          <w:p w:rsidR="00000000" w:rsidRPr="001C60C1" w:rsidP="001C60C1">
            <w:pPr>
              <w:pStyle w:val="ListBullet"/>
            </w:pPr>
            <w:r w:rsidRPr="001C60C1">
              <w:t>public sector ethics</w:t>
            </w:r>
          </w:p>
          <w:p w:rsidR="00000000" w:rsidRPr="001C60C1" w:rsidP="001C60C1">
            <w:pPr>
              <w:pStyle w:val="ListBullet"/>
            </w:pPr>
            <w:r w:rsidRPr="001C60C1">
              <w:t>organisational code of ethics/conduct</w:t>
            </w:r>
          </w:p>
          <w:p w:rsidR="00000000" w:rsidRPr="001C60C1" w:rsidP="001C60C1">
            <w:pPr>
              <w:pStyle w:val="ListBullet"/>
            </w:pPr>
            <w:r w:rsidRPr="001C60C1">
              <w:t>legislation related to privacy, freedom of information, human rights, whistleblower protection</w:t>
            </w:r>
          </w:p>
          <w:p w:rsidR="00000000" w:rsidRPr="001C60C1" w:rsidP="001C60C1">
            <w:pPr>
              <w:pStyle w:val="ListBullet"/>
            </w:pPr>
            <w:r w:rsidRPr="001C60C1">
              <w:t>procedural fairness</w:t>
            </w:r>
          </w:p>
          <w:p w:rsidR="00000000" w:rsidRPr="001C60C1" w:rsidP="001C60C1">
            <w:pPr>
              <w:pStyle w:val="ListBullet"/>
            </w:pPr>
            <w:r w:rsidRPr="001C60C1">
              <w:t>equal employment opportunity, equity and diversity principles</w:t>
            </w:r>
          </w:p>
          <w:p w:rsidR="00000000" w:rsidRPr="001C60C1" w:rsidP="001C60C1">
            <w:pPr>
              <w:pStyle w:val="ListBullet"/>
            </w:pPr>
            <w:r w:rsidRPr="001C60C1">
              <w:t>procedures for declaring conflicts of int</w:t>
            </w:r>
            <w:r w:rsidRPr="001C60C1">
              <w:t>erest</w:t>
            </w:r>
          </w:p>
          <w:p w:rsidR="00000000" w:rsidRPr="001C60C1" w:rsidP="001C60C1">
            <w:pPr>
              <w:pStyle w:val="ListBullet"/>
            </w:pPr>
            <w:r w:rsidRPr="001C60C1">
              <w:t>procedures or protocols for reporting unethical conduct</w:t>
            </w:r>
          </w:p>
          <w:p w:rsidR="00000000" w:rsidRPr="001C60C1" w:rsidP="001C60C1">
            <w:pPr>
              <w:pStyle w:val="ListBullet"/>
            </w:pPr>
            <w:r w:rsidRPr="001C60C1">
              <w:t>occupational health and safety procedures relating to ethical work practices</w:t>
            </w:r>
          </w:p>
        </w:tc>
      </w:tr>
    </w:tbl>
    <w:p w:rsidR="00000000" w:rsidRPr="001C60C1" w:rsidP="001C60C1">
      <w:pPr>
        <w:pStyle w:val="BodyText"/>
      </w:pPr>
    </w:p>
    <w:p w:rsidR="00000000" w:rsidRPr="001C60C1" w:rsidP="001C60C1">
      <w:pPr>
        <w:pStyle w:val="AllowPageBreak"/>
      </w:pPr>
    </w:p>
    <w:p w:rsidR="00000000" w:rsidRPr="001C60C1" w:rsidP="001C60C1">
      <w:pPr>
        <w:pStyle w:val="Heading1"/>
      </w:pPr>
      <w:bookmarkStart w:id="10" w:name="O_492624"/>
      <w:bookmarkEnd w:id="10"/>
      <w:r w:rsidRPr="001C60C1">
        <w:t>Evidence Guide</w:t>
      </w:r>
    </w:p>
    <w:tbl>
      <w:tblPr>
        <w:tblW w:w="9322" w:type="dxa"/>
        <w:tblLayout w:type="fixed"/>
        <w:tblCellMar>
          <w:left w:w="62" w:type="dxa"/>
          <w:right w:w="62" w:type="dxa"/>
        </w:tblCellMar>
        <w:tblLook w:val="0000"/>
      </w:tblPr>
      <w:tblGrid>
        <w:gridCol w:w="2660"/>
        <w:gridCol w:w="6662"/>
      </w:tblGrid>
      <w:tr w:rsidTr="004D2B1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C60C1">
            <w:pPr>
              <w:pStyle w:val="BodyText"/>
              <w:rPr>
                <w:lang w:val="en-NZ"/>
              </w:rPr>
            </w:pPr>
            <w:r w:rsidRPr="001C60C1">
              <w:t>The Evidence Guide specifies the evidence required to demonstrate achievement in th</w:t>
            </w:r>
            <w:r w:rsidRPr="001C60C1">
              <w:t>e unit of competency as a whole. It must be read in conjunction with the Unit descriptor, Performance Criteria, the Range Statement and the Assessment Guidelines for the Public Sector Training Package.</w:t>
            </w:r>
          </w:p>
        </w:tc>
      </w:tr>
      <w:tr w:rsidTr="004D2B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C60C1" w:rsidP="001C60C1">
            <w:pPr>
              <w:pStyle w:val="BodyText"/>
            </w:pPr>
            <w:r w:rsidRPr="001C60C1">
              <w:rPr>
                <w:rStyle w:val="SpecialBold"/>
              </w:rPr>
              <w:t>Units to be assessed together</w:t>
            </w:r>
            <w:r w:rsidRPr="001C60C1">
              <w:t xml:space="preserve"> </w:t>
            </w:r>
          </w:p>
        </w:tc>
        <w:tc>
          <w:tcPr>
            <w:tcW w:w="6662" w:type="dxa"/>
            <w:tcBorders>
              <w:top w:val="nil"/>
              <w:left w:val="nil"/>
              <w:bottom w:val="nil"/>
              <w:right w:val="nil"/>
            </w:tcBorders>
            <w:tcMar>
              <w:top w:w="0" w:type="dxa"/>
              <w:left w:w="62" w:type="dxa"/>
              <w:bottom w:w="0" w:type="dxa"/>
              <w:right w:w="62" w:type="dxa"/>
            </w:tcMar>
          </w:tcPr>
          <w:p w:rsidR="00000000" w:rsidRPr="001C60C1" w:rsidP="001C60C1">
            <w:pPr>
              <w:pStyle w:val="ListBullet"/>
            </w:pPr>
            <w:r w:rsidRPr="001C60C1">
              <w:rPr>
                <w:rStyle w:val="Emphasis"/>
              </w:rPr>
              <w:t>Pre</w:t>
            </w:r>
            <w:r w:rsidRPr="001C60C1">
              <w:t>-</w:t>
            </w:r>
            <w:r w:rsidRPr="001C60C1">
              <w:rPr>
                <w:rStyle w:val="Emphasis"/>
              </w:rPr>
              <w:t>requisite</w:t>
            </w:r>
            <w:r w:rsidRPr="001C60C1">
              <w:t xml:space="preserve"> units that </w:t>
            </w:r>
            <w:r w:rsidRPr="001C60C1">
              <w:rPr>
                <w:rStyle w:val="Underline"/>
              </w:rPr>
              <w:t>must</w:t>
            </w:r>
            <w:r w:rsidRPr="001C60C1">
              <w:t xml:space="preserve"> be achieved </w:t>
            </w:r>
            <w:r w:rsidRPr="001C60C1">
              <w:rPr>
                <w:rStyle w:val="Underline"/>
              </w:rPr>
              <w:t>prior</w:t>
            </w:r>
            <w:r w:rsidRPr="001C60C1">
              <w:t xml:space="preserve"> to this unit:</w:t>
            </w:r>
            <w:r w:rsidRPr="001C60C1">
              <w:rPr>
                <w:rStyle w:val="Emphasis"/>
              </w:rPr>
              <w:t>Nil</w:t>
            </w:r>
          </w:p>
          <w:p w:rsidR="00000000" w:rsidRPr="001C60C1" w:rsidP="001C60C1">
            <w:pPr>
              <w:pStyle w:val="ListBullet"/>
            </w:pPr>
            <w:r w:rsidRPr="001C60C1">
              <w:rPr>
                <w:rStyle w:val="Emphasis"/>
              </w:rPr>
              <w:t>Co</w:t>
            </w:r>
            <w:r w:rsidRPr="001C60C1">
              <w:t>-</w:t>
            </w:r>
            <w:r w:rsidRPr="001C60C1">
              <w:rPr>
                <w:rStyle w:val="Emphasis"/>
              </w:rPr>
              <w:t>requisite</w:t>
            </w:r>
            <w:r w:rsidRPr="001C60C1">
              <w:t xml:space="preserve"> units that </w:t>
            </w:r>
            <w:r w:rsidRPr="001C60C1">
              <w:rPr>
                <w:rStyle w:val="Underline"/>
              </w:rPr>
              <w:t>must</w:t>
            </w:r>
            <w:r w:rsidRPr="001C60C1">
              <w:t xml:space="preserve"> be assessed </w:t>
            </w:r>
            <w:r w:rsidRPr="001C60C1">
              <w:rPr>
                <w:rStyle w:val="Underline"/>
              </w:rPr>
              <w:t>with</w:t>
            </w:r>
            <w:r w:rsidRPr="001C60C1">
              <w:t xml:space="preserve"> this unit:</w:t>
            </w:r>
            <w:r w:rsidRPr="001C60C1">
              <w:rPr>
                <w:rStyle w:val="Emphasis"/>
              </w:rPr>
              <w:t>Nil</w:t>
            </w:r>
          </w:p>
          <w:p w:rsidR="00000000" w:rsidRPr="001C60C1" w:rsidP="001C60C1">
            <w:pPr>
              <w:pStyle w:val="ListBullet"/>
            </w:pPr>
            <w:r w:rsidRPr="001C60C1">
              <w:rPr>
                <w:rStyle w:val="Emphasis"/>
              </w:rPr>
              <w:t>Co</w:t>
            </w:r>
            <w:r w:rsidRPr="001C60C1">
              <w:t>-</w:t>
            </w:r>
            <w:r w:rsidRPr="001C60C1">
              <w:rPr>
                <w:rStyle w:val="Emphasis"/>
              </w:rPr>
              <w:t>assessed units</w:t>
            </w:r>
            <w:r w:rsidRPr="001C60C1">
              <w:t xml:space="preserve"> that </w:t>
            </w:r>
            <w:r w:rsidRPr="001C60C1">
              <w:rPr>
                <w:rStyle w:val="Underline"/>
              </w:rPr>
              <w:t>may</w:t>
            </w:r>
            <w:r w:rsidRPr="001C60C1">
              <w:t xml:space="preserve"> be assessed with this unit to increase the efficiency and</w:t>
            </w:r>
            <w:r w:rsidRPr="001C60C1">
              <w:t xml:space="preserve"> realism of the assessment process include, but are not limited to, a range of (2 or more) generalist or specialist units of competency at Advanced Diploma level or above. Choice from the following units is recommended:</w:t>
            </w:r>
          </w:p>
          <w:p w:rsidR="00000000" w:rsidRPr="001C60C1" w:rsidP="001C60C1">
            <w:pPr>
              <w:pStyle w:val="ListBullet2"/>
            </w:pPr>
            <w:r w:rsidRPr="001C60C1">
              <w:t>PSPGOV601B Apply government systems</w:t>
            </w:r>
          </w:p>
          <w:p w:rsidR="00000000" w:rsidRPr="001C60C1" w:rsidP="001C60C1">
            <w:pPr>
              <w:pStyle w:val="ListBullet2"/>
            </w:pPr>
            <w:r w:rsidRPr="001C60C1">
              <w:t xml:space="preserve">PSPGOV603B Develop a tender submission response </w:t>
            </w:r>
          </w:p>
          <w:p w:rsidR="00000000" w:rsidRPr="001C60C1" w:rsidP="001C60C1">
            <w:pPr>
              <w:pStyle w:val="ListBullet2"/>
            </w:pPr>
            <w:r w:rsidRPr="001C60C1">
              <w:t>PSPGOV604A Foster leadership and innovation</w:t>
            </w:r>
          </w:p>
          <w:p w:rsidR="00000000" w:rsidRPr="001C60C1" w:rsidP="001C60C1">
            <w:pPr>
              <w:pStyle w:val="ListBullet2"/>
            </w:pPr>
            <w:r w:rsidRPr="001C60C1">
              <w:t>PSPGOV605A Persuade and influence opinion</w:t>
            </w:r>
          </w:p>
          <w:p w:rsidR="00000000" w:rsidRPr="001C60C1" w:rsidP="001C60C1">
            <w:pPr>
              <w:pStyle w:val="ListBullet2"/>
            </w:pPr>
            <w:r w:rsidRPr="001C60C1">
              <w:t>PSPLEGN601B Manage compliance with legislation in the public sector</w:t>
            </w:r>
          </w:p>
          <w:p w:rsidR="00000000" w:rsidRPr="001C60C1" w:rsidP="001C60C1">
            <w:pPr>
              <w:pStyle w:val="ListBullet2"/>
            </w:pPr>
            <w:r w:rsidRPr="001C60C1">
              <w:t>PSPMNGT602B Manage resources</w:t>
            </w:r>
          </w:p>
          <w:p w:rsidR="00000000" w:rsidRPr="001C60C1" w:rsidP="001C60C1">
            <w:pPr>
              <w:pStyle w:val="ListBullet2"/>
            </w:pPr>
            <w:r w:rsidRPr="001C60C1">
              <w:t>PSPMNGT606B Manage quality client service</w:t>
            </w:r>
          </w:p>
          <w:p w:rsidR="00000000" w:rsidRPr="001C60C1" w:rsidP="001C60C1">
            <w:pPr>
              <w:pStyle w:val="ListBullet2"/>
            </w:pPr>
            <w:r w:rsidRPr="001C60C1">
              <w:t>PSPPROC607B Direct the management of contracts</w:t>
            </w:r>
          </w:p>
          <w:p w:rsidR="00000000" w:rsidP="001C60C1">
            <w:pPr>
              <w:pStyle w:val="ListBullet2"/>
              <w:rPr>
                <w:lang w:val="en-NZ"/>
              </w:rPr>
            </w:pPr>
            <w:r w:rsidRPr="001C60C1">
              <w:t>PSPPM601B Direct complex project activities</w:t>
            </w:r>
          </w:p>
        </w:tc>
      </w:tr>
      <w:tr w:rsidTr="004D2B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60C1">
            <w:pPr>
              <w:pStyle w:val="BodyText"/>
              <w:rPr>
                <w:lang w:val="en-NZ"/>
              </w:rPr>
            </w:pPr>
            <w:r w:rsidRPr="001C60C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C60C1" w:rsidP="001C60C1">
            <w:pPr>
              <w:pStyle w:val="BodyText"/>
            </w:pPr>
            <w:r w:rsidRPr="001C60C1">
              <w:t>In addition to integrated demonstration of the elements and their related performance cr</w:t>
            </w:r>
            <w:r w:rsidRPr="001C60C1">
              <w:t>iteria, look for evidence that confirms:</w:t>
            </w:r>
          </w:p>
          <w:p w:rsidR="00000000" w:rsidRPr="001C60C1" w:rsidP="001C60C1">
            <w:pPr>
              <w:pStyle w:val="ListBullet"/>
            </w:pPr>
            <w:r w:rsidRPr="001C60C1">
              <w:t xml:space="preserve">the knowledge requirements of this unit </w:t>
            </w:r>
          </w:p>
          <w:p w:rsidR="00000000" w:rsidRPr="001C60C1" w:rsidP="001C60C1">
            <w:pPr>
              <w:pStyle w:val="ListBullet"/>
            </w:pPr>
            <w:r w:rsidRPr="001C60C1">
              <w:t>the skill requirements of this unit</w:t>
            </w:r>
          </w:p>
          <w:p w:rsidR="00000000" w:rsidRPr="001C60C1" w:rsidP="001C60C1">
            <w:pPr>
              <w:pStyle w:val="ListBullet"/>
            </w:pPr>
            <w:r w:rsidRPr="001C60C1">
              <w:t xml:space="preserve">application of Employability Skills as they relate to this unit </w:t>
            </w:r>
          </w:p>
          <w:p w:rsidR="00000000" w:rsidP="001C60C1">
            <w:pPr>
              <w:pStyle w:val="ListBullet"/>
              <w:rPr>
                <w:lang w:val="en-NZ"/>
              </w:rPr>
            </w:pPr>
            <w:r w:rsidRPr="001C60C1">
              <w:t>ethical leadership modelled and promoted in a range of (3 or more) contexts (or occasions, over time) where contexts may include generalist or specialist work activities such as managing client services, managing financial resources, managing regulatory co</w:t>
            </w:r>
            <w:r w:rsidRPr="001C60C1">
              <w:t>mpliance, managing procurement etc</w:t>
            </w:r>
          </w:p>
        </w:tc>
      </w:tr>
      <w:tr w:rsidTr="004D2B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60C1">
            <w:pPr>
              <w:pStyle w:val="BodyText"/>
              <w:rPr>
                <w:lang w:val="en-NZ"/>
              </w:rPr>
            </w:pPr>
            <w:r w:rsidRPr="001C60C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C60C1" w:rsidP="001C60C1">
            <w:pPr>
              <w:pStyle w:val="BodyText"/>
            </w:pPr>
            <w:r w:rsidRPr="001C60C1">
              <w:t>These resources include:</w:t>
            </w:r>
          </w:p>
          <w:p w:rsidR="00000000" w:rsidRPr="001C60C1" w:rsidP="001C60C1">
            <w:pPr>
              <w:pStyle w:val="ListBullet"/>
            </w:pPr>
            <w:r w:rsidRPr="001C60C1">
              <w:t>ethics-related legislation and guidelines</w:t>
            </w:r>
          </w:p>
          <w:p w:rsidR="00000000" w:rsidRPr="001C60C1" w:rsidP="001C60C1">
            <w:pPr>
              <w:pStyle w:val="ListBullet"/>
            </w:pPr>
            <w:r w:rsidRPr="001C60C1">
              <w:t>codes of conduct and codes of ethics</w:t>
            </w:r>
          </w:p>
          <w:p w:rsidR="00000000" w:rsidRPr="001C60C1" w:rsidP="001C60C1">
            <w:pPr>
              <w:pStyle w:val="ListBullet"/>
            </w:pPr>
            <w:r w:rsidRPr="001C60C1">
              <w:t>public sector standards, procedures and protocols</w:t>
            </w:r>
          </w:p>
          <w:p w:rsidR="00000000" w:rsidP="001C60C1">
            <w:pPr>
              <w:pStyle w:val="ListBullet"/>
              <w:rPr>
                <w:lang w:val="en-NZ"/>
              </w:rPr>
            </w:pPr>
            <w:r w:rsidRPr="001C60C1">
              <w:t>ethical decision makin</w:t>
            </w:r>
            <w:r w:rsidRPr="001C60C1">
              <w:t>g/problem solving models</w:t>
            </w:r>
          </w:p>
        </w:tc>
      </w:tr>
      <w:tr w:rsidTr="004D2B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60C1">
            <w:pPr>
              <w:pStyle w:val="BodyText"/>
              <w:rPr>
                <w:lang w:val="en-NZ"/>
              </w:rPr>
            </w:pPr>
            <w:r w:rsidRPr="001C60C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C60C1" w:rsidP="001C60C1">
            <w:pPr>
              <w:pStyle w:val="BodyText"/>
            </w:pPr>
            <w:r w:rsidRPr="001C60C1">
              <w:t xml:space="preserve">Valid assessment of this unit requires: </w:t>
            </w:r>
          </w:p>
          <w:p w:rsidR="00000000" w:rsidRPr="001C60C1" w:rsidP="001C60C1">
            <w:pPr>
              <w:pStyle w:val="ListBullet"/>
            </w:pPr>
            <w:r w:rsidRPr="001C60C1">
              <w:t>a workplace environment or one that closely resembles normal work practice and replicates the range of conditions likely to be encountered when working eth</w:t>
            </w:r>
            <w:r w:rsidRPr="001C60C1">
              <w:t>ically, and ensuring ethical processes and behaviour in others in a public sector environment, including coping with ambiguity, difficulties, irregularities and breakdowns in routine</w:t>
            </w:r>
          </w:p>
          <w:p w:rsidR="00000000" w:rsidRPr="001C60C1" w:rsidP="001C60C1">
            <w:pPr>
              <w:pStyle w:val="ListBullet"/>
            </w:pPr>
            <w:r w:rsidRPr="001C60C1">
              <w:t>ethical leadership modelled and promoted in a range of (3 or more) contex</w:t>
            </w:r>
            <w:r w:rsidRPr="001C60C1">
              <w:t>ts (or occasions, over time) where contexts may include generalist or specialist work activities such as managing client services, managing financial resources, managing regulatory compliance, managing procurement etc</w:t>
            </w:r>
          </w:p>
          <w:p w:rsidR="00000000" w:rsidRPr="001C60C1" w:rsidP="001C60C1">
            <w:pPr>
              <w:pStyle w:val="BodyText"/>
            </w:pPr>
            <w:r w:rsidRPr="001C60C1">
              <w:t>Assessment methods should reflect workplace demands, such as literacy, and the needs of particular groups, such as:</w:t>
            </w:r>
          </w:p>
          <w:p w:rsidR="00000000" w:rsidRPr="001C60C1" w:rsidP="001C60C1">
            <w:pPr>
              <w:pStyle w:val="ListBullet"/>
            </w:pPr>
            <w:r w:rsidRPr="001C60C1">
              <w:t>people with disabilities</w:t>
            </w:r>
          </w:p>
          <w:p w:rsidR="00000000" w:rsidRPr="001C60C1" w:rsidP="001C60C1">
            <w:pPr>
              <w:pStyle w:val="ListBullet"/>
            </w:pPr>
            <w:r w:rsidRPr="001C60C1">
              <w:t>people from culturally and linguistically diverse backgrounds</w:t>
            </w:r>
          </w:p>
          <w:p w:rsidR="00000000" w:rsidRPr="001C60C1" w:rsidP="001C60C1">
            <w:pPr>
              <w:pStyle w:val="ListBullet"/>
            </w:pPr>
            <w:r w:rsidRPr="001C60C1">
              <w:t>Aboriginal and Torres Strait Islander people</w:t>
            </w:r>
          </w:p>
          <w:p w:rsidR="00000000" w:rsidRPr="001C60C1" w:rsidP="001C60C1">
            <w:pPr>
              <w:pStyle w:val="ListBullet"/>
            </w:pPr>
            <w:r w:rsidRPr="001C60C1">
              <w:t>women</w:t>
            </w:r>
          </w:p>
          <w:p w:rsidR="00000000" w:rsidRPr="001C60C1" w:rsidP="001C60C1">
            <w:pPr>
              <w:pStyle w:val="ListBullet"/>
            </w:pPr>
            <w:r w:rsidRPr="001C60C1">
              <w:t>y</w:t>
            </w:r>
            <w:r w:rsidRPr="001C60C1">
              <w:t>oung people</w:t>
            </w:r>
          </w:p>
          <w:p w:rsidR="00000000" w:rsidRPr="001C60C1" w:rsidP="001C60C1">
            <w:pPr>
              <w:pStyle w:val="ListBullet"/>
            </w:pPr>
            <w:r w:rsidRPr="001C60C1">
              <w:t>older people</w:t>
            </w:r>
          </w:p>
          <w:p w:rsidR="00000000" w:rsidRPr="001C60C1" w:rsidP="001C60C1">
            <w:pPr>
              <w:pStyle w:val="ListBullet"/>
            </w:pPr>
            <w:r w:rsidRPr="001C60C1">
              <w:t>people in rural and remote locations</w:t>
            </w:r>
          </w:p>
          <w:p w:rsidR="00000000" w:rsidRPr="001C60C1" w:rsidP="001C60C1">
            <w:pPr>
              <w:pStyle w:val="BodyText"/>
            </w:pPr>
            <w:r w:rsidRPr="001C60C1">
              <w:t xml:space="preserve">Assessment methods suitable for valid and reliable assessment of this competency may include, but are not limited to, a combination of 2 or more of: </w:t>
            </w:r>
          </w:p>
          <w:p w:rsidR="00000000" w:rsidRPr="001C60C1" w:rsidP="001C60C1">
            <w:pPr>
              <w:pStyle w:val="ListBullet"/>
            </w:pPr>
            <w:r w:rsidRPr="001C60C1">
              <w:t>case studies</w:t>
            </w:r>
          </w:p>
          <w:p w:rsidR="00000000" w:rsidRPr="001C60C1" w:rsidP="001C60C1">
            <w:pPr>
              <w:pStyle w:val="ListBullet"/>
            </w:pPr>
            <w:r w:rsidRPr="001C60C1">
              <w:t>questioning</w:t>
            </w:r>
          </w:p>
          <w:p w:rsidR="00000000" w:rsidRPr="001C60C1" w:rsidP="001C60C1">
            <w:pPr>
              <w:pStyle w:val="ListBullet"/>
            </w:pPr>
            <w:r w:rsidRPr="001C60C1">
              <w:t>scenarios</w:t>
            </w:r>
          </w:p>
          <w:p w:rsidR="00000000" w:rsidRPr="001C60C1" w:rsidP="001C60C1">
            <w:pPr>
              <w:pStyle w:val="ListBullet"/>
            </w:pPr>
            <w:r w:rsidRPr="001C60C1">
              <w:t>simulati</w:t>
            </w:r>
            <w:r w:rsidRPr="001C60C1">
              <w:t>on or role plays</w:t>
            </w:r>
          </w:p>
          <w:p w:rsidR="00000000" w:rsidP="001C60C1">
            <w:pPr>
              <w:pStyle w:val="ListBullet"/>
              <w:rPr>
                <w:lang w:val="en-NZ"/>
              </w:rPr>
            </w:pPr>
            <w:r w:rsidRPr="001C60C1">
              <w:t>authenticated evidence from the workplace and/or training courses</w:t>
            </w:r>
          </w:p>
        </w:tc>
      </w:tr>
      <w:tr w:rsidTr="004D2B1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60C1">
            <w:pPr>
              <w:pStyle w:val="BodyText"/>
              <w:rPr>
                <w:lang w:val="en-NZ"/>
              </w:rPr>
            </w:pPr>
            <w:r w:rsidRPr="001C60C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C60C1" w:rsidP="001C60C1">
            <w:pPr>
              <w:pStyle w:val="BodyText"/>
            </w:pPr>
            <w:r w:rsidRPr="001C60C1">
              <w:t>Evidence must be gathered over time in a range of contexts to ensure the person can achieve the unit outcome and apply the competency in different situations or environments</w:t>
            </w:r>
          </w:p>
        </w:tc>
      </w:tr>
    </w:tbl>
    <w:p w:rsidR="00000000" w:rsidRPr="001C60C1" w:rsidP="001C60C1">
      <w:pPr>
        <w:pStyle w:val="BodyText"/>
      </w:pPr>
    </w:p>
    <w:p w:rsidR="00000000" w:rsidRPr="001C60C1" w:rsidP="001C60C1">
      <w:pPr>
        <w:pStyle w:val="AllowPageBreak"/>
      </w:pPr>
    </w:p>
    <w:p w:rsidR="00000000" w:rsidRPr="001C60C1" w:rsidP="001C60C1">
      <w:pPr>
        <w:pStyle w:val="Heading1"/>
      </w:pPr>
      <w:bookmarkStart w:id="11" w:name="O_492621"/>
      <w:bookmarkEnd w:id="11"/>
      <w:r w:rsidRPr="001C60C1">
        <w:t>Range Statement</w:t>
      </w:r>
    </w:p>
    <w:tbl>
      <w:tblPr>
        <w:tblW w:w="9322" w:type="dxa"/>
        <w:tblLayout w:type="fixed"/>
        <w:tblCellMar>
          <w:left w:w="62" w:type="dxa"/>
          <w:right w:w="62" w:type="dxa"/>
        </w:tblCellMar>
        <w:tblLook w:val="0000"/>
      </w:tblPr>
      <w:tblGrid>
        <w:gridCol w:w="2660"/>
        <w:gridCol w:w="6662"/>
      </w:tblGrid>
      <w:tr w:rsidTr="004D2B1C">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 xml:space="preserve">The Range Statement provides information about </w:t>
            </w:r>
            <w:r w:rsidRPr="001C60C1">
              <w:t>the context in which the unit of competency is carried out. The variables cater for differences between States and Territories and the Commonwealth, and between organisations and workplaces. They allow for different work requirements, work practices and kn</w:t>
            </w:r>
            <w:r w:rsidRPr="001C60C1">
              <w:t xml:space="preserve">owledge. The Range Statement also provides a focus for assessment. It relates to the unit as a whole. Text in </w:t>
            </w:r>
            <w:r w:rsidRPr="001C60C1">
              <w:rPr>
                <w:rStyle w:val="BoldandItalics"/>
              </w:rPr>
              <w:t xml:space="preserve">bold italics </w:t>
            </w:r>
            <w:r w:rsidRPr="001C60C1">
              <w:t>in the Performance Criteria is explained here.</w:t>
            </w:r>
          </w:p>
        </w:tc>
      </w:tr>
      <w:tr w:rsidTr="004D2B1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rPr>
                <w:rStyle w:val="BoldandItalics"/>
              </w:rPr>
              <w:t xml:space="preserve">Ethical conduct </w:t>
            </w:r>
            <w:r w:rsidRPr="001C60C1">
              <w:t>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ListBullet"/>
            </w:pPr>
            <w:r w:rsidRPr="001C60C1">
              <w:t>respect for the law</w:t>
            </w:r>
          </w:p>
          <w:p w:rsidR="00000000" w:rsidRPr="001C60C1" w:rsidP="001C60C1">
            <w:pPr>
              <w:pStyle w:val="ListBullet"/>
            </w:pPr>
            <w:r w:rsidRPr="001C60C1">
              <w:t>integrity</w:t>
            </w:r>
          </w:p>
          <w:p w:rsidR="00000000" w:rsidRPr="001C60C1" w:rsidP="001C60C1">
            <w:pPr>
              <w:pStyle w:val="ListBullet"/>
            </w:pPr>
            <w:r w:rsidRPr="001C60C1">
              <w:t>objectivity</w:t>
            </w:r>
          </w:p>
          <w:p w:rsidR="00000000" w:rsidRPr="001C60C1" w:rsidP="001C60C1">
            <w:pPr>
              <w:pStyle w:val="ListBullet"/>
            </w:pPr>
            <w:r w:rsidRPr="001C60C1">
              <w:t>accountability</w:t>
            </w:r>
          </w:p>
          <w:p w:rsidR="00000000" w:rsidRPr="001C60C1" w:rsidP="001C60C1">
            <w:pPr>
              <w:pStyle w:val="ListBullet"/>
            </w:pPr>
            <w:r w:rsidRPr="001C60C1">
              <w:t>honesty</w:t>
            </w:r>
          </w:p>
          <w:p w:rsidR="00000000" w:rsidRPr="001C60C1" w:rsidP="001C60C1">
            <w:pPr>
              <w:pStyle w:val="ListBullet"/>
            </w:pPr>
            <w:r w:rsidRPr="001C60C1">
              <w:t>openness</w:t>
            </w:r>
          </w:p>
          <w:p w:rsidR="00000000" w:rsidRPr="001C60C1" w:rsidP="001C60C1">
            <w:pPr>
              <w:pStyle w:val="ListBullet"/>
            </w:pPr>
            <w:r w:rsidRPr="001C60C1">
              <w:t>responsibility</w:t>
            </w:r>
          </w:p>
          <w:p w:rsidR="00000000" w:rsidRPr="001C60C1" w:rsidP="001C60C1">
            <w:pPr>
              <w:pStyle w:val="ListBullet"/>
            </w:pPr>
            <w:r w:rsidRPr="001C60C1">
              <w:t>impartiality</w:t>
            </w:r>
          </w:p>
          <w:p w:rsidR="00000000" w:rsidRPr="001C60C1" w:rsidP="001C60C1">
            <w:pPr>
              <w:pStyle w:val="ListBullet"/>
            </w:pPr>
            <w:r w:rsidRPr="001C60C1">
              <w:t>reliability</w:t>
            </w:r>
          </w:p>
          <w:p w:rsidR="00000000" w:rsidRPr="001C60C1" w:rsidP="001C60C1">
            <w:pPr>
              <w:pStyle w:val="ListBullet"/>
            </w:pPr>
            <w:r w:rsidRPr="001C60C1">
              <w:t>diligence</w:t>
            </w:r>
          </w:p>
          <w:p w:rsidR="00000000" w:rsidRPr="001C60C1" w:rsidP="001C60C1">
            <w:pPr>
              <w:pStyle w:val="ListBullet"/>
            </w:pPr>
            <w:r w:rsidRPr="001C60C1">
              <w:t>trustworthiness</w:t>
            </w:r>
          </w:p>
          <w:p w:rsidR="00000000" w:rsidRPr="001C60C1" w:rsidP="001C60C1">
            <w:pPr>
              <w:pStyle w:val="ListBullet"/>
            </w:pPr>
            <w:r w:rsidRPr="001C60C1">
              <w:t>respect for persons</w:t>
            </w:r>
          </w:p>
          <w:p w:rsidR="00000000" w:rsidP="001C60C1">
            <w:pPr>
              <w:pStyle w:val="ListBullet"/>
              <w:rPr>
                <w:lang w:val="en-NZ"/>
              </w:rPr>
            </w:pPr>
            <w:r w:rsidRPr="001C60C1">
              <w:t>responsible care</w:t>
            </w:r>
          </w:p>
        </w:tc>
      </w:tr>
      <w:tr w:rsidTr="004D2B1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rPr>
                <w:rStyle w:val="BoldandItalics"/>
              </w:rPr>
              <w:t xml:space="preserve">Professionalism </w:t>
            </w:r>
            <w:r w:rsidRPr="001C60C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ListBullet"/>
            </w:pPr>
            <w:r w:rsidRPr="001C60C1">
              <w:t>ethical conduct</w:t>
            </w:r>
          </w:p>
          <w:p w:rsidR="00000000" w:rsidRPr="001C60C1" w:rsidP="001C60C1">
            <w:pPr>
              <w:pStyle w:val="ListBullet"/>
            </w:pPr>
            <w:r w:rsidRPr="001C60C1">
              <w:t>commitment</w:t>
            </w:r>
          </w:p>
          <w:p w:rsidR="00000000" w:rsidRPr="001C60C1" w:rsidP="001C60C1">
            <w:pPr>
              <w:pStyle w:val="ListBullet"/>
            </w:pPr>
            <w:r w:rsidRPr="001C60C1">
              <w:t>diligence</w:t>
            </w:r>
          </w:p>
          <w:p w:rsidR="00000000" w:rsidRPr="001C60C1" w:rsidP="001C60C1">
            <w:pPr>
              <w:pStyle w:val="ListBullet"/>
            </w:pPr>
            <w:r w:rsidRPr="001C60C1">
              <w:t>courtesy</w:t>
            </w:r>
          </w:p>
          <w:p w:rsidR="00000000" w:rsidRPr="001C60C1" w:rsidP="001C60C1">
            <w:pPr>
              <w:pStyle w:val="ListBullet"/>
            </w:pPr>
            <w:r w:rsidRPr="001C60C1">
              <w:t>respect for others</w:t>
            </w:r>
          </w:p>
          <w:p w:rsidR="00000000" w:rsidRPr="001C60C1" w:rsidP="001C60C1">
            <w:pPr>
              <w:pStyle w:val="ListBullet"/>
            </w:pPr>
            <w:r w:rsidRPr="001C60C1">
              <w:t>conduct free of cultural and gender bias</w:t>
            </w:r>
          </w:p>
          <w:p w:rsidR="00000000" w:rsidP="001C60C1">
            <w:pPr>
              <w:pStyle w:val="ListBullet"/>
              <w:rPr>
                <w:lang w:val="en-NZ"/>
              </w:rPr>
            </w:pPr>
            <w:r w:rsidRPr="001C60C1">
              <w:t>able to withstand external scrutiny</w:t>
            </w:r>
          </w:p>
        </w:tc>
      </w:tr>
      <w:tr w:rsidTr="004D2B1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rPr>
                <w:rStyle w:val="BoldandItalics"/>
              </w:rPr>
              <w:t xml:space="preserve">Complex ethical problems </w:t>
            </w:r>
            <w:r w:rsidRPr="001C60C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ListBullet"/>
            </w:pPr>
            <w:r w:rsidRPr="001C60C1">
              <w:t>conflict between public sector standards and personal values</w:t>
            </w:r>
          </w:p>
          <w:p w:rsidR="00000000" w:rsidRPr="001C60C1" w:rsidP="001C60C1">
            <w:pPr>
              <w:pStyle w:val="ListBullet"/>
            </w:pPr>
            <w:r w:rsidRPr="001C60C1">
              <w:t>conflict between public sector standards and other standards such as professional standards</w:t>
            </w:r>
          </w:p>
          <w:p w:rsidR="00000000" w:rsidRPr="001C60C1" w:rsidP="001C60C1">
            <w:pPr>
              <w:pStyle w:val="ListBullet"/>
            </w:pPr>
            <w:r w:rsidRPr="001C60C1">
              <w:t>conflict between public se</w:t>
            </w:r>
            <w:r w:rsidRPr="001C60C1">
              <w:t>ctor standards and directions of a senior officer or Minister</w:t>
            </w:r>
          </w:p>
          <w:p w:rsidR="00000000" w:rsidP="001C60C1">
            <w:pPr>
              <w:pStyle w:val="ListBullet"/>
              <w:rPr>
                <w:lang w:val="en-NZ"/>
              </w:rPr>
            </w:pPr>
            <w:r w:rsidRPr="001C60C1">
              <w:t>tension between two 'rights' such as the right to privacy versus the right to freedom of information</w:t>
            </w:r>
          </w:p>
        </w:tc>
      </w:tr>
      <w:tr w:rsidTr="004D2B1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t xml:space="preserve">Actions relating to the </w:t>
            </w:r>
            <w:r w:rsidRPr="001C60C1">
              <w:rPr>
                <w:rStyle w:val="BoldandItalics"/>
              </w:rPr>
              <w:t>reporting</w:t>
            </w:r>
            <w:r w:rsidRPr="001C60C1">
              <w:t xml:space="preserve"> of unethical conduct</w:t>
            </w:r>
            <w:r w:rsidRPr="001C60C1">
              <w:rPr>
                <w:rStyle w:val="BoldandItalics"/>
              </w:rPr>
              <w:t xml:space="preserve"> </w:t>
            </w:r>
            <w:r w:rsidRPr="001C60C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ListBullet"/>
            </w:pPr>
            <w:r w:rsidRPr="001C60C1">
              <w:t xml:space="preserve">protection and support </w:t>
            </w:r>
            <w:r w:rsidRPr="001C60C1">
              <w:t>of those reporting unethical conduct</w:t>
            </w:r>
          </w:p>
          <w:p w:rsidR="00000000" w:rsidRPr="001C60C1" w:rsidP="001C60C1">
            <w:pPr>
              <w:pStyle w:val="ListBullet"/>
            </w:pPr>
            <w:r w:rsidRPr="001C60C1">
              <w:t>confidential review and evidence gathering to confirm allegations prior to subsequent reporting</w:t>
            </w:r>
          </w:p>
          <w:p w:rsidR="00000000" w:rsidRPr="001C60C1" w:rsidP="001C60C1">
            <w:pPr>
              <w:pStyle w:val="ListBullet"/>
            </w:pPr>
            <w:r w:rsidRPr="001C60C1">
              <w:t>referral to authority identified in guidelines</w:t>
            </w:r>
          </w:p>
          <w:p w:rsidR="00000000" w:rsidP="001C60C1">
            <w:pPr>
              <w:pStyle w:val="ListBullet"/>
              <w:rPr>
                <w:lang w:val="en-NZ"/>
              </w:rPr>
            </w:pPr>
            <w:r w:rsidRPr="001C60C1">
              <w:t>use of confidant programs (whistle</w:t>
            </w:r>
            <w:r w:rsidRPr="001C60C1">
              <w:t>blower protection programs, organisational professional reporting procedures)</w:t>
            </w:r>
          </w:p>
        </w:tc>
      </w:tr>
      <w:tr w:rsidTr="004D2B1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rPr>
                <w:rStyle w:val="BoldandItalics"/>
              </w:rPr>
              <w:t>Unethical conduct</w:t>
            </w:r>
            <w:r w:rsidRPr="001C60C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ListBullet"/>
            </w:pPr>
            <w:r w:rsidRPr="001C60C1">
              <w:t>fraud, corruption, maladministration and waste</w:t>
            </w:r>
          </w:p>
          <w:p w:rsidR="00000000" w:rsidRPr="001C60C1" w:rsidP="001C60C1">
            <w:pPr>
              <w:pStyle w:val="ListBullet"/>
            </w:pPr>
            <w:r w:rsidRPr="001C60C1">
              <w:t>unauthorised access to and use of information, money/finances, vehicles, equipment, resources</w:t>
            </w:r>
          </w:p>
          <w:p w:rsidR="00000000" w:rsidRPr="001C60C1" w:rsidP="001C60C1">
            <w:pPr>
              <w:pStyle w:val="ListBullet"/>
            </w:pPr>
            <w:r w:rsidRPr="001C60C1">
              <w:t>impr</w:t>
            </w:r>
            <w:r w:rsidRPr="001C60C1">
              <w:t>oper public comment on matters relating to the government and/or the organisation</w:t>
            </w:r>
          </w:p>
          <w:p w:rsidR="00000000" w:rsidRPr="001C60C1" w:rsidP="001C60C1">
            <w:pPr>
              <w:pStyle w:val="ListBullet"/>
            </w:pPr>
            <w:r w:rsidRPr="001C60C1">
              <w:t>falsifying records</w:t>
            </w:r>
          </w:p>
          <w:p w:rsidR="00000000" w:rsidRPr="001C60C1" w:rsidP="001C60C1">
            <w:pPr>
              <w:pStyle w:val="ListBullet"/>
            </w:pPr>
            <w:r w:rsidRPr="001C60C1">
              <w:t>giving false testimonials</w:t>
            </w:r>
          </w:p>
          <w:p w:rsidR="00000000" w:rsidRPr="001C60C1" w:rsidP="001C60C1">
            <w:pPr>
              <w:pStyle w:val="ListBullet"/>
            </w:pPr>
            <w:r w:rsidRPr="001C60C1">
              <w:t>dishonesty</w:t>
            </w:r>
          </w:p>
          <w:p w:rsidR="00000000" w:rsidRPr="001C60C1" w:rsidP="001C60C1">
            <w:pPr>
              <w:pStyle w:val="ListBullet"/>
            </w:pPr>
            <w:r w:rsidRPr="001C60C1">
              <w:t>improper use of equipment, telephones, credit cards, frequent flyer points, email and Internet</w:t>
            </w:r>
          </w:p>
          <w:p w:rsidR="00000000" w:rsidRPr="001C60C1" w:rsidP="001C60C1">
            <w:pPr>
              <w:pStyle w:val="ListBullet"/>
            </w:pPr>
            <w:r w:rsidRPr="001C60C1">
              <w:t>extravagant or wasteful</w:t>
            </w:r>
            <w:r w:rsidRPr="001C60C1">
              <w:t xml:space="preserve"> practices</w:t>
            </w:r>
          </w:p>
          <w:p w:rsidR="00000000" w:rsidRPr="001C60C1" w:rsidP="001C60C1">
            <w:pPr>
              <w:pStyle w:val="ListBullet"/>
            </w:pPr>
            <w:r w:rsidRPr="001C60C1">
              <w:t>personal favours, preferential treatment</w:t>
            </w:r>
          </w:p>
          <w:p w:rsidR="00000000" w:rsidRPr="001C60C1" w:rsidP="001C60C1">
            <w:pPr>
              <w:pStyle w:val="ListBullet"/>
            </w:pPr>
            <w:r w:rsidRPr="001C60C1">
              <w:t>putting barriers in place, hindering, blocking action</w:t>
            </w:r>
          </w:p>
          <w:p w:rsidR="00000000" w:rsidRPr="001C60C1" w:rsidP="001C60C1">
            <w:pPr>
              <w:pStyle w:val="ListBullet"/>
            </w:pPr>
            <w:r w:rsidRPr="001C60C1">
              <w:t>compromising behaviour including sexual harassment</w:t>
            </w:r>
          </w:p>
          <w:p w:rsidR="00000000" w:rsidRPr="001C60C1" w:rsidP="001C60C1">
            <w:pPr>
              <w:pStyle w:val="ListBullet"/>
            </w:pPr>
            <w:r w:rsidRPr="001C60C1">
              <w:t>directing others to act unethically</w:t>
            </w:r>
          </w:p>
          <w:p w:rsidR="00000000" w:rsidRPr="001C60C1" w:rsidP="001C60C1">
            <w:pPr>
              <w:pStyle w:val="ListBullet"/>
            </w:pPr>
            <w:r w:rsidRPr="001C60C1">
              <w:t>oppressive/coercive management decisions</w:t>
            </w:r>
          </w:p>
          <w:p w:rsidR="00000000" w:rsidP="001C60C1">
            <w:pPr>
              <w:pStyle w:val="ListBullet"/>
              <w:rPr>
                <w:lang w:val="en-NZ"/>
              </w:rPr>
            </w:pPr>
            <w:r w:rsidRPr="001C60C1">
              <w:t>resorting to illegality to obtain evidence</w:t>
            </w:r>
          </w:p>
        </w:tc>
      </w:tr>
      <w:tr w:rsidTr="004D2B1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rPr>
                <w:rStyle w:val="BoldandItalics"/>
              </w:rPr>
              <w:t>Conflicts of interest</w:t>
            </w:r>
            <w:r w:rsidRPr="001C60C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ListBullet"/>
            </w:pPr>
            <w:r w:rsidRPr="001C60C1">
              <w:t>both potential and actual conflicts</w:t>
            </w:r>
          </w:p>
          <w:p w:rsidR="00000000" w:rsidRPr="001C60C1" w:rsidP="001C60C1">
            <w:pPr>
              <w:pStyle w:val="ListBullet"/>
            </w:pPr>
            <w:r w:rsidRPr="001C60C1">
              <w:t>bribery</w:t>
            </w:r>
          </w:p>
          <w:p w:rsidR="00000000" w:rsidRPr="001C60C1" w:rsidP="001C60C1">
            <w:pPr>
              <w:pStyle w:val="ListBullet"/>
            </w:pPr>
            <w:r w:rsidRPr="001C60C1">
              <w:t>improper use of official information</w:t>
            </w:r>
          </w:p>
          <w:p w:rsidR="00000000" w:rsidRPr="001C60C1" w:rsidP="001C60C1">
            <w:pPr>
              <w:pStyle w:val="ListBullet"/>
            </w:pPr>
            <w:r w:rsidRPr="001C60C1">
              <w:t>gifts</w:t>
            </w:r>
          </w:p>
          <w:p w:rsidR="00000000" w:rsidRPr="001C60C1" w:rsidP="001C60C1">
            <w:pPr>
              <w:pStyle w:val="ListBullet"/>
            </w:pPr>
            <w:r w:rsidRPr="001C60C1">
              <w:t>entertainment</w:t>
            </w:r>
          </w:p>
          <w:p w:rsidR="00000000" w:rsidRPr="001C60C1" w:rsidP="001C60C1">
            <w:pPr>
              <w:pStyle w:val="ListBullet"/>
            </w:pPr>
            <w:r w:rsidRPr="001C60C1">
              <w:t>previous and outside employment, including voluntary work</w:t>
            </w:r>
          </w:p>
          <w:p w:rsidR="00000000" w:rsidRPr="001C60C1" w:rsidP="001C60C1">
            <w:pPr>
              <w:pStyle w:val="ListBullet"/>
            </w:pPr>
            <w:r w:rsidRPr="001C60C1">
              <w:t>favours for frien</w:t>
            </w:r>
            <w:r w:rsidRPr="001C60C1">
              <w:t>ds, relatives and others</w:t>
            </w:r>
          </w:p>
          <w:p w:rsidR="00000000" w:rsidRPr="001C60C1" w:rsidP="001C60C1">
            <w:pPr>
              <w:pStyle w:val="ListBullet"/>
            </w:pPr>
            <w:r w:rsidRPr="001C60C1">
              <w:t>memberships of organisations</w:t>
            </w:r>
          </w:p>
          <w:p w:rsidR="00000000" w:rsidRPr="001C60C1" w:rsidP="001C60C1">
            <w:pPr>
              <w:pStyle w:val="ListBullet"/>
            </w:pPr>
            <w:r w:rsidRPr="001C60C1">
              <w:t>political activity</w:t>
            </w:r>
          </w:p>
          <w:p w:rsidR="00000000" w:rsidP="001C60C1">
            <w:pPr>
              <w:pStyle w:val="ListBullet"/>
              <w:rPr>
                <w:lang w:val="en-NZ"/>
              </w:rPr>
            </w:pPr>
            <w:r w:rsidRPr="001C60C1">
              <w:t>pecuniary and non-pecuniary conflicts</w:t>
            </w:r>
          </w:p>
        </w:tc>
      </w:tr>
      <w:tr w:rsidTr="004D2B1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rPr>
                <w:rStyle w:val="BoldandItalics"/>
              </w:rPr>
              <w:t xml:space="preserve">Organisational processes </w:t>
            </w:r>
            <w:r w:rsidRPr="001C60C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ListBullet"/>
            </w:pPr>
            <w:r w:rsidRPr="001C60C1">
              <w:t>strategic planning</w:t>
            </w:r>
          </w:p>
          <w:p w:rsidR="00000000" w:rsidRPr="001C60C1" w:rsidP="001C60C1">
            <w:pPr>
              <w:pStyle w:val="ListBullet"/>
            </w:pPr>
            <w:r w:rsidRPr="001C60C1">
              <w:t>policy development</w:t>
            </w:r>
          </w:p>
          <w:p w:rsidR="00000000" w:rsidRPr="001C60C1" w:rsidP="001C60C1">
            <w:pPr>
              <w:pStyle w:val="ListBullet"/>
            </w:pPr>
            <w:r w:rsidRPr="001C60C1">
              <w:t>recruitment</w:t>
            </w:r>
          </w:p>
          <w:p w:rsidR="00000000" w:rsidRPr="001C60C1" w:rsidP="001C60C1">
            <w:pPr>
              <w:pStyle w:val="ListBullet"/>
            </w:pPr>
            <w:r w:rsidRPr="001C60C1">
              <w:t>selection</w:t>
            </w:r>
          </w:p>
          <w:p w:rsidR="00000000" w:rsidRPr="001C60C1" w:rsidP="001C60C1">
            <w:pPr>
              <w:pStyle w:val="ListBullet"/>
            </w:pPr>
            <w:r w:rsidRPr="001C60C1">
              <w:t>induction</w:t>
            </w:r>
          </w:p>
          <w:p w:rsidR="00000000" w:rsidRPr="001C60C1" w:rsidP="001C60C1">
            <w:pPr>
              <w:pStyle w:val="ListBullet"/>
            </w:pPr>
            <w:r w:rsidRPr="001C60C1">
              <w:t>performance management</w:t>
            </w:r>
          </w:p>
          <w:p w:rsidR="00000000" w:rsidRPr="001C60C1" w:rsidP="001C60C1">
            <w:pPr>
              <w:pStyle w:val="ListBullet"/>
            </w:pPr>
            <w:r w:rsidRPr="001C60C1">
              <w:t>learning and development</w:t>
            </w:r>
          </w:p>
          <w:p w:rsidR="00000000" w:rsidRPr="001C60C1" w:rsidP="001C60C1">
            <w:pPr>
              <w:pStyle w:val="ListBullet"/>
            </w:pPr>
            <w:r w:rsidRPr="001C60C1">
              <w:t>promotion</w:t>
            </w:r>
          </w:p>
          <w:p w:rsidR="00000000" w:rsidRPr="001C60C1" w:rsidP="001C60C1">
            <w:pPr>
              <w:pStyle w:val="ListBullet"/>
            </w:pPr>
            <w:r w:rsidRPr="001C60C1">
              <w:t>redundancy</w:t>
            </w:r>
          </w:p>
          <w:p w:rsidR="00000000" w:rsidRPr="001C60C1" w:rsidP="001C60C1">
            <w:pPr>
              <w:pStyle w:val="ListBullet"/>
            </w:pPr>
            <w:r w:rsidRPr="001C60C1">
              <w:t>re-deployment</w:t>
            </w:r>
          </w:p>
          <w:p w:rsidR="00000000" w:rsidRPr="001C60C1" w:rsidP="001C60C1">
            <w:pPr>
              <w:pStyle w:val="ListBullet"/>
            </w:pPr>
            <w:r w:rsidRPr="001C60C1">
              <w:t>ceasing of temporary contracts</w:t>
            </w:r>
          </w:p>
          <w:p w:rsidR="00000000" w:rsidRPr="001C60C1" w:rsidP="001C60C1">
            <w:pPr>
              <w:pStyle w:val="ListBullet"/>
            </w:pPr>
            <w:r w:rsidRPr="001C60C1">
              <w:t>disciplinary and grievance procedures</w:t>
            </w:r>
          </w:p>
          <w:p w:rsidR="00000000" w:rsidRPr="001C60C1" w:rsidP="001C60C1">
            <w:pPr>
              <w:pStyle w:val="ListBullet"/>
            </w:pPr>
            <w:r w:rsidRPr="001C60C1">
              <w:t>establishment of an ethics committee within the organisation</w:t>
            </w:r>
          </w:p>
          <w:p w:rsidR="00000000" w:rsidRPr="001C60C1" w:rsidP="001C60C1">
            <w:pPr>
              <w:pStyle w:val="ListBullet"/>
            </w:pPr>
            <w:r w:rsidRPr="001C60C1">
              <w:t>investigations</w:t>
            </w:r>
          </w:p>
          <w:p w:rsidR="00000000" w:rsidP="001C60C1">
            <w:pPr>
              <w:pStyle w:val="ListBullet"/>
              <w:rPr>
                <w:lang w:val="en-NZ"/>
              </w:rPr>
            </w:pPr>
            <w:r w:rsidRPr="001C60C1">
              <w:t>procurement and contracting.</w:t>
            </w:r>
          </w:p>
        </w:tc>
      </w:tr>
      <w:tr w:rsidTr="004D2B1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rPr>
                <w:rStyle w:val="BoldandItalics"/>
              </w:rPr>
              <w:t xml:space="preserve">Procedural fairness </w:t>
            </w:r>
            <w:r w:rsidRPr="001C60C1">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ListBullet"/>
            </w:pPr>
            <w:r w:rsidRPr="001C60C1">
              <w:t>the right to be heard/put your case</w:t>
            </w:r>
          </w:p>
          <w:p w:rsidR="00000000" w:rsidRPr="001C60C1" w:rsidP="001C60C1">
            <w:pPr>
              <w:pStyle w:val="ListBullet"/>
            </w:pPr>
            <w:r w:rsidRPr="001C60C1">
              <w:t>the right to be informed of a complaint or case against you</w:t>
            </w:r>
          </w:p>
          <w:p w:rsidR="00000000" w:rsidRPr="001C60C1" w:rsidP="001C60C1">
            <w:pPr>
              <w:pStyle w:val="ListBullet"/>
            </w:pPr>
            <w:r w:rsidRPr="001C60C1">
              <w:t>the right to know reasons for decisions affecting you</w:t>
            </w:r>
          </w:p>
          <w:p w:rsidR="00000000" w:rsidRPr="001C60C1" w:rsidP="001C60C1">
            <w:pPr>
              <w:pStyle w:val="ListBullet"/>
            </w:pPr>
            <w:r w:rsidRPr="001C60C1">
              <w:t>the right to know the outcome/recommendations of an investigation involving you</w:t>
            </w:r>
          </w:p>
          <w:p w:rsidR="00000000" w:rsidRPr="001C60C1" w:rsidP="001C60C1">
            <w:pPr>
              <w:pStyle w:val="ListBullet"/>
            </w:pPr>
            <w:r w:rsidRPr="001C60C1">
              <w:t>the right to</w:t>
            </w:r>
            <w:r w:rsidRPr="001C60C1">
              <w:t xml:space="preserve"> privacy</w:t>
            </w:r>
          </w:p>
          <w:p w:rsidR="00000000" w:rsidRPr="001C60C1" w:rsidP="001C60C1">
            <w:pPr>
              <w:pStyle w:val="ListBullet"/>
            </w:pPr>
            <w:r w:rsidRPr="001C60C1">
              <w:t>the right to representation</w:t>
            </w:r>
          </w:p>
          <w:p w:rsidR="00000000" w:rsidRPr="001C60C1" w:rsidP="001C60C1">
            <w:pPr>
              <w:pStyle w:val="ListBullet"/>
            </w:pPr>
            <w:r w:rsidRPr="001C60C1">
              <w:t>the right to remain silent</w:t>
            </w:r>
          </w:p>
          <w:p w:rsidR="00000000" w:rsidRPr="001C60C1" w:rsidP="001C60C1">
            <w:pPr>
              <w:pStyle w:val="ListBullet"/>
            </w:pPr>
            <w:r w:rsidRPr="001C60C1">
              <w:t>the decision maker should not be a judge in his/her own cause</w:t>
            </w:r>
          </w:p>
          <w:p w:rsidR="00000000" w:rsidP="001C60C1">
            <w:pPr>
              <w:pStyle w:val="ListBullet"/>
              <w:rPr>
                <w:lang w:val="en-NZ"/>
              </w:rPr>
            </w:pPr>
            <w:r w:rsidRPr="001C60C1">
              <w:t>in accordance with the law.</w:t>
            </w:r>
          </w:p>
        </w:tc>
      </w:tr>
      <w:tr w:rsidTr="004D2B1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0C1">
            <w:pPr>
              <w:pStyle w:val="BodyText"/>
              <w:rPr>
                <w:lang w:val="en-NZ"/>
              </w:rPr>
            </w:pPr>
            <w:r w:rsidRPr="001C60C1">
              <w:rPr>
                <w:rStyle w:val="BoldandItalics"/>
              </w:rPr>
              <w:t>Legislation policy and guidelines</w:t>
            </w:r>
            <w:r w:rsidRPr="001C60C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0C1" w:rsidP="001C60C1">
            <w:pPr>
              <w:pStyle w:val="ListBullet"/>
            </w:pPr>
            <w:r w:rsidRPr="001C60C1">
              <w:t>legislation for public sector management</w:t>
            </w:r>
          </w:p>
          <w:p w:rsidR="00000000" w:rsidRPr="001C60C1" w:rsidP="001C60C1">
            <w:pPr>
              <w:pStyle w:val="ListBullet"/>
            </w:pPr>
            <w:r w:rsidRPr="001C60C1">
              <w:t xml:space="preserve">freedom of information legislation </w:t>
            </w:r>
          </w:p>
          <w:p w:rsidR="00000000" w:rsidRPr="001C60C1" w:rsidP="001C60C1">
            <w:pPr>
              <w:pStyle w:val="ListBullet"/>
            </w:pPr>
            <w:r w:rsidRPr="001C60C1">
              <w:t>privacy legislation</w:t>
            </w:r>
          </w:p>
          <w:p w:rsidR="00000000" w:rsidRPr="001C60C1" w:rsidP="001C60C1">
            <w:pPr>
              <w:pStyle w:val="ListBullet"/>
            </w:pPr>
            <w:r w:rsidRPr="001C60C1">
              <w:t>equal employment opportunity and anti-discrimination law</w:t>
            </w:r>
          </w:p>
          <w:p w:rsidR="00000000" w:rsidRPr="001C60C1" w:rsidP="001C60C1">
            <w:pPr>
              <w:pStyle w:val="ListBullet"/>
            </w:pPr>
            <w:r w:rsidRPr="001C60C1">
              <w:t>public sector standards</w:t>
            </w:r>
          </w:p>
          <w:p w:rsidR="00000000" w:rsidRPr="001C60C1" w:rsidP="001C60C1">
            <w:pPr>
              <w:pStyle w:val="ListBullet"/>
            </w:pPr>
            <w:r w:rsidRPr="001C60C1">
              <w:t>Ministerial directions</w:t>
            </w:r>
          </w:p>
          <w:p w:rsidR="00000000" w:rsidRPr="001C60C1" w:rsidP="001C60C1">
            <w:pPr>
              <w:pStyle w:val="ListBullet"/>
            </w:pPr>
            <w:r w:rsidRPr="001C60C1">
              <w:t>government policy</w:t>
            </w:r>
          </w:p>
          <w:p w:rsidR="00000000" w:rsidRPr="001C60C1" w:rsidP="001C60C1">
            <w:pPr>
              <w:pStyle w:val="ListBullet"/>
            </w:pPr>
            <w:r w:rsidRPr="001C60C1">
              <w:t>legal precedents</w:t>
            </w:r>
          </w:p>
          <w:p w:rsidR="00000000" w:rsidRPr="001C60C1" w:rsidP="001C60C1">
            <w:pPr>
              <w:pStyle w:val="ListBullet"/>
            </w:pPr>
            <w:r w:rsidRPr="001C60C1">
              <w:t>State/Territory/Commonwealth codes of ethics</w:t>
            </w:r>
          </w:p>
          <w:p w:rsidR="00000000" w:rsidRPr="001C60C1" w:rsidP="001C60C1">
            <w:pPr>
              <w:pStyle w:val="ListBullet"/>
            </w:pPr>
            <w:r w:rsidRPr="001C60C1">
              <w:t>equity guideline</w:t>
            </w:r>
            <w:r w:rsidRPr="001C60C1">
              <w:t>s/workplace diversity guidelines</w:t>
            </w:r>
          </w:p>
          <w:p w:rsidR="00000000" w:rsidRPr="001C60C1" w:rsidP="001C60C1">
            <w:pPr>
              <w:pStyle w:val="ListBullet"/>
            </w:pPr>
            <w:r w:rsidRPr="001C60C1">
              <w:t>organisational codes of conduct</w:t>
            </w:r>
          </w:p>
          <w:p w:rsidR="00000000" w:rsidRPr="001C60C1" w:rsidP="001C60C1">
            <w:pPr>
              <w:pStyle w:val="ListBullet"/>
            </w:pPr>
            <w:r w:rsidRPr="001C60C1">
              <w:t>organisational mission and values statements</w:t>
            </w:r>
          </w:p>
          <w:p w:rsidR="00000000" w:rsidRPr="001C60C1" w:rsidP="001C60C1">
            <w:pPr>
              <w:pStyle w:val="ListBullet"/>
            </w:pPr>
            <w:r w:rsidRPr="001C60C1">
              <w:t>organisational procedures/guidelines</w:t>
            </w:r>
          </w:p>
          <w:p w:rsidR="00000000" w:rsidRPr="001C60C1" w:rsidP="001C60C1">
            <w:pPr>
              <w:pStyle w:val="ListBullet"/>
            </w:pPr>
            <w:r w:rsidRPr="001C60C1">
              <w:t>organisational performance management policy.</w:t>
            </w:r>
          </w:p>
        </w:tc>
      </w:tr>
    </w:tbl>
    <w:p w:rsidR="004D2B1C" w:rsidP="001C60C1">
      <w:pPr>
        <w:pStyle w:val="BodyText"/>
      </w:pPr>
    </w:p>
    <w:p w:rsidR="004D2B1C" w:rsidP="001C60C1">
      <w:pPr>
        <w:pStyle w:val="BodyText"/>
      </w:pPr>
    </w:p>
    <w:p w:rsidR="00000000" w:rsidRPr="001C60C1" w:rsidP="001C60C1">
      <w:pPr>
        <w:pStyle w:val="Heading1"/>
      </w:pPr>
      <w:bookmarkStart w:id="12" w:name="O_492618"/>
      <w:bookmarkEnd w:id="12"/>
      <w:r w:rsidRPr="001C60C1">
        <w:t>Unit Sector(s)</w:t>
      </w:r>
    </w:p>
    <w:p w:rsidR="00000000" w:rsidRPr="001C60C1" w:rsidP="001C60C1">
      <w:pPr>
        <w:pStyle w:val="BodyText"/>
      </w:pPr>
      <w:r w:rsidRPr="001C60C1">
        <w:t>Not applicable.</w:t>
      </w:r>
    </w:p>
    <w:p w:rsidR="00000000" w:rsidRPr="001C60C1" w:rsidP="001C60C1">
      <w:pPr>
        <w:pStyle w:val="AllowPageBreak"/>
      </w:pPr>
    </w:p>
    <w:p w:rsidR="00000000" w:rsidRPr="001C60C1" w:rsidP="001C60C1">
      <w:pPr>
        <w:pStyle w:val="Heading1"/>
      </w:pPr>
      <w:bookmarkStart w:id="13" w:name="O_492628"/>
      <w:bookmarkEnd w:id="13"/>
      <w:r w:rsidRPr="001C60C1">
        <w:t>Competency field</w:t>
      </w:r>
    </w:p>
    <w:p w:rsidR="00000000" w:rsidRPr="001C60C1" w:rsidP="001C60C1">
      <w:pPr>
        <w:pStyle w:val="BodyText"/>
      </w:pPr>
      <w:r w:rsidRPr="001C60C1">
        <w:t>Ethics and Accountability.</w:t>
      </w:r>
    </w:p>
    <w:p w:rsidR="00000000" w:rsidRPr="001C60C1" w:rsidP="001C60C1"/>
    <w:sectPr w:rsidSect="001C60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B1C" w:rsidP="004D2B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B1C" w:rsidP="001C60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2B1C" w:rsidP="001C60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D2B1C" w:rsidP="001C60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C1" w:rsidRPr="004D2B1C" w:rsidP="004D2B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B1C" w:rsidRPr="002D2AF8" w:rsidP="001C60C1">
    <w:pPr>
      <w:pStyle w:val="Header"/>
      <w:framePr w:wrap="around"/>
    </w:pPr>
    <w:r>
      <w:fldChar w:fldCharType="begin"/>
    </w:r>
    <w:r>
      <w:instrText xml:space="preserve"> TITLE   \* MERGEFORMAT </w:instrText>
    </w:r>
    <w:r>
      <w:fldChar w:fldCharType="separate"/>
    </w:r>
    <w:r>
      <w:t>PSPETHC601B Maintain and enhance confidence in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D2B1C" w:rsidP="001C6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681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365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43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0C1"/>
    <w:pPr>
      <w:spacing w:before="360" w:after="60"/>
      <w:outlineLvl w:val="0"/>
    </w:pPr>
    <w:rPr>
      <w:sz w:val="32"/>
    </w:rPr>
  </w:style>
  <w:style w:type="paragraph" w:styleId="Heading2">
    <w:name w:val="heading 2"/>
    <w:basedOn w:val="HeadingBase"/>
    <w:next w:val="BodyText"/>
    <w:link w:val="Heading2Char"/>
    <w:qFormat/>
    <w:rsid w:val="001C60C1"/>
    <w:pPr>
      <w:keepLines/>
      <w:spacing w:before="240" w:after="120"/>
      <w:outlineLvl w:val="1"/>
    </w:pPr>
    <w:rPr>
      <w:sz w:val="28"/>
      <w:szCs w:val="40"/>
    </w:rPr>
  </w:style>
  <w:style w:type="paragraph" w:styleId="Heading3">
    <w:name w:val="heading 3"/>
    <w:basedOn w:val="HeadingBase"/>
    <w:next w:val="BodyText"/>
    <w:link w:val="Heading3Char"/>
    <w:qFormat/>
    <w:rsid w:val="001C60C1"/>
    <w:pPr>
      <w:spacing w:before="180" w:after="120"/>
      <w:outlineLvl w:val="2"/>
    </w:pPr>
    <w:rPr>
      <w:spacing w:val="-10"/>
      <w:kern w:val="32"/>
    </w:rPr>
  </w:style>
  <w:style w:type="paragraph" w:styleId="Heading4">
    <w:name w:val="heading 4"/>
    <w:basedOn w:val="HeadingBase"/>
    <w:next w:val="BodyText"/>
    <w:link w:val="Heading4Char"/>
    <w:qFormat/>
    <w:rsid w:val="001C60C1"/>
    <w:pPr>
      <w:spacing w:before="160" w:after="120"/>
      <w:outlineLvl w:val="3"/>
    </w:pPr>
    <w:rPr>
      <w:sz w:val="22"/>
    </w:rPr>
  </w:style>
  <w:style w:type="paragraph" w:styleId="Heading5">
    <w:name w:val="heading 5"/>
    <w:basedOn w:val="HeadingBase"/>
    <w:next w:val="Normal"/>
    <w:link w:val="Heading5Char"/>
    <w:qFormat/>
    <w:rsid w:val="001C60C1"/>
    <w:pPr>
      <w:spacing w:before="80"/>
      <w:outlineLvl w:val="4"/>
    </w:pPr>
    <w:rPr>
      <w:color w:val="918585"/>
      <w:sz w:val="20"/>
    </w:rPr>
  </w:style>
  <w:style w:type="paragraph" w:styleId="Heading6">
    <w:name w:val="heading 6"/>
    <w:basedOn w:val="HeadingBase"/>
    <w:next w:val="Normal"/>
    <w:link w:val="Heading6Char"/>
    <w:qFormat/>
    <w:rsid w:val="001C60C1"/>
    <w:pPr>
      <w:spacing w:before="60"/>
      <w:outlineLvl w:val="5"/>
    </w:pPr>
    <w:rPr>
      <w:color w:val="918585"/>
      <w:sz w:val="20"/>
    </w:rPr>
  </w:style>
  <w:style w:type="paragraph" w:styleId="Heading7">
    <w:name w:val="heading 7"/>
    <w:basedOn w:val="Normal"/>
    <w:next w:val="Normal"/>
    <w:link w:val="Heading7Char"/>
    <w:qFormat/>
    <w:rsid w:val="001C60C1"/>
    <w:pPr>
      <w:ind w:left="720"/>
      <w:outlineLvl w:val="6"/>
    </w:pPr>
    <w:rPr>
      <w:i/>
    </w:rPr>
  </w:style>
  <w:style w:type="paragraph" w:styleId="Heading8">
    <w:name w:val="heading 8"/>
    <w:basedOn w:val="Normal"/>
    <w:next w:val="Normal"/>
    <w:link w:val="Heading8Char"/>
    <w:qFormat/>
    <w:rsid w:val="001C60C1"/>
    <w:pPr>
      <w:ind w:left="720"/>
      <w:outlineLvl w:val="7"/>
    </w:pPr>
    <w:rPr>
      <w:i/>
    </w:rPr>
  </w:style>
  <w:style w:type="paragraph" w:styleId="Heading9">
    <w:name w:val="heading 9"/>
    <w:basedOn w:val="Normal"/>
    <w:next w:val="Normal"/>
    <w:link w:val="Heading9Char"/>
    <w:qFormat/>
    <w:rsid w:val="001C60C1"/>
    <w:pPr>
      <w:ind w:left="720"/>
      <w:outlineLvl w:val="8"/>
    </w:pPr>
    <w:rPr>
      <w:i/>
    </w:rPr>
  </w:style>
  <w:style w:type="character" w:default="1" w:styleId="DefaultParagraphFont">
    <w:name w:val="Default Paragraph Font"/>
    <w:uiPriority w:val="1"/>
    <w:unhideWhenUsed/>
    <w:rsid w:val="001C6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0C1"/>
  </w:style>
  <w:style w:type="character" w:customStyle="1" w:styleId="Heading1Char">
    <w:name w:val="Heading 1 Char"/>
    <w:basedOn w:val="DefaultParagraphFont"/>
    <w:link w:val="Heading1"/>
    <w:rsid w:val="001C60C1"/>
    <w:rPr>
      <w:rFonts w:ascii="Times New Roman" w:eastAsia="Times New Roman" w:hAnsi="Times New Roman" w:cs="Times New Roman"/>
      <w:b/>
      <w:sz w:val="32"/>
      <w:szCs w:val="20"/>
      <w:lang w:eastAsia="en-US"/>
    </w:rPr>
  </w:style>
  <w:style w:type="paragraph" w:styleId="BodyText">
    <w:name w:val="Body Text"/>
    <w:basedOn w:val="Normal"/>
    <w:link w:val="BodyTextChar"/>
    <w:rsid w:val="001C60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60C1"/>
    <w:rPr>
      <w:rFonts w:ascii="Times New Roman" w:eastAsia="Times New Roman" w:hAnsi="Times New Roman" w:cs="Times New Roman"/>
      <w:sz w:val="24"/>
      <w:lang w:eastAsia="en-US"/>
    </w:rPr>
  </w:style>
  <w:style w:type="paragraph" w:styleId="Footer">
    <w:name w:val="footer"/>
    <w:basedOn w:val="Normal"/>
    <w:link w:val="FooterChar"/>
    <w:rsid w:val="001C6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0C1"/>
    <w:rPr>
      <w:rFonts w:ascii="Times New Roman" w:eastAsia="Times New Roman" w:hAnsi="Times New Roman" w:cs="Times New Roman"/>
      <w:sz w:val="16"/>
      <w:lang w:eastAsia="en-US"/>
    </w:rPr>
  </w:style>
  <w:style w:type="paragraph" w:styleId="List">
    <w:name w:val="List"/>
    <w:basedOn w:val="BodyText"/>
    <w:next w:val="BodyText"/>
    <w:rsid w:val="001C60C1"/>
    <w:pPr>
      <w:tabs>
        <w:tab w:val="left" w:pos="340"/>
      </w:tabs>
      <w:spacing w:before="60" w:after="60"/>
      <w:ind w:left="340" w:hanging="340"/>
    </w:pPr>
  </w:style>
  <w:style w:type="paragraph" w:styleId="ListBullet">
    <w:name w:val="List Bullet"/>
    <w:basedOn w:val="List"/>
    <w:rsid w:val="001C60C1"/>
    <w:pPr>
      <w:numPr>
        <w:numId w:val="13"/>
      </w:numPr>
      <w:tabs>
        <w:tab w:val="clear" w:pos="340"/>
      </w:tabs>
      <w:spacing w:before="40" w:after="40"/>
    </w:pPr>
  </w:style>
  <w:style w:type="character" w:customStyle="1" w:styleId="SpecialBold">
    <w:name w:val="Special Bold"/>
    <w:basedOn w:val="DefaultParagraphFont"/>
    <w:rsid w:val="001C60C1"/>
    <w:rPr>
      <w:b/>
      <w:spacing w:val="0"/>
    </w:rPr>
  </w:style>
  <w:style w:type="paragraph" w:styleId="ListBullet2">
    <w:name w:val="List Bullet 2"/>
    <w:basedOn w:val="List2"/>
    <w:rsid w:val="001C60C1"/>
    <w:pPr>
      <w:numPr>
        <w:numId w:val="14"/>
      </w:numPr>
      <w:tabs>
        <w:tab w:val="clear" w:pos="680"/>
      </w:tabs>
    </w:pPr>
  </w:style>
  <w:style w:type="character" w:styleId="Emphasis">
    <w:name w:val="Emphasis"/>
    <w:basedOn w:val="DefaultParagraphFont"/>
    <w:qFormat/>
    <w:rsid w:val="001C60C1"/>
    <w:rPr>
      <w:i/>
    </w:rPr>
  </w:style>
  <w:style w:type="paragraph" w:customStyle="1" w:styleId="SuperHeading">
    <w:name w:val="SuperHeading"/>
    <w:basedOn w:val="Normal"/>
    <w:rsid w:val="001C60C1"/>
    <w:pPr>
      <w:spacing w:before="240" w:after="120"/>
      <w:outlineLvl w:val="0"/>
    </w:pPr>
    <w:rPr>
      <w:rFonts w:ascii="Times New Roman" w:hAnsi="Times New Roman"/>
      <w:b/>
      <w:sz w:val="28"/>
    </w:rPr>
  </w:style>
  <w:style w:type="paragraph" w:customStyle="1" w:styleId="AllowPageBreak">
    <w:name w:val="AllowPageBreak"/>
    <w:rsid w:val="001C60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C60C1"/>
    <w:rPr>
      <w:u w:val="single"/>
    </w:rPr>
  </w:style>
  <w:style w:type="character" w:customStyle="1" w:styleId="BoldandItalics">
    <w:name w:val="Bold and Italics"/>
    <w:qFormat/>
    <w:rsid w:val="001C60C1"/>
    <w:rPr>
      <w:b/>
      <w:i/>
      <w:u w:val="none"/>
    </w:rPr>
  </w:style>
  <w:style w:type="character" w:customStyle="1" w:styleId="Heading2Char">
    <w:name w:val="Heading 2 Char"/>
    <w:basedOn w:val="DefaultParagraphFont"/>
    <w:link w:val="Heading2"/>
    <w:rsid w:val="001C6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0C1"/>
    <w:rPr>
      <w:rFonts w:ascii="Courier New" w:eastAsia="Times New Roman" w:hAnsi="Courier New" w:cs="Times New Roman"/>
      <w:i/>
      <w:szCs w:val="20"/>
      <w:lang w:eastAsia="en-US"/>
    </w:rPr>
  </w:style>
  <w:style w:type="paragraph" w:customStyle="1" w:styleId="HeadingBase">
    <w:name w:val="Heading Base"/>
    <w:rsid w:val="001C6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0C1"/>
    <w:pPr>
      <w:tabs>
        <w:tab w:val="right" w:leader="dot" w:pos="9072"/>
      </w:tabs>
      <w:ind w:left="567"/>
    </w:pPr>
    <w:rPr>
      <w:szCs w:val="22"/>
    </w:rPr>
  </w:style>
  <w:style w:type="paragraph" w:customStyle="1" w:styleId="TOCBase">
    <w:name w:val="TOC Base"/>
    <w:rsid w:val="001C6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0C1"/>
    <w:pPr>
      <w:tabs>
        <w:tab w:val="right" w:leader="dot" w:pos="9072"/>
      </w:tabs>
      <w:spacing w:before="40" w:after="40"/>
      <w:ind w:left="284"/>
    </w:pPr>
    <w:rPr>
      <w:rFonts w:ascii="Times New Roman" w:hAnsi="Times New Roman"/>
    </w:rPr>
  </w:style>
  <w:style w:type="paragraph" w:styleId="TOC1">
    <w:name w:val="toc 1"/>
    <w:basedOn w:val="TOCBase"/>
    <w:next w:val="Normal"/>
    <w:rsid w:val="001C60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60C1"/>
    <w:pPr>
      <w:spacing w:before="5040"/>
      <w:jc w:val="center"/>
    </w:pPr>
    <w:rPr>
      <w:sz w:val="48"/>
      <w:szCs w:val="72"/>
      <w:lang w:val="en-US"/>
    </w:rPr>
  </w:style>
  <w:style w:type="character" w:customStyle="1" w:styleId="TitleChar">
    <w:name w:val="Title Char"/>
    <w:basedOn w:val="DefaultParagraphFont"/>
    <w:link w:val="Title"/>
    <w:rsid w:val="001C6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0C1"/>
    <w:pPr>
      <w:tabs>
        <w:tab w:val="left" w:pos="3600"/>
        <w:tab w:val="left" w:pos="3958"/>
      </w:tabs>
    </w:pPr>
  </w:style>
  <w:style w:type="paragraph" w:customStyle="1" w:styleId="Note">
    <w:name w:val="Note"/>
    <w:basedOn w:val="BodyText"/>
    <w:rsid w:val="001C6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0C1"/>
    <w:pPr>
      <w:framePr w:wrap="auto" w:hAnchor="text" w:y="6049"/>
    </w:pPr>
    <w:rPr>
      <w:color w:val="000000"/>
      <w:sz w:val="40"/>
    </w:rPr>
  </w:style>
  <w:style w:type="paragraph" w:customStyle="1" w:styleId="TOCTitle">
    <w:name w:val="TOCTitle"/>
    <w:basedOn w:val="Heading1"/>
    <w:rsid w:val="001C60C1"/>
    <w:pPr>
      <w:spacing w:after="240"/>
      <w:jc w:val="center"/>
      <w:outlineLvl w:val="9"/>
    </w:pPr>
    <w:rPr>
      <w:caps/>
    </w:rPr>
  </w:style>
  <w:style w:type="paragraph" w:customStyle="1" w:styleId="Version">
    <w:name w:val="Version"/>
    <w:rsid w:val="001C60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0C1"/>
    <w:pPr>
      <w:keepNext w:val="0"/>
      <w:tabs>
        <w:tab w:val="right" w:pos="4176"/>
      </w:tabs>
      <w:ind w:left="198" w:hanging="198"/>
    </w:pPr>
    <w:rPr>
      <w:rFonts w:ascii="Garamond" w:hAnsi="Garamond"/>
    </w:rPr>
  </w:style>
  <w:style w:type="paragraph" w:styleId="IndexHeading">
    <w:name w:val="index heading"/>
    <w:basedOn w:val="Normal"/>
    <w:next w:val="Index1"/>
    <w:semiHidden/>
    <w:rsid w:val="001C60C1"/>
    <w:pPr>
      <w:spacing w:before="120" w:after="120"/>
    </w:pPr>
    <w:rPr>
      <w:rFonts w:ascii="Arial" w:hAnsi="Arial"/>
      <w:b/>
      <w:color w:val="918585"/>
      <w:sz w:val="24"/>
    </w:rPr>
  </w:style>
  <w:style w:type="paragraph" w:styleId="Header">
    <w:name w:val="header"/>
    <w:basedOn w:val="Normal"/>
    <w:link w:val="HeaderChar"/>
    <w:rsid w:val="001C6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0C1"/>
    <w:rPr>
      <w:rFonts w:ascii="Times New Roman" w:eastAsia="Times New Roman" w:hAnsi="Times New Roman" w:cs="Times New Roman"/>
      <w:sz w:val="16"/>
      <w:szCs w:val="20"/>
      <w:lang w:val="en-GB" w:eastAsia="en-US"/>
    </w:rPr>
  </w:style>
  <w:style w:type="paragraph" w:customStyle="1" w:styleId="Chapter">
    <w:name w:val="Chapter"/>
    <w:basedOn w:val="Normal"/>
    <w:rsid w:val="001C60C1"/>
    <w:pPr>
      <w:spacing w:before="240"/>
    </w:pPr>
    <w:rPr>
      <w:rFonts w:ascii="Times New Roman" w:hAnsi="Times New Roman"/>
      <w:smallCaps/>
      <w:spacing w:val="80"/>
      <w:sz w:val="28"/>
    </w:rPr>
  </w:style>
  <w:style w:type="paragraph" w:customStyle="1" w:styleId="InChapter">
    <w:name w:val="InChapter"/>
    <w:basedOn w:val="Heading3"/>
    <w:rsid w:val="001C60C1"/>
    <w:pPr>
      <w:spacing w:after="240"/>
      <w:outlineLvl w:val="9"/>
    </w:pPr>
    <w:rPr>
      <w:noProof/>
    </w:rPr>
  </w:style>
  <w:style w:type="paragraph" w:styleId="Index2">
    <w:name w:val="index 2"/>
    <w:basedOn w:val="Normal"/>
    <w:next w:val="Normal"/>
    <w:semiHidden/>
    <w:rsid w:val="001C60C1"/>
    <w:pPr>
      <w:tabs>
        <w:tab w:val="right" w:pos="4176"/>
      </w:tabs>
      <w:ind w:left="568" w:hanging="284"/>
    </w:pPr>
    <w:rPr>
      <w:rFonts w:ascii="Garamond" w:hAnsi="Garamond"/>
    </w:rPr>
  </w:style>
  <w:style w:type="paragraph" w:customStyle="1" w:styleId="Byline">
    <w:name w:val="Byline"/>
    <w:rsid w:val="001C6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0C1"/>
    <w:pPr>
      <w:tabs>
        <w:tab w:val="clear" w:pos="3600"/>
        <w:tab w:val="clear" w:pos="3958"/>
      </w:tabs>
      <w:jc w:val="right"/>
    </w:pPr>
  </w:style>
  <w:style w:type="paragraph" w:styleId="Caption">
    <w:name w:val="caption"/>
    <w:basedOn w:val="BodyText"/>
    <w:next w:val="Normal"/>
    <w:qFormat/>
    <w:rsid w:val="001C60C1"/>
    <w:pPr>
      <w:framePr w:w="2268" w:hSpace="181" w:vSpace="181" w:wrap="around" w:vAnchor="text" w:hAnchor="page" w:x="1135" w:y="285" w:anchorLock="1"/>
    </w:pPr>
    <w:rPr>
      <w:i/>
    </w:rPr>
  </w:style>
  <w:style w:type="paragraph" w:customStyle="1" w:styleId="MiniTOCTitle">
    <w:name w:val="MiniTOCTitle"/>
    <w:basedOn w:val="Heading4"/>
    <w:rsid w:val="001C60C1"/>
    <w:pPr>
      <w:spacing w:before="240"/>
      <w:outlineLvl w:val="9"/>
    </w:pPr>
    <w:rPr>
      <w:noProof/>
      <w:sz w:val="24"/>
    </w:rPr>
  </w:style>
  <w:style w:type="paragraph" w:customStyle="1" w:styleId="MiniTOCItem">
    <w:name w:val="MiniTOCItem"/>
    <w:basedOn w:val="ListBullet"/>
    <w:rsid w:val="001C60C1"/>
    <w:pPr>
      <w:numPr>
        <w:numId w:val="0"/>
      </w:numPr>
      <w:tabs>
        <w:tab w:val="right" w:leader="dot" w:pos="6521"/>
      </w:tabs>
      <w:spacing w:before="0" w:after="0"/>
    </w:pPr>
  </w:style>
  <w:style w:type="paragraph" w:customStyle="1" w:styleId="TOFTitle">
    <w:name w:val="TOFTitle"/>
    <w:basedOn w:val="TOCTitle"/>
    <w:rsid w:val="001C60C1"/>
  </w:style>
  <w:style w:type="paragraph" w:styleId="TableofFigures">
    <w:name w:val="table of figures"/>
    <w:basedOn w:val="Normal"/>
    <w:next w:val="Normal"/>
    <w:semiHidden/>
    <w:rsid w:val="001C60C1"/>
    <w:pPr>
      <w:tabs>
        <w:tab w:val="right" w:leader="dot" w:pos="9072"/>
      </w:tabs>
      <w:ind w:left="970" w:hanging="403"/>
    </w:pPr>
    <w:rPr>
      <w:rFonts w:ascii="Times New Roman" w:hAnsi="Times New Roman"/>
      <w:b/>
    </w:rPr>
  </w:style>
  <w:style w:type="paragraph" w:styleId="ListNumber">
    <w:name w:val="List Number"/>
    <w:basedOn w:val="List"/>
    <w:rsid w:val="001C60C1"/>
    <w:pPr>
      <w:numPr>
        <w:numId w:val="11"/>
      </w:numPr>
    </w:pPr>
  </w:style>
  <w:style w:type="character" w:customStyle="1" w:styleId="WingdingSymbols">
    <w:name w:val="Wingding Symbols"/>
    <w:rsid w:val="001C60C1"/>
    <w:rPr>
      <w:rFonts w:ascii="Wingdings" w:hAnsi="Wingdings"/>
    </w:rPr>
  </w:style>
  <w:style w:type="paragraph" w:customStyle="1" w:styleId="TableHeading">
    <w:name w:val="Table Heading"/>
    <w:basedOn w:val="HeadingBase"/>
    <w:rsid w:val="001C60C1"/>
    <w:pPr>
      <w:keepLines/>
      <w:pBdr>
        <w:bottom w:val="single" w:sz="6" w:space="1" w:color="918585"/>
      </w:pBdr>
      <w:spacing w:before="240"/>
    </w:pPr>
  </w:style>
  <w:style w:type="character" w:customStyle="1" w:styleId="HotSpot">
    <w:name w:val="HotSpot"/>
    <w:rsid w:val="001C60C1"/>
    <w:rPr>
      <w:color w:val="0033CC"/>
      <w:u w:val="none"/>
    </w:rPr>
  </w:style>
  <w:style w:type="paragraph" w:customStyle="1" w:styleId="BodyTextRight">
    <w:name w:val="Body Text Right"/>
    <w:basedOn w:val="BodyText"/>
    <w:rsid w:val="001C60C1"/>
    <w:pPr>
      <w:spacing w:before="0" w:after="0"/>
      <w:jc w:val="right"/>
    </w:pPr>
  </w:style>
  <w:style w:type="paragraph" w:styleId="Index3">
    <w:name w:val="index 3"/>
    <w:basedOn w:val="ListNumber2"/>
    <w:next w:val="Normal"/>
    <w:semiHidden/>
    <w:rsid w:val="001C60C1"/>
    <w:pPr>
      <w:numPr>
        <w:numId w:val="0"/>
      </w:numPr>
      <w:tabs>
        <w:tab w:val="right" w:leader="dot" w:pos="4176"/>
      </w:tabs>
    </w:pPr>
  </w:style>
  <w:style w:type="paragraph" w:styleId="ListNumber2">
    <w:name w:val="List Number 2"/>
    <w:basedOn w:val="List2"/>
    <w:rsid w:val="001C60C1"/>
    <w:pPr>
      <w:numPr>
        <w:numId w:val="10"/>
      </w:numPr>
      <w:tabs>
        <w:tab w:val="clear" w:pos="1060"/>
      </w:tabs>
    </w:pPr>
  </w:style>
  <w:style w:type="paragraph" w:customStyle="1" w:styleId="MarginNote">
    <w:name w:val="Margin Note"/>
    <w:basedOn w:val="BodyText"/>
    <w:rsid w:val="001C6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0C1"/>
    <w:rPr>
      <w:sz w:val="32"/>
    </w:rPr>
  </w:style>
  <w:style w:type="paragraph" w:customStyle="1" w:styleId="HeadingProcedure">
    <w:name w:val="Heading Procedure"/>
    <w:basedOn w:val="HeadingBase"/>
    <w:next w:val="Normal"/>
    <w:rsid w:val="001C60C1"/>
    <w:pPr>
      <w:tabs>
        <w:tab w:val="left" w:pos="0"/>
      </w:tabs>
      <w:spacing w:before="120" w:after="60"/>
    </w:pPr>
    <w:rPr>
      <w:i/>
      <w:color w:val="918585"/>
      <w:sz w:val="22"/>
    </w:rPr>
  </w:style>
  <w:style w:type="paragraph" w:customStyle="1" w:styleId="TableBodyText">
    <w:name w:val="Table Body Text"/>
    <w:basedOn w:val="BodyText"/>
    <w:rsid w:val="001C60C1"/>
    <w:pPr>
      <w:spacing w:before="60" w:after="60"/>
    </w:pPr>
  </w:style>
  <w:style w:type="paragraph" w:styleId="ListContinue">
    <w:name w:val="List Continue"/>
    <w:basedOn w:val="List"/>
    <w:rsid w:val="001C60C1"/>
    <w:pPr>
      <w:ind w:firstLine="0"/>
    </w:pPr>
  </w:style>
  <w:style w:type="paragraph" w:customStyle="1" w:styleId="ListNote">
    <w:name w:val="List Note"/>
    <w:basedOn w:val="List"/>
    <w:rsid w:val="001C60C1"/>
    <w:pPr>
      <w:pBdr>
        <w:top w:val="single" w:sz="6" w:space="2" w:color="918585"/>
        <w:bottom w:val="single" w:sz="6" w:space="2" w:color="918585"/>
      </w:pBdr>
      <w:tabs>
        <w:tab w:val="left" w:pos="1021"/>
      </w:tabs>
      <w:ind w:firstLine="0"/>
    </w:pPr>
  </w:style>
  <w:style w:type="paragraph" w:customStyle="1" w:styleId="Warning">
    <w:name w:val="Warning"/>
    <w:basedOn w:val="BodyText"/>
    <w:rsid w:val="001C60C1"/>
    <w:pPr>
      <w:shd w:val="clear" w:color="auto" w:fill="D9D9D9"/>
      <w:tabs>
        <w:tab w:val="left" w:pos="992"/>
      </w:tabs>
      <w:ind w:left="119" w:right="119"/>
    </w:pPr>
    <w:rPr>
      <w:sz w:val="20"/>
    </w:rPr>
  </w:style>
  <w:style w:type="paragraph" w:customStyle="1" w:styleId="MarginIcons">
    <w:name w:val="Margin Icons"/>
    <w:basedOn w:val="BodyText"/>
    <w:rsid w:val="001C6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0C1"/>
    <w:rPr>
      <w:rFonts w:ascii="Courier New" w:hAnsi="Courier New"/>
    </w:rPr>
  </w:style>
  <w:style w:type="paragraph" w:customStyle="1" w:styleId="NoteBullet">
    <w:name w:val="Note Bullet"/>
    <w:basedOn w:val="Note"/>
    <w:rsid w:val="001C60C1"/>
    <w:pPr>
      <w:tabs>
        <w:tab w:val="clear" w:pos="680"/>
      </w:tabs>
      <w:spacing w:before="60" w:after="60"/>
    </w:pPr>
  </w:style>
  <w:style w:type="paragraph" w:customStyle="1" w:styleId="SubHeading2">
    <w:name w:val="SubHeading2"/>
    <w:basedOn w:val="HeadingBase"/>
    <w:rsid w:val="001C60C1"/>
    <w:pPr>
      <w:spacing w:before="240" w:after="60"/>
    </w:pPr>
    <w:rPr>
      <w:sz w:val="20"/>
    </w:rPr>
  </w:style>
  <w:style w:type="paragraph" w:customStyle="1" w:styleId="SubHeading1">
    <w:name w:val="SubHeading1"/>
    <w:basedOn w:val="HeadingBase"/>
    <w:rsid w:val="001C60C1"/>
    <w:pPr>
      <w:spacing w:before="240" w:after="60"/>
    </w:pPr>
    <w:rPr>
      <w:color w:val="918585"/>
      <w:sz w:val="22"/>
    </w:rPr>
  </w:style>
  <w:style w:type="paragraph" w:customStyle="1" w:styleId="SideHeading">
    <w:name w:val="Side Heading"/>
    <w:basedOn w:val="HeadingBase"/>
    <w:rsid w:val="001C6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0C1"/>
    <w:pPr>
      <w:numPr>
        <w:numId w:val="12"/>
      </w:numPr>
    </w:pPr>
  </w:style>
  <w:style w:type="paragraph" w:styleId="PlainText">
    <w:name w:val="Plain Text"/>
    <w:basedOn w:val="Normal"/>
    <w:link w:val="PlainTextChar"/>
    <w:rsid w:val="001C60C1"/>
    <w:rPr>
      <w:sz w:val="20"/>
    </w:rPr>
  </w:style>
  <w:style w:type="character" w:customStyle="1" w:styleId="PlainTextChar">
    <w:name w:val="Plain Text Char"/>
    <w:basedOn w:val="DefaultParagraphFont"/>
    <w:link w:val="PlainText"/>
    <w:rsid w:val="001C60C1"/>
    <w:rPr>
      <w:rFonts w:ascii="Courier New" w:eastAsia="Times New Roman" w:hAnsi="Courier New" w:cs="Times New Roman"/>
      <w:sz w:val="20"/>
      <w:szCs w:val="20"/>
      <w:lang w:eastAsia="en-US"/>
    </w:rPr>
  </w:style>
  <w:style w:type="character" w:customStyle="1" w:styleId="MenuOption">
    <w:name w:val="Menu Option"/>
    <w:basedOn w:val="DefaultParagraphFont"/>
    <w:rsid w:val="001C60C1"/>
    <w:rPr>
      <w:b/>
      <w:smallCaps/>
    </w:rPr>
  </w:style>
  <w:style w:type="paragraph" w:customStyle="1" w:styleId="TableListNumber">
    <w:name w:val="Table List Number"/>
    <w:basedOn w:val="ListNumber"/>
    <w:rsid w:val="001C60C1"/>
    <w:pPr>
      <w:numPr>
        <w:numId w:val="0"/>
      </w:numPr>
    </w:pPr>
  </w:style>
  <w:style w:type="paragraph" w:styleId="TOC4">
    <w:name w:val="toc 4"/>
    <w:basedOn w:val="TOCBase"/>
    <w:next w:val="Normal"/>
    <w:semiHidden/>
    <w:rsid w:val="001C60C1"/>
    <w:pPr>
      <w:tabs>
        <w:tab w:val="right" w:leader="dot" w:pos="9071"/>
      </w:tabs>
      <w:ind w:left="1701"/>
    </w:pPr>
  </w:style>
  <w:style w:type="paragraph" w:customStyle="1" w:styleId="ListAlpha">
    <w:name w:val="List Alpha"/>
    <w:basedOn w:val="List"/>
    <w:rsid w:val="001C60C1"/>
    <w:pPr>
      <w:numPr>
        <w:numId w:val="9"/>
      </w:numPr>
    </w:pPr>
  </w:style>
  <w:style w:type="paragraph" w:customStyle="1" w:styleId="ListAlpha2">
    <w:name w:val="List Alpha 2"/>
    <w:basedOn w:val="List2"/>
    <w:rsid w:val="001C60C1"/>
    <w:pPr>
      <w:numPr>
        <w:numId w:val="8"/>
      </w:numPr>
    </w:pPr>
  </w:style>
  <w:style w:type="paragraph" w:styleId="List2">
    <w:name w:val="List 2"/>
    <w:basedOn w:val="BodyText"/>
    <w:rsid w:val="001C60C1"/>
    <w:pPr>
      <w:tabs>
        <w:tab w:val="left" w:pos="680"/>
      </w:tabs>
      <w:spacing w:before="60" w:after="60"/>
      <w:ind w:left="680" w:hanging="340"/>
    </w:pPr>
  </w:style>
  <w:style w:type="paragraph" w:styleId="List3">
    <w:name w:val="List 3"/>
    <w:basedOn w:val="BodyText"/>
    <w:rsid w:val="001C60C1"/>
    <w:pPr>
      <w:tabs>
        <w:tab w:val="left" w:pos="1021"/>
      </w:tabs>
      <w:spacing w:before="60" w:after="60"/>
      <w:ind w:left="1020" w:hanging="340"/>
    </w:pPr>
  </w:style>
  <w:style w:type="paragraph" w:styleId="List4">
    <w:name w:val="List 4"/>
    <w:basedOn w:val="BodyText"/>
    <w:rsid w:val="001C60C1"/>
    <w:pPr>
      <w:tabs>
        <w:tab w:val="left" w:pos="1361"/>
      </w:tabs>
      <w:spacing w:before="60" w:after="60"/>
      <w:ind w:left="1361" w:hanging="340"/>
    </w:pPr>
  </w:style>
  <w:style w:type="paragraph" w:styleId="List5">
    <w:name w:val="List 5"/>
    <w:basedOn w:val="BodyText"/>
    <w:rsid w:val="001C60C1"/>
    <w:pPr>
      <w:tabs>
        <w:tab w:val="left" w:pos="1701"/>
      </w:tabs>
      <w:spacing w:before="60" w:after="60"/>
      <w:ind w:left="1701" w:hanging="340"/>
    </w:pPr>
  </w:style>
  <w:style w:type="paragraph" w:styleId="ListBullet3">
    <w:name w:val="List Bullet 3"/>
    <w:basedOn w:val="List3"/>
    <w:rsid w:val="001C60C1"/>
    <w:pPr>
      <w:numPr>
        <w:numId w:val="15"/>
      </w:numPr>
      <w:tabs>
        <w:tab w:val="clear" w:pos="1021"/>
      </w:tabs>
      <w:ind w:left="1037" w:hanging="357"/>
    </w:pPr>
  </w:style>
  <w:style w:type="paragraph" w:styleId="ListBullet4">
    <w:name w:val="List Bullet 4"/>
    <w:basedOn w:val="List4"/>
    <w:rsid w:val="001C60C1"/>
    <w:pPr>
      <w:numPr>
        <w:numId w:val="3"/>
      </w:numPr>
    </w:pPr>
  </w:style>
  <w:style w:type="paragraph" w:styleId="ListBullet5">
    <w:name w:val="List Bullet 5"/>
    <w:basedOn w:val="List5"/>
    <w:rsid w:val="001C60C1"/>
    <w:pPr>
      <w:numPr>
        <w:numId w:val="4"/>
      </w:numPr>
    </w:pPr>
  </w:style>
  <w:style w:type="paragraph" w:styleId="ListContinue2">
    <w:name w:val="List Continue 2"/>
    <w:basedOn w:val="List2"/>
    <w:rsid w:val="001C60C1"/>
    <w:pPr>
      <w:ind w:firstLine="0"/>
    </w:pPr>
  </w:style>
  <w:style w:type="paragraph" w:styleId="ListContinue3">
    <w:name w:val="List Continue 3"/>
    <w:basedOn w:val="List3"/>
    <w:rsid w:val="001C60C1"/>
    <w:pPr>
      <w:ind w:left="1021" w:firstLine="0"/>
    </w:pPr>
  </w:style>
  <w:style w:type="paragraph" w:styleId="ListContinue4">
    <w:name w:val="List Continue 4"/>
    <w:basedOn w:val="List4"/>
    <w:rsid w:val="001C60C1"/>
    <w:pPr>
      <w:ind w:firstLine="0"/>
    </w:pPr>
  </w:style>
  <w:style w:type="paragraph" w:styleId="ListContinue5">
    <w:name w:val="List Continue 5"/>
    <w:basedOn w:val="List5"/>
    <w:rsid w:val="001C60C1"/>
    <w:pPr>
      <w:ind w:firstLine="0"/>
    </w:pPr>
  </w:style>
  <w:style w:type="paragraph" w:styleId="ListNumber3">
    <w:name w:val="List Number 3"/>
    <w:basedOn w:val="List3"/>
    <w:rsid w:val="001C60C1"/>
    <w:pPr>
      <w:numPr>
        <w:numId w:val="5"/>
      </w:numPr>
    </w:pPr>
  </w:style>
  <w:style w:type="paragraph" w:styleId="ListNumber4">
    <w:name w:val="List Number 4"/>
    <w:basedOn w:val="List4"/>
    <w:rsid w:val="001C60C1"/>
    <w:pPr>
      <w:numPr>
        <w:numId w:val="6"/>
      </w:numPr>
    </w:pPr>
  </w:style>
  <w:style w:type="paragraph" w:styleId="ListNumber5">
    <w:name w:val="List Number 5"/>
    <w:basedOn w:val="List5"/>
    <w:rsid w:val="001C60C1"/>
    <w:pPr>
      <w:numPr>
        <w:numId w:val="7"/>
      </w:numPr>
    </w:pPr>
  </w:style>
  <w:style w:type="paragraph" w:styleId="BlockText">
    <w:name w:val="Block Text"/>
    <w:basedOn w:val="Normal"/>
    <w:rsid w:val="001C60C1"/>
    <w:pPr>
      <w:spacing w:after="120"/>
      <w:ind w:left="1440" w:right="1440"/>
    </w:pPr>
  </w:style>
  <w:style w:type="character" w:customStyle="1" w:styleId="Subscript">
    <w:name w:val="Subscript"/>
    <w:basedOn w:val="DefaultParagraphFont"/>
    <w:rsid w:val="001C60C1"/>
    <w:rPr>
      <w:sz w:val="16"/>
      <w:vertAlign w:val="subscript"/>
    </w:rPr>
  </w:style>
  <w:style w:type="character" w:customStyle="1" w:styleId="Superscript">
    <w:name w:val="Superscript"/>
    <w:basedOn w:val="DefaultParagraphFont"/>
    <w:rsid w:val="001C60C1"/>
    <w:rPr>
      <w:sz w:val="16"/>
      <w:vertAlign w:val="superscript"/>
    </w:rPr>
  </w:style>
  <w:style w:type="character" w:customStyle="1" w:styleId="Symbols">
    <w:name w:val="Symbols"/>
    <w:basedOn w:val="DefaultParagraphFont"/>
    <w:rsid w:val="001C60C1"/>
    <w:rPr>
      <w:rFonts w:ascii="Symbol" w:hAnsi="Symbol"/>
    </w:rPr>
  </w:style>
  <w:style w:type="character" w:customStyle="1" w:styleId="MenuOptions">
    <w:name w:val="Menu Options"/>
    <w:basedOn w:val="DefaultParagraphFont"/>
    <w:rsid w:val="001C60C1"/>
    <w:rPr>
      <w:rFonts w:ascii="Arial Narrow" w:hAnsi="Arial Narrow"/>
      <w:smallCaps/>
    </w:rPr>
  </w:style>
  <w:style w:type="character" w:customStyle="1" w:styleId="Buttons">
    <w:name w:val="Buttons"/>
    <w:basedOn w:val="DefaultParagraphFont"/>
    <w:rsid w:val="001C60C1"/>
    <w:rPr>
      <w:b/>
    </w:rPr>
  </w:style>
  <w:style w:type="character" w:customStyle="1" w:styleId="Underlined">
    <w:name w:val="Underlined"/>
    <w:basedOn w:val="DefaultParagraphFont"/>
    <w:rsid w:val="001C60C1"/>
    <w:rPr>
      <w:u w:val="single"/>
    </w:rPr>
  </w:style>
  <w:style w:type="paragraph" w:customStyle="1" w:styleId="TableBodyTextRight">
    <w:name w:val="Table Body Text Right"/>
    <w:basedOn w:val="TableBodyText"/>
    <w:rsid w:val="001C60C1"/>
    <w:pPr>
      <w:widowControl w:val="0"/>
      <w:autoSpaceDE w:val="0"/>
      <w:autoSpaceDN w:val="0"/>
      <w:adjustRightInd w:val="0"/>
      <w:jc w:val="right"/>
    </w:pPr>
    <w:rPr>
      <w:rFonts w:cs="Arial"/>
      <w:szCs w:val="18"/>
    </w:rPr>
  </w:style>
  <w:style w:type="paragraph" w:customStyle="1" w:styleId="CopyrightText">
    <w:name w:val="Copyright Text"/>
    <w:basedOn w:val="BodyText"/>
    <w:rsid w:val="001C60C1"/>
    <w:rPr>
      <w:sz w:val="18"/>
    </w:rPr>
  </w:style>
  <w:style w:type="paragraph" w:customStyle="1" w:styleId="BodySmallRight">
    <w:name w:val="Body Small Right"/>
    <w:basedOn w:val="BodyTextRight"/>
    <w:rsid w:val="001C60C1"/>
    <w:rPr>
      <w:sz w:val="18"/>
      <w:szCs w:val="18"/>
    </w:rPr>
  </w:style>
  <w:style w:type="paragraph" w:customStyle="1" w:styleId="MarginEdition">
    <w:name w:val="Margin Edition"/>
    <w:basedOn w:val="MarginNote"/>
    <w:rsid w:val="001C60C1"/>
    <w:pPr>
      <w:spacing w:before="0" w:after="0"/>
    </w:pPr>
    <w:rPr>
      <w:rFonts w:ascii="Times New Roman" w:hAnsi="Times New Roman"/>
      <w:color w:val="999999"/>
    </w:rPr>
  </w:style>
  <w:style w:type="paragraph" w:customStyle="1" w:styleId="Spacer">
    <w:name w:val="Spacer"/>
    <w:basedOn w:val="Normal"/>
    <w:rsid w:val="001C60C1"/>
    <w:rPr>
      <w:sz w:val="2"/>
      <w:szCs w:val="2"/>
    </w:rPr>
  </w:style>
  <w:style w:type="character" w:customStyle="1" w:styleId="Small">
    <w:name w:val="Small"/>
    <w:basedOn w:val="DefaultParagraphFont"/>
    <w:rsid w:val="001C60C1"/>
    <w:rPr>
      <w:sz w:val="16"/>
    </w:rPr>
  </w:style>
  <w:style w:type="paragraph" w:customStyle="1" w:styleId="WideTable">
    <w:name w:val="Wide Table"/>
    <w:basedOn w:val="Normal"/>
    <w:rsid w:val="001C60C1"/>
    <w:pPr>
      <w:ind w:left="-1418"/>
    </w:pPr>
    <w:rPr>
      <w:sz w:val="2"/>
      <w:szCs w:val="2"/>
    </w:rPr>
  </w:style>
  <w:style w:type="character" w:styleId="PageNumber">
    <w:name w:val="page number"/>
    <w:basedOn w:val="DefaultParagraphFont"/>
    <w:rsid w:val="001C60C1"/>
  </w:style>
  <w:style w:type="paragraph" w:styleId="Quote">
    <w:name w:val="Quote"/>
    <w:basedOn w:val="Heading1"/>
    <w:link w:val="QuoteChar"/>
    <w:qFormat/>
    <w:rsid w:val="001C60C1"/>
    <w:rPr>
      <w:b w:val="0"/>
      <w:sz w:val="72"/>
      <w:szCs w:val="72"/>
      <w:lang w:val="en-NZ"/>
    </w:rPr>
  </w:style>
  <w:style w:type="character" w:customStyle="1" w:styleId="QuoteChar">
    <w:name w:val="Quote Char"/>
    <w:basedOn w:val="DefaultParagraphFont"/>
    <w:link w:val="Quote"/>
    <w:rsid w:val="001C6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0C1"/>
    <w:pPr>
      <w:pageBreakBefore/>
    </w:pPr>
  </w:style>
  <w:style w:type="paragraph" w:customStyle="1" w:styleId="Border">
    <w:name w:val="Border"/>
    <w:basedOn w:val="Normal"/>
    <w:qFormat/>
    <w:rsid w:val="001C6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0C1"/>
    <w:rPr>
      <w:b/>
      <w:bCs/>
      <w:i/>
      <w:iCs/>
      <w:color w:val="auto"/>
    </w:rPr>
  </w:style>
  <w:style w:type="paragraph" w:styleId="IntenseQuote">
    <w:name w:val="Intense Quote"/>
    <w:basedOn w:val="Normal"/>
    <w:next w:val="Normal"/>
    <w:link w:val="IntenseQuoteChar"/>
    <w:uiPriority w:val="30"/>
    <w:qFormat/>
    <w:rsid w:val="001C6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0C1"/>
    <w:rPr>
      <w:smallCaps/>
      <w:color w:val="auto"/>
      <w:u w:val="single"/>
    </w:rPr>
  </w:style>
  <w:style w:type="character" w:styleId="IntenseReference">
    <w:name w:val="Intense Reference"/>
    <w:basedOn w:val="DefaultParagraphFont"/>
    <w:uiPriority w:val="32"/>
    <w:qFormat/>
    <w:rsid w:val="001C60C1"/>
    <w:rPr>
      <w:b/>
      <w:bCs/>
      <w:smallCaps/>
      <w:color w:val="auto"/>
      <w:spacing w:val="5"/>
      <w:u w:val="single"/>
    </w:rPr>
  </w:style>
  <w:style w:type="paragraph" w:customStyle="1" w:styleId="2ColumnHeading">
    <w:name w:val="2Column Heading"/>
    <w:basedOn w:val="BodyText"/>
    <w:qFormat/>
    <w:rsid w:val="001C60C1"/>
    <w:pPr>
      <w:spacing w:after="60"/>
      <w:ind w:left="-2268"/>
    </w:pPr>
    <w:rPr>
      <w:b/>
    </w:rPr>
  </w:style>
  <w:style w:type="paragraph" w:customStyle="1" w:styleId="Heading1TOC">
    <w:name w:val="Heading1 TOC"/>
    <w:basedOn w:val="Normal"/>
    <w:qFormat/>
    <w:rsid w:val="001C60C1"/>
    <w:pPr>
      <w:spacing w:before="240" w:after="120"/>
    </w:pPr>
    <w:rPr>
      <w:rFonts w:ascii="Times New Roman" w:hAnsi="Times New Roman"/>
      <w:b/>
      <w:sz w:val="32"/>
    </w:rPr>
  </w:style>
  <w:style w:type="paragraph" w:customStyle="1" w:styleId="Heading2TOC">
    <w:name w:val="Heading2 TOC"/>
    <w:basedOn w:val="Normal"/>
    <w:qFormat/>
    <w:rsid w:val="001C60C1"/>
    <w:pPr>
      <w:spacing w:before="240" w:after="60"/>
    </w:pPr>
    <w:rPr>
      <w:rFonts w:ascii="Times New Roman" w:hAnsi="Times New Roman"/>
      <w:b/>
      <w:sz w:val="28"/>
    </w:rPr>
  </w:style>
  <w:style w:type="paragraph" w:styleId="BalloonText">
    <w:name w:val="Balloon Text"/>
    <w:basedOn w:val="Normal"/>
    <w:link w:val="BalloonTextChar"/>
    <w:rsid w:val="001C60C1"/>
    <w:rPr>
      <w:rFonts w:ascii="Tahoma" w:hAnsi="Tahoma" w:cs="Tahoma"/>
      <w:sz w:val="16"/>
      <w:szCs w:val="16"/>
    </w:rPr>
  </w:style>
  <w:style w:type="character" w:customStyle="1" w:styleId="BalloonTextChar">
    <w:name w:val="Balloon Text Char"/>
    <w:basedOn w:val="DefaultParagraphFont"/>
    <w:link w:val="BalloonText"/>
    <w:rsid w:val="001C6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0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6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0C1"/>
    <w:rPr>
      <w:b/>
      <w:color w:val="660033"/>
      <w:spacing w:val="0"/>
    </w:rPr>
  </w:style>
  <w:style w:type="paragraph" w:customStyle="1" w:styleId="Nameditemlist">
    <w:name w:val="Named item list"/>
    <w:basedOn w:val="BodyText"/>
    <w:qFormat/>
    <w:rsid w:val="001C60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1774</Words>
  <Characters>11530</Characters>
  <Application>Microsoft Office Word</Application>
  <DocSecurity>0</DocSecurity>
  <Lines>356</Lines>
  <Paragraphs>228</Paragraphs>
  <ScaleCrop>false</ScaleCrop>
  <Company>Author-it Software Corporation Ltd.</Company>
  <LinksUpToDate>false</LinksUpToDate>
  <CharactersWithSpaces>13229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PSPETHC601B Maintain and enhance confidence in public service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2012-11-01T17:28:00Z</dcterms:created>
  <dcterms:modified xsi:type="dcterms:W3CDTF">2012-11-01T17:28:00Z</dcterms:modified>
</cp:coreProperties>
</file>