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0100" w:rsidP="00030100">
      <w:pPr>
        <w:pStyle w:val="Title"/>
      </w:pPr>
      <w:bookmarkStart w:id="0" w:name="_GoBack"/>
      <w:bookmarkEnd w:id="0"/>
      <w:r>
        <w:fldChar w:fldCharType="begin"/>
      </w:r>
      <w:r>
        <w:instrText xml:space="preserve"> TITLE   \* MERGEFORMAT </w:instrText>
      </w:r>
      <w:r>
        <w:fldChar w:fldCharType="separate"/>
      </w:r>
      <w:r>
        <w:t>PSPCRT506B Perform quasi-judicial functions</w:t>
      </w:r>
      <w:r>
        <w:fldChar w:fldCharType="end"/>
      </w:r>
    </w:p>
    <w:p w:rsidR="00030100" w:rsidP="00030100">
      <w:pPr>
        <w:pStyle w:val="Version"/>
        <w:sectPr w:rsidSect="00ED3A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ED3AAB" w:rsidP="00ED3AAB">
      <w:pPr>
        <w:pStyle w:val="SuperHeading"/>
      </w:pPr>
      <w:r w:rsidRPr="00ED3AAB">
        <w:t>PSPCRT506B Perform quasi-judicial functions</w:t>
      </w:r>
    </w:p>
    <w:p w:rsidR="00000000" w:rsidRPr="00ED3AAB" w:rsidP="00ED3AAB">
      <w:pPr>
        <w:pStyle w:val="SuperHeading"/>
      </w:pPr>
    </w:p>
    <w:p w:rsidR="00000000" w:rsidRPr="00ED3AAB" w:rsidP="00ED3AAB">
      <w:pPr>
        <w:pStyle w:val="Heading1"/>
      </w:pPr>
      <w:bookmarkStart w:id="1" w:name="O_494910"/>
      <w:bookmarkEnd w:id="1"/>
      <w:r w:rsidRPr="00ED3AAB">
        <w:t>Modification History</w:t>
      </w:r>
    </w:p>
    <w:tbl>
      <w:tblPr>
        <w:tblW w:w="0" w:type="auto"/>
        <w:tblLayout w:type="fixed"/>
        <w:tblCellMar>
          <w:left w:w="62" w:type="dxa"/>
          <w:right w:w="62" w:type="dxa"/>
        </w:tblCellMar>
        <w:tblLook w:val="0000"/>
      </w:tblPr>
      <w:tblGrid>
        <w:gridCol w:w="3052"/>
        <w:gridCol w:w="3052"/>
        <w:gridCol w:w="3052"/>
      </w:tblGrid>
      <w:tr w:rsidTr="0003010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AAB" w:rsidP="00ED3AAB">
            <w:pPr>
              <w:pStyle w:val="BodyText"/>
            </w:pPr>
            <w:r w:rsidRPr="00ED3AAB">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AAB" w:rsidP="00ED3AAB">
            <w:pPr>
              <w:pStyle w:val="BodyText"/>
            </w:pPr>
            <w:r w:rsidRPr="00ED3AAB">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AAB">
            <w:pPr>
              <w:pStyle w:val="BodyText"/>
              <w:rPr>
                <w:lang w:val="en-NZ"/>
              </w:rPr>
            </w:pPr>
            <w:r w:rsidRPr="00ED3AAB">
              <w:rPr>
                <w:rStyle w:val="SpecialBold"/>
              </w:rPr>
              <w:t>Comments</w:t>
            </w:r>
          </w:p>
        </w:tc>
      </w:tr>
      <w:tr w:rsidTr="0003010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AAB">
            <w:pPr>
              <w:pStyle w:val="BodyText"/>
              <w:rPr>
                <w:lang w:val="en-NZ"/>
              </w:rPr>
            </w:pPr>
            <w:r w:rsidRPr="00ED3AAB">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AAB">
            <w:pPr>
              <w:pStyle w:val="BodyText"/>
              <w:rPr>
                <w:lang w:val="en-NZ"/>
              </w:rPr>
            </w:pPr>
            <w:r w:rsidRPr="00ED3AAB">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AAB">
            <w:pPr>
              <w:pStyle w:val="BodyText"/>
              <w:rPr>
                <w:lang w:val="en-NZ"/>
              </w:rPr>
            </w:pPr>
            <w:r w:rsidRPr="00ED3AAB">
              <w:t>Elements and performance criteria pre-content</w:t>
            </w:r>
            <w:r w:rsidRPr="00ED3AAB">
              <w:t xml:space="preserve"> edited. </w:t>
            </w:r>
          </w:p>
        </w:tc>
      </w:tr>
      <w:tr w:rsidTr="0003010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AAB">
            <w:pPr>
              <w:pStyle w:val="BodyText"/>
              <w:rPr>
                <w:lang w:val="en-NZ"/>
              </w:rPr>
            </w:pPr>
            <w:r w:rsidRPr="00ED3AAB">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AAB">
            <w:pPr>
              <w:pStyle w:val="BodyText"/>
              <w:rPr>
                <w:lang w:val="en-NZ"/>
              </w:rPr>
            </w:pPr>
            <w:r w:rsidRPr="00ED3AAB">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AAB">
            <w:pPr>
              <w:pStyle w:val="BodyText"/>
              <w:rPr>
                <w:lang w:val="en-NZ"/>
              </w:rPr>
            </w:pPr>
            <w:r w:rsidRPr="00ED3AAB">
              <w:t>Layout adjusted. No changes to content.</w:t>
            </w:r>
          </w:p>
        </w:tc>
      </w:tr>
      <w:tr w:rsidTr="00030100">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AAB">
            <w:pPr>
              <w:pStyle w:val="BodyText"/>
              <w:rPr>
                <w:lang w:val="en-NZ"/>
              </w:rPr>
            </w:pPr>
            <w:r w:rsidRPr="00ED3AAB">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AAB">
            <w:pPr>
              <w:pStyle w:val="BodyText"/>
              <w:rPr>
                <w:lang w:val="en-NZ"/>
              </w:rPr>
            </w:pPr>
            <w:r w:rsidRPr="00ED3AAB">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AAB" w:rsidP="00ED3AAB">
            <w:pPr>
              <w:pStyle w:val="BodyText"/>
            </w:pPr>
            <w:r w:rsidRPr="00ED3AAB">
              <w:t>Primary release.</w:t>
            </w:r>
          </w:p>
        </w:tc>
      </w:tr>
    </w:tbl>
    <w:p w:rsidR="00030100" w:rsidP="00ED3AAB">
      <w:pPr>
        <w:pStyle w:val="BodyText"/>
      </w:pPr>
    </w:p>
    <w:p w:rsidR="00030100" w:rsidP="00ED3AAB">
      <w:pPr>
        <w:pStyle w:val="BodyText"/>
      </w:pPr>
    </w:p>
    <w:p w:rsidR="00000000" w:rsidRPr="00ED3AAB" w:rsidP="00ED3AAB">
      <w:pPr>
        <w:pStyle w:val="Heading1"/>
      </w:pPr>
      <w:bookmarkStart w:id="2" w:name="O_494915"/>
      <w:bookmarkEnd w:id="2"/>
      <w:r w:rsidRPr="00ED3AAB">
        <w:t>Unit Descriptor</w:t>
      </w:r>
    </w:p>
    <w:p w:rsidR="00000000" w:rsidRPr="00ED3AAB" w:rsidP="00ED3AAB">
      <w:pPr>
        <w:pStyle w:val="BodyText"/>
      </w:pPr>
      <w:r w:rsidRPr="00ED3AAB">
        <w:t>This unit covers the competencies required to perform quasi-judicial</w:t>
      </w:r>
      <w:r w:rsidRPr="00ED3AAB">
        <w:t xml:space="preserve"> functions as prescribed by legislation and Rules of Court. It includes advising on rules and legislation, settling court orders and presiding in prescribed matters.</w:t>
      </w:r>
    </w:p>
    <w:p w:rsidR="00000000" w:rsidRPr="00ED3AAB" w:rsidP="00ED3AAB">
      <w:pPr>
        <w:pStyle w:val="BodyText"/>
      </w:pPr>
      <w:r w:rsidRPr="00ED3AAB">
        <w:t xml:space="preserve">In practice, performance of quasi-judicial functions may overlap with other generalist or </w:t>
      </w:r>
      <w:r w:rsidRPr="00ED3AAB">
        <w:t xml:space="preserve">specialist public sector work activities, such as acting ethically, complying with legislation, working with diversity and advising on policy. </w:t>
      </w:r>
    </w:p>
    <w:p w:rsidR="00000000" w:rsidRPr="00ED3AAB" w:rsidP="00ED3AAB">
      <w:pPr>
        <w:pStyle w:val="BodyText"/>
      </w:pPr>
      <w:r w:rsidRPr="00ED3AAB">
        <w:t>No licensing, legislative, regulatory or certification requirements apply to this unit at the time of endorsemen</w:t>
      </w:r>
      <w:r w:rsidRPr="00ED3AAB">
        <w:t>t.</w:t>
      </w:r>
    </w:p>
    <w:p w:rsidR="00000000" w:rsidRPr="00ED3AAB" w:rsidP="00ED3AAB">
      <w:pPr>
        <w:pStyle w:val="AllowPageBreak"/>
      </w:pPr>
    </w:p>
    <w:p w:rsidR="00000000" w:rsidRPr="00ED3AAB" w:rsidP="00ED3AAB">
      <w:pPr>
        <w:pStyle w:val="Heading1"/>
      </w:pPr>
      <w:bookmarkStart w:id="3" w:name="O_494921"/>
      <w:bookmarkEnd w:id="3"/>
      <w:r w:rsidRPr="00ED3AAB">
        <w:t>Application of the Unit</w:t>
      </w:r>
    </w:p>
    <w:p w:rsidR="00000000" w:rsidRPr="00ED3AAB" w:rsidP="00ED3AAB">
      <w:pPr>
        <w:pStyle w:val="BodyText"/>
      </w:pPr>
      <w:r w:rsidRPr="00ED3AAB">
        <w:t>The task of advising on legislation, settling court orders and presiding in prescribed matters will be undertaken by authorised court officials under specified rules, practices and procedures.</w:t>
      </w:r>
    </w:p>
    <w:p w:rsidR="00000000" w:rsidRPr="00ED3AAB" w:rsidP="00ED3AAB">
      <w:pPr>
        <w:pStyle w:val="AllowPageBreak"/>
      </w:pPr>
    </w:p>
    <w:p w:rsidR="00000000" w:rsidRPr="00ED3AAB" w:rsidP="00ED3AAB">
      <w:pPr>
        <w:pStyle w:val="Heading1"/>
      </w:pPr>
      <w:bookmarkStart w:id="4" w:name="O_494908"/>
      <w:bookmarkEnd w:id="4"/>
      <w:r w:rsidRPr="00ED3AAB">
        <w:t>Li</w:t>
      </w:r>
      <w:r w:rsidRPr="00ED3AAB">
        <w:t>censing/Regulatory Information</w:t>
      </w:r>
    </w:p>
    <w:p w:rsidR="00000000" w:rsidRPr="00ED3AAB" w:rsidP="00ED3AAB">
      <w:pPr>
        <w:pStyle w:val="BodyText"/>
      </w:pPr>
      <w:r w:rsidRPr="00ED3AAB">
        <w:t>Not applicable.</w:t>
      </w:r>
    </w:p>
    <w:p w:rsidR="00000000" w:rsidRPr="00ED3AAB" w:rsidP="00ED3AAB">
      <w:pPr>
        <w:pStyle w:val="AllowPageBreak"/>
      </w:pPr>
    </w:p>
    <w:p w:rsidR="00000000" w:rsidRPr="00ED3AAB" w:rsidP="00ED3AAB">
      <w:pPr>
        <w:pStyle w:val="Heading1"/>
      </w:pPr>
      <w:bookmarkStart w:id="5" w:name="O_494914"/>
      <w:bookmarkEnd w:id="5"/>
      <w:r w:rsidRPr="00ED3AAB">
        <w:t>Pre-Requisites</w:t>
      </w:r>
    </w:p>
    <w:p w:rsidR="00000000" w:rsidRPr="00ED3AAB" w:rsidP="00ED3AAB">
      <w:pPr>
        <w:pStyle w:val="BodyText"/>
      </w:pPr>
      <w:r w:rsidRPr="00ED3AAB">
        <w:t>Not applicable.</w:t>
      </w:r>
    </w:p>
    <w:p w:rsidR="00000000" w:rsidRPr="00ED3AAB" w:rsidP="00ED3AAB">
      <w:pPr>
        <w:pStyle w:val="AllowPageBreak"/>
      </w:pPr>
    </w:p>
    <w:p w:rsidR="00000000" w:rsidRPr="00ED3AAB" w:rsidP="00ED3AAB">
      <w:pPr>
        <w:pStyle w:val="Heading1"/>
      </w:pPr>
      <w:bookmarkStart w:id="6" w:name="O_494916"/>
      <w:bookmarkEnd w:id="6"/>
      <w:r w:rsidRPr="00ED3AAB">
        <w:t>Employability Skills Information</w:t>
      </w:r>
    </w:p>
    <w:p w:rsidR="00000000" w:rsidRPr="00ED3AAB" w:rsidP="00ED3AAB">
      <w:pPr>
        <w:pStyle w:val="BodyText"/>
      </w:pPr>
      <w:r w:rsidRPr="00ED3AAB">
        <w:t>This unit contains employability skills.</w:t>
      </w:r>
    </w:p>
    <w:p w:rsidR="00000000" w:rsidRPr="00ED3AAB" w:rsidP="00ED3AAB">
      <w:pPr>
        <w:pStyle w:val="AllowPageBreak"/>
      </w:pPr>
    </w:p>
    <w:p w:rsidR="00000000" w:rsidRPr="00ED3AAB" w:rsidP="00ED3AAB">
      <w:pPr>
        <w:pStyle w:val="Heading1"/>
      </w:pPr>
      <w:bookmarkStart w:id="7" w:name="O_494917"/>
      <w:bookmarkEnd w:id="7"/>
      <w:r w:rsidRPr="00ED3AAB">
        <w:t>Elements and Performance Criteria Pre-Content</w:t>
      </w:r>
    </w:p>
    <w:tbl>
      <w:tblPr>
        <w:tblW w:w="0" w:type="auto"/>
        <w:tblLayout w:type="fixed"/>
        <w:tblCellMar>
          <w:left w:w="62" w:type="dxa"/>
          <w:right w:w="62" w:type="dxa"/>
        </w:tblCellMar>
        <w:tblLook w:val="0000"/>
      </w:tblPr>
      <w:tblGrid>
        <w:gridCol w:w="3600"/>
        <w:gridCol w:w="4922"/>
      </w:tblGrid>
      <w:tr w:rsidTr="00030100">
        <w:tblPrEx>
          <w:tblW w:w="0" w:type="auto"/>
          <w:tblLayout w:type="fixed"/>
          <w:tblCellMar>
            <w:left w:w="62" w:type="dxa"/>
            <w:right w:w="62" w:type="dxa"/>
          </w:tblCellMar>
          <w:tblLook w:val="0000"/>
        </w:tblPrEx>
        <w:tc>
          <w:tcPr>
            <w:tcW w:w="3600" w:type="dxa"/>
            <w:tcBorders>
              <w:top w:val="nil"/>
              <w:left w:val="nil"/>
              <w:bottom w:val="nil"/>
              <w:right w:val="nil"/>
            </w:tcBorders>
            <w:tcMar>
              <w:top w:w="0" w:type="dxa"/>
              <w:left w:w="62" w:type="dxa"/>
              <w:bottom w:w="0" w:type="dxa"/>
              <w:right w:w="62" w:type="dxa"/>
            </w:tcMar>
          </w:tcPr>
          <w:p w:rsidR="00000000" w:rsidP="00ED3AAB">
            <w:pPr>
              <w:pStyle w:val="BodyText"/>
              <w:rPr>
                <w:lang w:val="en-NZ"/>
              </w:rPr>
            </w:pPr>
            <w:r w:rsidRPr="00ED3AAB">
              <w:t>Element</w:t>
            </w:r>
            <w:r w:rsidRPr="00ED3AAB">
              <w:t>s describe the essential outcomes of a unit of competency.</w:t>
            </w:r>
          </w:p>
        </w:tc>
        <w:tc>
          <w:tcPr>
            <w:tcW w:w="4922" w:type="dxa"/>
            <w:tcBorders>
              <w:top w:val="nil"/>
              <w:left w:val="nil"/>
              <w:bottom w:val="nil"/>
              <w:right w:val="nil"/>
            </w:tcBorders>
            <w:tcMar>
              <w:top w:w="0" w:type="dxa"/>
              <w:left w:w="62" w:type="dxa"/>
              <w:bottom w:w="0" w:type="dxa"/>
              <w:right w:w="62" w:type="dxa"/>
            </w:tcMar>
          </w:tcPr>
          <w:p w:rsidR="00000000" w:rsidRPr="00ED3AAB" w:rsidP="00ED3AAB">
            <w:pPr>
              <w:pStyle w:val="BodyText"/>
            </w:pPr>
            <w:r w:rsidRPr="00ED3AAB">
              <w:t xml:space="preserve">Performance criteria describe the performance needed to demonstrate achievement of the element. Where </w:t>
            </w:r>
            <w:r w:rsidRPr="00ED3AAB">
              <w:rPr>
                <w:rStyle w:val="BoldandItalics"/>
              </w:rPr>
              <w:t>bold italicised</w:t>
            </w:r>
            <w:r w:rsidRPr="00ED3AAB">
              <w:t xml:space="preserve"> text is used, further information is detailed in the range statement. Assessment of performance is to be consistent with the evidence guide.</w:t>
            </w:r>
          </w:p>
        </w:tc>
      </w:tr>
    </w:tbl>
    <w:p w:rsidR="00000000" w:rsidRPr="00ED3AAB" w:rsidP="00ED3AAB">
      <w:pPr>
        <w:pStyle w:val="BodyText"/>
      </w:pPr>
    </w:p>
    <w:p w:rsidR="00000000" w:rsidRPr="00ED3AAB" w:rsidP="00ED3AAB">
      <w:pPr>
        <w:pStyle w:val="AllowPageBreak"/>
      </w:pPr>
    </w:p>
    <w:p w:rsidR="00000000" w:rsidRPr="00ED3AAB" w:rsidP="00ED3AAB">
      <w:pPr>
        <w:pStyle w:val="Heading1"/>
      </w:pPr>
      <w:bookmarkStart w:id="8" w:name="O_494918"/>
      <w:bookmarkEnd w:id="8"/>
      <w:r w:rsidRPr="00ED3AAB">
        <w:t>Elements and Performance Criteria</w:t>
      </w:r>
    </w:p>
    <w:tbl>
      <w:tblPr>
        <w:tblW w:w="0" w:type="auto"/>
        <w:tblLayout w:type="fixed"/>
        <w:tblCellMar>
          <w:left w:w="62" w:type="dxa"/>
          <w:right w:w="62" w:type="dxa"/>
        </w:tblCellMar>
        <w:tblLook w:val="0000"/>
      </w:tblPr>
      <w:tblGrid>
        <w:gridCol w:w="2549"/>
        <w:gridCol w:w="5973"/>
      </w:tblGrid>
      <w:tr w:rsidTr="00030100">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RPr="00ED3AAB" w:rsidP="00ED3AAB">
            <w:pPr>
              <w:pStyle w:val="BodyText"/>
            </w:pPr>
            <w:r w:rsidRPr="00ED3AAB">
              <w:rPr>
                <w:rStyle w:val="SpecialBold"/>
              </w:rPr>
              <w:t>ELEMENT</w:t>
            </w:r>
          </w:p>
        </w:tc>
        <w:tc>
          <w:tcPr>
            <w:tcW w:w="5973" w:type="dxa"/>
            <w:tcBorders>
              <w:top w:val="nil"/>
              <w:left w:val="nil"/>
              <w:bottom w:val="nil"/>
              <w:right w:val="nil"/>
            </w:tcBorders>
            <w:tcMar>
              <w:top w:w="0" w:type="dxa"/>
              <w:left w:w="62" w:type="dxa"/>
              <w:bottom w:w="0" w:type="dxa"/>
              <w:right w:w="62" w:type="dxa"/>
            </w:tcMar>
          </w:tcPr>
          <w:p w:rsidR="00000000" w:rsidP="00ED3AAB">
            <w:pPr>
              <w:pStyle w:val="BodyText"/>
              <w:rPr>
                <w:lang w:val="en-NZ"/>
              </w:rPr>
            </w:pPr>
            <w:r w:rsidRPr="00ED3AAB">
              <w:rPr>
                <w:rStyle w:val="SpecialBold"/>
              </w:rPr>
              <w:t>PERFORMANCE CRITERIA</w:t>
            </w:r>
          </w:p>
        </w:tc>
      </w:tr>
      <w:tr w:rsidTr="00030100">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ED3AAB">
            <w:pPr>
              <w:pStyle w:val="List"/>
              <w:rPr>
                <w:lang w:val="en-NZ"/>
              </w:rPr>
            </w:pPr>
            <w:r w:rsidRPr="00ED3AAB">
              <w:rPr>
                <w:rStyle w:val="SpecialBold"/>
              </w:rPr>
              <w:t>1.</w:t>
            </w:r>
            <w:r w:rsidRPr="00ED3AAB">
              <w:rPr>
                <w:rStyle w:val="SpecialBold"/>
              </w:rPr>
              <w:tab/>
            </w:r>
            <w:r w:rsidRPr="00ED3AAB">
              <w:rPr>
                <w:rStyle w:val="SpecialBold"/>
              </w:rPr>
              <w:t>Provide information and options on rules and legislation.</w:t>
            </w:r>
          </w:p>
        </w:tc>
        <w:tc>
          <w:tcPr>
            <w:tcW w:w="5973" w:type="dxa"/>
            <w:tcBorders>
              <w:top w:val="nil"/>
              <w:left w:val="nil"/>
              <w:bottom w:val="nil"/>
              <w:right w:val="nil"/>
            </w:tcBorders>
            <w:tcMar>
              <w:top w:w="0" w:type="dxa"/>
              <w:left w:w="62" w:type="dxa"/>
              <w:bottom w:w="0" w:type="dxa"/>
              <w:right w:w="62" w:type="dxa"/>
            </w:tcMar>
          </w:tcPr>
          <w:p w:rsidR="00000000" w:rsidRPr="00ED3AAB" w:rsidP="00ED3AAB">
            <w:pPr>
              <w:pStyle w:val="List"/>
            </w:pPr>
            <w:r w:rsidRPr="00ED3AAB">
              <w:t>1.1.</w:t>
            </w:r>
            <w:r w:rsidRPr="00ED3AAB">
              <w:tab/>
              <w:t>Interpretation of rules and legislation is provided in the context of specific and general practice and procedure.</w:t>
            </w:r>
          </w:p>
          <w:p w:rsidR="00000000" w:rsidRPr="00ED3AAB" w:rsidP="00ED3AAB">
            <w:pPr>
              <w:pStyle w:val="List"/>
            </w:pPr>
            <w:r w:rsidRPr="00ED3AAB">
              <w:t>1.2.</w:t>
            </w:r>
            <w:r w:rsidRPr="00ED3AAB">
              <w:tab/>
              <w:t>Severity of urgent matters and course of procedure are assessed according</w:t>
            </w:r>
            <w:r w:rsidRPr="00ED3AAB">
              <w:t xml:space="preserve"> to rules, legislation, organisational policy and procedures.</w:t>
            </w:r>
          </w:p>
          <w:p w:rsidR="00000000" w:rsidP="00ED3AAB">
            <w:pPr>
              <w:pStyle w:val="List"/>
              <w:rPr>
                <w:lang w:val="en-NZ"/>
              </w:rPr>
            </w:pPr>
            <w:r w:rsidRPr="00ED3AAB">
              <w:t>1.3.</w:t>
            </w:r>
            <w:r w:rsidRPr="00ED3AAB">
              <w:tab/>
              <w:t>Intent of legislation is determined and advice is provided according to rules, practice and procedures.</w:t>
            </w:r>
          </w:p>
        </w:tc>
      </w:tr>
      <w:tr w:rsidTr="00030100">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ED3AAB">
            <w:pPr>
              <w:pStyle w:val="List"/>
              <w:rPr>
                <w:lang w:val="en-NZ"/>
              </w:rPr>
            </w:pPr>
            <w:r w:rsidRPr="00ED3AAB">
              <w:rPr>
                <w:rStyle w:val="SpecialBold"/>
              </w:rPr>
              <w:t>2.</w:t>
            </w:r>
            <w:r w:rsidRPr="00ED3AAB">
              <w:rPr>
                <w:rStyle w:val="SpecialBold"/>
              </w:rPr>
              <w:tab/>
              <w:t>Settle orders.</w:t>
            </w:r>
          </w:p>
        </w:tc>
        <w:tc>
          <w:tcPr>
            <w:tcW w:w="5973" w:type="dxa"/>
            <w:tcBorders>
              <w:top w:val="nil"/>
              <w:left w:val="nil"/>
              <w:bottom w:val="nil"/>
              <w:right w:val="nil"/>
            </w:tcBorders>
            <w:tcMar>
              <w:top w:w="0" w:type="dxa"/>
              <w:left w:w="62" w:type="dxa"/>
              <w:bottom w:w="0" w:type="dxa"/>
              <w:right w:w="62" w:type="dxa"/>
            </w:tcMar>
          </w:tcPr>
          <w:p w:rsidR="00000000" w:rsidRPr="00ED3AAB" w:rsidP="00ED3AAB">
            <w:pPr>
              <w:pStyle w:val="List"/>
            </w:pPr>
            <w:r w:rsidRPr="00ED3AAB">
              <w:t>2.1.</w:t>
            </w:r>
            <w:r w:rsidRPr="00ED3AAB">
              <w:tab/>
              <w:t xml:space="preserve">Draft </w:t>
            </w:r>
            <w:r w:rsidRPr="00ED3AAB">
              <w:rPr>
                <w:rStyle w:val="BoldandItalics"/>
              </w:rPr>
              <w:t>orders</w:t>
            </w:r>
            <w:r w:rsidRPr="00ED3AAB">
              <w:t xml:space="preserve"> provided are interpreted and amended according t</w:t>
            </w:r>
            <w:r w:rsidRPr="00ED3AAB">
              <w:t>o record of outcome.</w:t>
            </w:r>
          </w:p>
          <w:p w:rsidR="00000000" w:rsidRPr="00ED3AAB" w:rsidP="00ED3AAB">
            <w:pPr>
              <w:pStyle w:val="List"/>
            </w:pPr>
            <w:r w:rsidRPr="00ED3AAB">
              <w:t>2.2.</w:t>
            </w:r>
            <w:r w:rsidRPr="00ED3AAB">
              <w:tab/>
              <w:t>Liaison is undertaken with legal representatives, judicial officers and associates about discrepancies in interpretation of the orders made.</w:t>
            </w:r>
          </w:p>
          <w:p w:rsidR="00000000" w:rsidRPr="00ED3AAB" w:rsidP="00ED3AAB">
            <w:pPr>
              <w:pStyle w:val="List"/>
            </w:pPr>
            <w:r w:rsidRPr="00ED3AAB">
              <w:t>2.3.</w:t>
            </w:r>
            <w:r w:rsidRPr="00ED3AAB">
              <w:tab/>
              <w:t xml:space="preserve">Final orders made at hearings are prepared. </w:t>
            </w:r>
          </w:p>
          <w:p w:rsidR="00000000" w:rsidRPr="00ED3AAB" w:rsidP="00ED3AAB">
            <w:pPr>
              <w:pStyle w:val="List"/>
            </w:pPr>
            <w:r w:rsidRPr="00ED3AAB">
              <w:t>2.4.</w:t>
            </w:r>
            <w:r w:rsidRPr="00ED3AAB">
              <w:tab/>
            </w:r>
            <w:r w:rsidRPr="00ED3AAB">
              <w:t>Completed orders are signed and sealed according to practice and procedure.</w:t>
            </w:r>
          </w:p>
          <w:p w:rsidR="00000000" w:rsidP="00ED3AAB">
            <w:pPr>
              <w:pStyle w:val="List"/>
              <w:rPr>
                <w:lang w:val="en-NZ"/>
              </w:rPr>
            </w:pPr>
            <w:r w:rsidRPr="00ED3AAB">
              <w:t>2.5.</w:t>
            </w:r>
            <w:r w:rsidRPr="00ED3AAB">
              <w:tab/>
              <w:t xml:space="preserve">Cases are settled in accordance with rules, legislation and </w:t>
            </w:r>
            <w:r w:rsidRPr="00ED3AAB">
              <w:rPr>
                <w:rStyle w:val="BoldandItalics"/>
              </w:rPr>
              <w:t>natural justice</w:t>
            </w:r>
            <w:r w:rsidRPr="00ED3AAB">
              <w:t>.</w:t>
            </w:r>
          </w:p>
        </w:tc>
      </w:tr>
      <w:tr w:rsidTr="00030100">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ED3AAB">
            <w:pPr>
              <w:pStyle w:val="List"/>
              <w:rPr>
                <w:lang w:val="en-NZ"/>
              </w:rPr>
            </w:pPr>
            <w:r w:rsidRPr="00ED3AAB">
              <w:rPr>
                <w:rStyle w:val="SpecialBold"/>
              </w:rPr>
              <w:t>3.</w:t>
            </w:r>
            <w:r w:rsidRPr="00ED3AAB">
              <w:rPr>
                <w:rStyle w:val="SpecialBold"/>
              </w:rPr>
              <w:tab/>
              <w:t>Preside in prescribed matters.</w:t>
            </w:r>
          </w:p>
        </w:tc>
        <w:tc>
          <w:tcPr>
            <w:tcW w:w="5973" w:type="dxa"/>
            <w:tcBorders>
              <w:top w:val="nil"/>
              <w:left w:val="nil"/>
              <w:bottom w:val="nil"/>
              <w:right w:val="nil"/>
            </w:tcBorders>
            <w:tcMar>
              <w:top w:w="0" w:type="dxa"/>
              <w:left w:w="62" w:type="dxa"/>
              <w:bottom w:w="0" w:type="dxa"/>
              <w:right w:w="62" w:type="dxa"/>
            </w:tcMar>
          </w:tcPr>
          <w:p w:rsidR="00000000" w:rsidRPr="00ED3AAB" w:rsidP="00ED3AAB">
            <w:pPr>
              <w:pStyle w:val="List"/>
            </w:pPr>
            <w:r w:rsidRPr="00ED3AAB">
              <w:t>3.1.</w:t>
            </w:r>
            <w:r w:rsidRPr="00ED3AAB">
              <w:tab/>
              <w:t>Case flow requirements are assessed in accordance with leg</w:t>
            </w:r>
            <w:r w:rsidRPr="00ED3AAB">
              <w:t>islation, rules, court load, natural justice and defined criteria to ensure that matters proceed in line with timeframes and guidelines of case flow management.</w:t>
            </w:r>
          </w:p>
          <w:p w:rsidR="00000000" w:rsidRPr="00ED3AAB" w:rsidP="00ED3AAB">
            <w:pPr>
              <w:pStyle w:val="List"/>
            </w:pPr>
            <w:r w:rsidRPr="00ED3AAB">
              <w:t>3.2.</w:t>
            </w:r>
            <w:r w:rsidRPr="00ED3AAB">
              <w:tab/>
              <w:t>Discussion is facilitated to explain the reason for a hearing and to achieve settlement of</w:t>
            </w:r>
            <w:r w:rsidRPr="00ED3AAB">
              <w:t xml:space="preserve"> the </w:t>
            </w:r>
            <w:r w:rsidRPr="00ED3AAB">
              <w:rPr>
                <w:rStyle w:val="BoldandItalics"/>
              </w:rPr>
              <w:t>matter</w:t>
            </w:r>
            <w:r w:rsidRPr="00ED3AAB">
              <w:t xml:space="preserve"> between the parties. </w:t>
            </w:r>
          </w:p>
          <w:p w:rsidR="00000000" w:rsidRPr="00ED3AAB" w:rsidP="00ED3AAB">
            <w:pPr>
              <w:pStyle w:val="List"/>
            </w:pPr>
            <w:r w:rsidRPr="00ED3AAB">
              <w:t>3.3.</w:t>
            </w:r>
            <w:r w:rsidRPr="00ED3AAB">
              <w:tab/>
              <w:t>Issues are confirmed and options discussed in accordance with legislation, practice and procedure.</w:t>
            </w:r>
          </w:p>
          <w:p w:rsidR="00000000" w:rsidRPr="00ED3AAB" w:rsidP="00ED3AAB">
            <w:pPr>
              <w:pStyle w:val="List"/>
            </w:pPr>
            <w:r w:rsidRPr="00ED3AAB">
              <w:t>3.4.</w:t>
            </w:r>
            <w:r w:rsidRPr="00ED3AAB">
              <w:tab/>
              <w:t>Direction and guidance are provided to the parties in accordance with legislation and rules.</w:t>
            </w:r>
          </w:p>
          <w:p w:rsidR="00000000" w:rsidRPr="00ED3AAB" w:rsidP="00ED3AAB">
            <w:pPr>
              <w:pStyle w:val="List"/>
            </w:pPr>
            <w:r w:rsidRPr="00ED3AAB">
              <w:t>3.5.</w:t>
            </w:r>
            <w:r w:rsidRPr="00ED3AAB">
              <w:tab/>
              <w:t>Decisions or or</w:t>
            </w:r>
            <w:r w:rsidRPr="00ED3AAB">
              <w:t>ders are made to settle the matter and ensure a fair and equitable outcome in accordance with the principles of natural justice.</w:t>
            </w:r>
          </w:p>
          <w:p w:rsidR="00000000" w:rsidRPr="00ED3AAB" w:rsidP="00ED3AAB">
            <w:pPr>
              <w:pStyle w:val="List"/>
            </w:pPr>
            <w:r w:rsidRPr="00ED3AAB">
              <w:t>3.6.</w:t>
            </w:r>
            <w:r w:rsidRPr="00ED3AAB">
              <w:tab/>
              <w:t>For matters proceeding to further hearing, the expeditious listing and hearing of matters are provided for, according to l</w:t>
            </w:r>
            <w:r w:rsidRPr="00ED3AAB">
              <w:t>egislation, rules, and organisational policy and procedures.</w:t>
            </w:r>
          </w:p>
        </w:tc>
      </w:tr>
    </w:tbl>
    <w:p w:rsidR="00000000" w:rsidRPr="00ED3AAB" w:rsidP="00ED3AAB">
      <w:pPr>
        <w:pStyle w:val="BodyText"/>
      </w:pPr>
    </w:p>
    <w:p w:rsidR="00000000" w:rsidRPr="00ED3AAB" w:rsidP="00ED3AAB">
      <w:pPr>
        <w:pStyle w:val="AllowPageBreak"/>
      </w:pPr>
    </w:p>
    <w:p w:rsidR="00000000" w:rsidRPr="00ED3AAB" w:rsidP="00ED3AAB">
      <w:pPr>
        <w:pStyle w:val="Heading1"/>
      </w:pPr>
      <w:bookmarkStart w:id="9" w:name="O_494909"/>
      <w:bookmarkEnd w:id="9"/>
      <w:r w:rsidRPr="00ED3AAB">
        <w:t>Required Skills and Knowledge</w:t>
      </w:r>
    </w:p>
    <w:tbl>
      <w:tblPr>
        <w:tblW w:w="0" w:type="auto"/>
        <w:tblLayout w:type="fixed"/>
        <w:tblCellMar>
          <w:left w:w="62" w:type="dxa"/>
          <w:right w:w="62" w:type="dxa"/>
        </w:tblCellMar>
        <w:tblLook w:val="0000"/>
      </w:tblPr>
      <w:tblGrid>
        <w:gridCol w:w="8522"/>
      </w:tblGrid>
      <w:tr w:rsidTr="0003010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D3AAB">
            <w:pPr>
              <w:pStyle w:val="BodyText"/>
              <w:rPr>
                <w:lang w:val="en-NZ"/>
              </w:rPr>
            </w:pPr>
            <w:r w:rsidRPr="00ED3AAB">
              <w:t>This section describes the skills and knowledge required for this unit.</w:t>
            </w:r>
          </w:p>
        </w:tc>
      </w:tr>
      <w:tr w:rsidTr="0003010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D3AAB">
            <w:pPr>
              <w:pStyle w:val="BodyText"/>
              <w:rPr>
                <w:lang w:val="en-NZ"/>
              </w:rPr>
            </w:pPr>
            <w:r w:rsidRPr="00ED3AAB">
              <w:rPr>
                <w:rStyle w:val="SpecialBold"/>
              </w:rPr>
              <w:t>Required skills</w:t>
            </w:r>
          </w:p>
        </w:tc>
      </w:tr>
      <w:tr w:rsidTr="0003010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D3AAB" w:rsidP="00ED3AAB">
            <w:pPr>
              <w:pStyle w:val="ListBullet"/>
            </w:pPr>
            <w:r w:rsidRPr="00ED3AAB">
              <w:t>initiative and enterprise skills to:</w:t>
            </w:r>
          </w:p>
          <w:p w:rsidR="00000000" w:rsidRPr="00ED3AAB" w:rsidP="00ED3AAB">
            <w:pPr>
              <w:pStyle w:val="ListBullet2"/>
            </w:pPr>
            <w:r w:rsidRPr="00ED3AAB">
              <w:t>interpret and apply legislation, rules, practice and procedures in the performance of quasi-judicial functions</w:t>
            </w:r>
          </w:p>
          <w:p w:rsidR="00000000" w:rsidRPr="00ED3AAB" w:rsidP="00ED3AAB">
            <w:pPr>
              <w:pStyle w:val="ListBullet2"/>
            </w:pPr>
            <w:r w:rsidRPr="00ED3AAB">
              <w:t>apply procedures relating to public sector legislation, such as OHS and environment in the context of performing quasi-judicial functions</w:t>
            </w:r>
          </w:p>
          <w:p w:rsidR="00000000" w:rsidRPr="00ED3AAB" w:rsidP="00ED3AAB">
            <w:pPr>
              <w:pStyle w:val="ListBullet"/>
            </w:pPr>
            <w:r w:rsidRPr="00ED3AAB">
              <w:t>interp</w:t>
            </w:r>
            <w:r w:rsidRPr="00ED3AAB">
              <w:t>ersonal skills to facilitate informal but effective discussion between legal representatives and parties while maintaining impartiality</w:t>
            </w:r>
          </w:p>
          <w:p w:rsidR="00000000" w:rsidRPr="00ED3AAB" w:rsidP="00ED3AAB">
            <w:pPr>
              <w:pStyle w:val="ListBullet"/>
            </w:pPr>
            <w:r w:rsidRPr="00ED3AAB">
              <w:t>problem-solving skills to deal with conflict to ensure efficient case flow</w:t>
            </w:r>
          </w:p>
          <w:p w:rsidR="00000000" w:rsidRPr="00ED3AAB" w:rsidP="00ED3AAB">
            <w:pPr>
              <w:pStyle w:val="ListBullet"/>
            </w:pPr>
            <w:r w:rsidRPr="00ED3AAB">
              <w:t>communication skills to:</w:t>
            </w:r>
          </w:p>
          <w:p w:rsidR="00000000" w:rsidRPr="00ED3AAB" w:rsidP="00ED3AAB">
            <w:pPr>
              <w:pStyle w:val="ListBullet2"/>
            </w:pPr>
            <w:r w:rsidRPr="00ED3AAB">
              <w:t>deal effectively with a diverse range of people, such as the judiciary, legal profession and litigants</w:t>
            </w:r>
          </w:p>
          <w:p w:rsidR="00000000" w:rsidRPr="00ED3AAB" w:rsidP="00ED3AAB">
            <w:pPr>
              <w:pStyle w:val="ListBullet2"/>
            </w:pPr>
            <w:r w:rsidRPr="00ED3AAB">
              <w:t>liaise with parties</w:t>
            </w:r>
          </w:p>
          <w:p w:rsidR="00000000" w:rsidRPr="00ED3AAB" w:rsidP="00ED3AAB">
            <w:pPr>
              <w:pStyle w:val="ListBullet2"/>
            </w:pPr>
            <w:r w:rsidRPr="00ED3AAB">
              <w:t>explain legislation</w:t>
            </w:r>
          </w:p>
          <w:p w:rsidR="00000000" w:rsidRPr="00ED3AAB" w:rsidP="00ED3AAB">
            <w:pPr>
              <w:pStyle w:val="ListBullet"/>
            </w:pPr>
            <w:r w:rsidRPr="00ED3AAB">
              <w:t>interpersonal skills to respond to diversity, including gender and disability</w:t>
            </w:r>
          </w:p>
          <w:p w:rsidR="00000000" w:rsidP="00ED3AAB">
            <w:pPr>
              <w:pStyle w:val="ListBullet"/>
              <w:rPr>
                <w:lang w:val="en-NZ"/>
              </w:rPr>
            </w:pPr>
            <w:r w:rsidRPr="00ED3AAB">
              <w:t>self-management skills to evaluate</w:t>
            </w:r>
            <w:r w:rsidRPr="00ED3AAB">
              <w:t xml:space="preserve"> and make decisions that require integrity and fairness</w:t>
            </w:r>
          </w:p>
        </w:tc>
      </w:tr>
      <w:tr w:rsidTr="0003010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D3AAB">
            <w:pPr>
              <w:pStyle w:val="BodyText"/>
              <w:rPr>
                <w:lang w:val="en-NZ"/>
              </w:rPr>
            </w:pPr>
            <w:r w:rsidRPr="00ED3AAB">
              <w:rPr>
                <w:rStyle w:val="SpecialBold"/>
              </w:rPr>
              <w:t>Required knowledge</w:t>
            </w:r>
          </w:p>
        </w:tc>
      </w:tr>
      <w:tr w:rsidTr="0003010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D3AAB" w:rsidP="00ED3AAB">
            <w:pPr>
              <w:pStyle w:val="ListBullet"/>
            </w:pPr>
            <w:r w:rsidRPr="00ED3AAB">
              <w:t>alternative dispute resolution provisions and processes of courts</w:t>
            </w:r>
          </w:p>
          <w:p w:rsidR="00000000" w:rsidRPr="00ED3AAB" w:rsidP="00ED3AAB">
            <w:pPr>
              <w:pStyle w:val="ListBullet"/>
            </w:pPr>
            <w:r w:rsidRPr="00ED3AAB">
              <w:t>courts administration structure</w:t>
            </w:r>
          </w:p>
          <w:p w:rsidR="00000000" w:rsidRPr="00ED3AAB" w:rsidP="00ED3AAB">
            <w:pPr>
              <w:pStyle w:val="ListBullet"/>
            </w:pPr>
            <w:r w:rsidRPr="00ED3AAB">
              <w:t>equal employment opportunity principles</w:t>
            </w:r>
          </w:p>
          <w:p w:rsidR="00000000" w:rsidRPr="00ED3AAB" w:rsidP="00ED3AAB">
            <w:pPr>
              <w:pStyle w:val="ListBullet"/>
            </w:pPr>
            <w:r w:rsidRPr="00ED3AAB">
              <w:t>equity and diversity principles</w:t>
            </w:r>
          </w:p>
          <w:p w:rsidR="00000000" w:rsidRPr="00ED3AAB" w:rsidP="00ED3AAB">
            <w:pPr>
              <w:pStyle w:val="ListBullet"/>
            </w:pPr>
            <w:r w:rsidRPr="00ED3AAB">
              <w:t>legislation conferring jurisdiction on court</w:t>
            </w:r>
          </w:p>
          <w:p w:rsidR="00000000" w:rsidRPr="00ED3AAB" w:rsidP="00ED3AAB">
            <w:pPr>
              <w:pStyle w:val="ListBullet"/>
            </w:pPr>
            <w:r w:rsidRPr="00ED3AAB">
              <w:t>legislation, rules, practice, procedures and precedents relating to the performance of quasi-judicial functions</w:t>
            </w:r>
          </w:p>
          <w:p w:rsidR="00000000" w:rsidRPr="00ED3AAB" w:rsidP="00ED3AAB">
            <w:pPr>
              <w:pStyle w:val="ListBullet"/>
            </w:pPr>
            <w:r w:rsidRPr="00ED3AAB">
              <w:t>principles of judicial independence</w:t>
            </w:r>
          </w:p>
          <w:p w:rsidR="00000000" w:rsidRPr="00ED3AAB" w:rsidP="00ED3AAB">
            <w:pPr>
              <w:pStyle w:val="ListBullet"/>
            </w:pPr>
            <w:r w:rsidRPr="00ED3AAB">
              <w:t>principles of natural justice</w:t>
            </w:r>
          </w:p>
          <w:p w:rsidR="00000000" w:rsidRPr="00ED3AAB" w:rsidP="00ED3AAB">
            <w:pPr>
              <w:pStyle w:val="ListBullet"/>
            </w:pPr>
            <w:r w:rsidRPr="00ED3AAB">
              <w:t>public sector legislation, such a</w:t>
            </w:r>
            <w:r w:rsidRPr="00ED3AAB">
              <w:t>s OHS and environment in the context of performing quasi-judicial functions</w:t>
            </w:r>
          </w:p>
          <w:p w:rsidR="00000000" w:rsidRPr="00ED3AAB" w:rsidP="00ED3AAB">
            <w:pPr>
              <w:pStyle w:val="ListBullet"/>
            </w:pPr>
            <w:r w:rsidRPr="00ED3AAB">
              <w:t>structure, roles and functions of courts</w:t>
            </w:r>
          </w:p>
        </w:tc>
      </w:tr>
    </w:tbl>
    <w:p w:rsidR="00000000" w:rsidRPr="00ED3AAB" w:rsidP="00ED3AAB">
      <w:pPr>
        <w:pStyle w:val="BodyText"/>
      </w:pPr>
    </w:p>
    <w:p w:rsidR="00000000" w:rsidRPr="00ED3AAB" w:rsidP="00ED3AAB">
      <w:pPr>
        <w:pStyle w:val="AllowPageBreak"/>
      </w:pPr>
    </w:p>
    <w:p w:rsidR="00000000" w:rsidRPr="00ED3AAB" w:rsidP="00ED3AAB">
      <w:pPr>
        <w:pStyle w:val="Heading1"/>
      </w:pPr>
      <w:bookmarkStart w:id="10" w:name="O_494911"/>
      <w:bookmarkEnd w:id="10"/>
      <w:r w:rsidRPr="00ED3AAB">
        <w:t>Evidence Guide</w:t>
      </w:r>
    </w:p>
    <w:tbl>
      <w:tblPr>
        <w:tblW w:w="0" w:type="auto"/>
        <w:tblCellMar>
          <w:left w:w="62" w:type="dxa"/>
          <w:right w:w="62" w:type="dxa"/>
        </w:tblCellMar>
        <w:tblLook w:val="0000"/>
      </w:tblPr>
      <w:tblGrid>
        <w:gridCol w:w="2487"/>
        <w:gridCol w:w="6709"/>
      </w:tblGrid>
      <w:tr w:rsidTr="0003010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D3AAB">
            <w:pPr>
              <w:pStyle w:val="BodyText"/>
              <w:rPr>
                <w:lang w:val="en-NZ"/>
              </w:rPr>
            </w:pPr>
            <w:r w:rsidRPr="00ED3AAB">
              <w:t>The Evidence Guide provides advice on assessment and must be read in conjunct</w:t>
            </w:r>
            <w:r w:rsidRPr="00ED3AAB">
              <w:t>ion with the performance criteria, required skills and knowledge, range statement and the Assessment Guidelines for the Training Package.</w:t>
            </w:r>
          </w:p>
        </w:tc>
      </w:tr>
      <w:tr w:rsidTr="000301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D3AAB">
            <w:pPr>
              <w:pStyle w:val="BodyText"/>
              <w:rPr>
                <w:lang w:val="en-NZ"/>
              </w:rPr>
            </w:pPr>
            <w:r w:rsidRPr="00ED3AAB">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ED3AAB">
            <w:pPr>
              <w:pStyle w:val="BodyText"/>
              <w:rPr>
                <w:lang w:val="en-NZ"/>
              </w:rPr>
            </w:pPr>
            <w:r w:rsidRPr="00ED3AAB">
              <w:t>Competency must be demonstrated in performing quasi-judicial functions as prescribed by legis</w:t>
            </w:r>
            <w:r w:rsidRPr="00ED3AAB">
              <w:t>lation and Rules of Court.</w:t>
            </w:r>
          </w:p>
        </w:tc>
      </w:tr>
      <w:tr w:rsidTr="000301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D3AAB">
            <w:pPr>
              <w:pStyle w:val="BodyText"/>
              <w:rPr>
                <w:lang w:val="en-NZ"/>
              </w:rPr>
            </w:pPr>
            <w:r w:rsidRPr="00ED3AAB">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ED3AAB" w:rsidP="00ED3AAB">
            <w:pPr>
              <w:pStyle w:val="BodyText"/>
            </w:pPr>
            <w:r w:rsidRPr="00ED3AAB">
              <w:t>Assessment must confirm the ability to:</w:t>
            </w:r>
          </w:p>
          <w:p w:rsidR="00000000" w:rsidRPr="00ED3AAB" w:rsidP="00ED3AAB">
            <w:pPr>
              <w:pStyle w:val="ListBullet"/>
            </w:pPr>
            <w:r w:rsidRPr="00ED3AAB">
              <w:t>provide interpretation of rules and legislation</w:t>
            </w:r>
          </w:p>
          <w:p w:rsidR="00000000" w:rsidRPr="00ED3AAB" w:rsidP="00ED3AAB">
            <w:pPr>
              <w:pStyle w:val="ListBullet"/>
            </w:pPr>
            <w:r w:rsidRPr="00ED3AAB">
              <w:t>ass</w:t>
            </w:r>
            <w:r w:rsidRPr="00ED3AAB">
              <w:t>ess matters and affect their course of procedure</w:t>
            </w:r>
          </w:p>
          <w:p w:rsidR="00000000" w:rsidRPr="00ED3AAB" w:rsidP="00ED3AAB">
            <w:pPr>
              <w:pStyle w:val="ListBullet"/>
            </w:pPr>
            <w:r w:rsidRPr="00ED3AAB">
              <w:t>provide information and options on intent of legislation</w:t>
            </w:r>
          </w:p>
          <w:p w:rsidR="00000000" w:rsidRPr="00ED3AAB" w:rsidP="00ED3AAB">
            <w:pPr>
              <w:pStyle w:val="ListBullet"/>
            </w:pPr>
            <w:r w:rsidRPr="00ED3AAB">
              <w:t>apply natural justice to case settlements</w:t>
            </w:r>
          </w:p>
          <w:p w:rsidR="00000000" w:rsidRPr="00ED3AAB" w:rsidP="00ED3AAB">
            <w:pPr>
              <w:pStyle w:val="ListBullet"/>
            </w:pPr>
            <w:r w:rsidRPr="00ED3AAB">
              <w:t>facilitate effective discussion with parties</w:t>
            </w:r>
          </w:p>
          <w:p w:rsidR="00000000" w:rsidRPr="00ED3AAB" w:rsidP="00ED3AAB">
            <w:pPr>
              <w:pStyle w:val="ListBullet"/>
            </w:pPr>
            <w:r w:rsidRPr="00ED3AAB">
              <w:t>complete documentation</w:t>
            </w:r>
          </w:p>
          <w:p w:rsidR="00000000" w:rsidRPr="00ED3AAB" w:rsidP="00ED3AAB">
            <w:pPr>
              <w:pStyle w:val="ListBullet"/>
            </w:pPr>
            <w:r w:rsidRPr="00ED3AAB">
              <w:t>manage effective case flow</w:t>
            </w:r>
          </w:p>
          <w:p w:rsidR="00000000" w:rsidRPr="00ED3AAB" w:rsidP="00ED3AAB">
            <w:pPr>
              <w:pStyle w:val="ListBullet"/>
            </w:pPr>
            <w:r w:rsidRPr="00ED3AAB">
              <w:t>comply with l</w:t>
            </w:r>
            <w:r w:rsidRPr="00ED3AAB">
              <w:t>egislative and organisational policies and procedures</w:t>
            </w:r>
          </w:p>
          <w:p w:rsidR="00000000" w:rsidRPr="00ED3AAB" w:rsidP="00ED3AAB">
            <w:pPr>
              <w:pStyle w:val="BodyText"/>
            </w:pPr>
            <w:r w:rsidRPr="00ED3AAB">
              <w:rPr>
                <w:rStyle w:val="SpecialBold"/>
              </w:rPr>
              <w:t>Consistency in performance</w:t>
            </w:r>
          </w:p>
          <w:p w:rsidR="00000000" w:rsidP="00ED3AAB">
            <w:pPr>
              <w:pStyle w:val="BodyText"/>
              <w:rPr>
                <w:lang w:val="en-NZ"/>
              </w:rPr>
            </w:pPr>
            <w:r w:rsidRPr="00ED3AAB">
              <w:t>Competency should be demonstrated by performing quasi-judicial functions on a range of occasions, over time.</w:t>
            </w:r>
          </w:p>
        </w:tc>
      </w:tr>
      <w:tr w:rsidTr="000301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D3AAB">
            <w:pPr>
              <w:pStyle w:val="BodyText"/>
              <w:rPr>
                <w:lang w:val="en-NZ"/>
              </w:rPr>
            </w:pPr>
            <w:r w:rsidRPr="00ED3AAB">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ED3AAB" w:rsidP="00ED3AAB">
            <w:pPr>
              <w:pStyle w:val="BodyText"/>
            </w:pPr>
            <w:r w:rsidRPr="00ED3AAB">
              <w:t xml:space="preserve">Assessment must </w:t>
            </w:r>
            <w:r w:rsidRPr="00ED3AAB">
              <w:t>comply with:</w:t>
            </w:r>
          </w:p>
          <w:p w:rsidR="00000000" w:rsidRPr="00ED3AAB" w:rsidP="00ED3AAB">
            <w:pPr>
              <w:pStyle w:val="ListBullet"/>
            </w:pPr>
            <w:r w:rsidRPr="00ED3AAB">
              <w:t>applicable regulations and codes</w:t>
            </w:r>
          </w:p>
          <w:p w:rsidR="00000000" w:rsidRPr="00ED3AAB" w:rsidP="00ED3AAB">
            <w:pPr>
              <w:pStyle w:val="ListBullet"/>
            </w:pPr>
            <w:r w:rsidRPr="00ED3AAB">
              <w:t>workplace procedures and protocols</w:t>
            </w:r>
          </w:p>
          <w:p w:rsidR="00000000" w:rsidRPr="00ED3AAB" w:rsidP="00ED3AAB">
            <w:pPr>
              <w:pStyle w:val="BodyText"/>
            </w:pPr>
            <w:r w:rsidRPr="00ED3AAB">
              <w:t>Access may be required to:</w:t>
            </w:r>
          </w:p>
          <w:p w:rsidR="00000000" w:rsidRPr="00ED3AAB" w:rsidP="00ED3AAB">
            <w:pPr>
              <w:pStyle w:val="ListBullet"/>
            </w:pPr>
            <w:r w:rsidRPr="00ED3AAB">
              <w:t xml:space="preserve">a workplace environment or one that closely resembles normal work practices </w:t>
            </w:r>
            <w:r w:rsidRPr="00ED3AAB">
              <w:t>and replicates the range of conditions likely to be encountered when performing quasi-judicial functions, including coping with difficulties, irregularities and breakdowns in routine</w:t>
            </w:r>
          </w:p>
          <w:p w:rsidR="00000000" w:rsidRPr="00ED3AAB" w:rsidP="00ED3AAB">
            <w:pPr>
              <w:pStyle w:val="ListBullet"/>
            </w:pPr>
            <w:r w:rsidRPr="00ED3AAB">
              <w:t xml:space="preserve">legislation, policy, procedures and protocols relating to quasi-judicial </w:t>
            </w:r>
            <w:r w:rsidRPr="00ED3AAB">
              <w:t>functions</w:t>
            </w:r>
          </w:p>
          <w:p w:rsidR="00000000" w:rsidP="00ED3AAB">
            <w:pPr>
              <w:pStyle w:val="ListBullet"/>
              <w:rPr>
                <w:lang w:val="en-NZ"/>
              </w:rPr>
            </w:pPr>
            <w:r w:rsidRPr="00ED3AAB">
              <w:t>case studies and workplace scenarios to capture the range of situations likely to be encountered when performing quasi-judicial functions</w:t>
            </w:r>
          </w:p>
        </w:tc>
      </w:tr>
      <w:tr w:rsidTr="000301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D3AAB">
            <w:pPr>
              <w:pStyle w:val="BodyText"/>
              <w:rPr>
                <w:lang w:val="en-NZ"/>
              </w:rPr>
            </w:pPr>
            <w:r w:rsidRPr="00ED3AAB">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ED3AAB" w:rsidP="00ED3AAB">
            <w:pPr>
              <w:pStyle w:val="BodyText"/>
            </w:pPr>
            <w:r w:rsidRPr="00ED3AAB">
              <w:t>The following assessment methods are suggested:</w:t>
            </w:r>
          </w:p>
          <w:p w:rsidR="00000000" w:rsidRPr="00ED3AAB" w:rsidP="00ED3AAB">
            <w:pPr>
              <w:pStyle w:val="ListBullet"/>
            </w:pPr>
            <w:r w:rsidRPr="00ED3AAB">
              <w:t>oral questioning about</w:t>
            </w:r>
            <w:r w:rsidRPr="00ED3AAB">
              <w:t xml:space="preserve"> relevant legislation, acting ethically, and applying processes</w:t>
            </w:r>
          </w:p>
          <w:p w:rsidR="00000000" w:rsidRPr="00ED3AAB" w:rsidP="00ED3AAB">
            <w:pPr>
              <w:pStyle w:val="ListBullet"/>
            </w:pPr>
            <w:r w:rsidRPr="00ED3AAB">
              <w:t>observation of the candidate responding to a range of contexts to ensure achievement of the unit outcomes</w:t>
            </w:r>
          </w:p>
          <w:p w:rsidR="00000000" w:rsidRPr="00ED3AAB" w:rsidP="00ED3AAB">
            <w:pPr>
              <w:pStyle w:val="ListBullet"/>
            </w:pPr>
            <w:r w:rsidRPr="00ED3AAB">
              <w:t>feedback from peers and/or supervisor that the candidate consistently applies relevant</w:t>
            </w:r>
            <w:r w:rsidRPr="00ED3AAB">
              <w:t xml:space="preserve"> workplace procedures</w:t>
            </w:r>
          </w:p>
          <w:p w:rsidR="00000000" w:rsidRPr="00ED3AAB" w:rsidP="00ED3AAB">
            <w:pPr>
              <w:pStyle w:val="ListBullet"/>
            </w:pPr>
            <w:r w:rsidRPr="00ED3AAB">
              <w:t>review of records completed by candidate or reports of performance</w:t>
            </w:r>
          </w:p>
          <w:p w:rsidR="00000000" w:rsidRPr="00ED3AAB" w:rsidP="00ED3AAB">
            <w:pPr>
              <w:pStyle w:val="BodyText"/>
            </w:pPr>
            <w:r w:rsidRPr="00ED3AAB">
              <w:t>In all cases, practical assessment should be supported by questions to assess underpinning knowledge and those aspects of competency that are difficult to assess direc</w:t>
            </w:r>
            <w:r w:rsidRPr="00ED3AAB">
              <w:t>tly. Questioning techniques should suit the language and literacy levels of the candidate.</w:t>
            </w:r>
          </w:p>
        </w:tc>
      </w:tr>
    </w:tbl>
    <w:p w:rsidR="00000000" w:rsidRPr="00ED3AAB" w:rsidP="00ED3AAB">
      <w:pPr>
        <w:pStyle w:val="BodyText"/>
      </w:pPr>
    </w:p>
    <w:p w:rsidR="00000000" w:rsidRPr="00ED3AAB" w:rsidP="00ED3AAB">
      <w:pPr>
        <w:pStyle w:val="AllowPageBreak"/>
      </w:pPr>
    </w:p>
    <w:p w:rsidR="00000000" w:rsidRPr="00ED3AAB" w:rsidP="00ED3AAB">
      <w:pPr>
        <w:pStyle w:val="Heading1"/>
      </w:pPr>
      <w:bookmarkStart w:id="11" w:name="O_494912"/>
      <w:bookmarkEnd w:id="11"/>
      <w:r w:rsidRPr="00ED3AAB">
        <w:t>Range Statement</w:t>
      </w:r>
    </w:p>
    <w:tbl>
      <w:tblPr>
        <w:tblW w:w="0" w:type="auto"/>
        <w:tblLayout w:type="fixed"/>
        <w:tblCellMar>
          <w:left w:w="62" w:type="dxa"/>
          <w:right w:w="62" w:type="dxa"/>
        </w:tblCellMar>
        <w:tblLook w:val="0000"/>
      </w:tblPr>
      <w:tblGrid>
        <w:gridCol w:w="2505"/>
        <w:gridCol w:w="6017"/>
      </w:tblGrid>
      <w:tr w:rsidTr="0003010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AAB">
            <w:pPr>
              <w:pStyle w:val="BodyText"/>
              <w:rPr>
                <w:lang w:val="en-NZ"/>
              </w:rPr>
            </w:pPr>
            <w:r w:rsidRPr="00ED3AAB">
              <w:t xml:space="preserve">The range statement relates to the unit of competency as a whole. It allows for different work environments and situations that may affect performance. </w:t>
            </w:r>
            <w:r w:rsidRPr="00ED3AAB">
              <w:rPr>
                <w:rStyle w:val="BoldandItalics"/>
              </w:rPr>
              <w:t>Bold italicised</w:t>
            </w:r>
            <w:r w:rsidRPr="00ED3AAB">
              <w:t xml:space="preserve"> wording, if used in the performance criteria, is detailed below. Essential operating con</w:t>
            </w:r>
            <w:r w:rsidRPr="00ED3AAB">
              <w:t>ditions that may be present with training and assessment (depending on the work situation, needs of the candidate, accessibility of the item, and local industry and regional contexts) may also be included.</w:t>
            </w:r>
          </w:p>
        </w:tc>
      </w:tr>
      <w:tr w:rsidTr="00030100">
        <w:tblPrEx>
          <w:tblW w:w="0" w:type="auto"/>
          <w:tblLayout w:type="fixed"/>
          <w:tblCellMar>
            <w:left w:w="62" w:type="dxa"/>
            <w:right w:w="62" w:type="dxa"/>
          </w:tblCellMar>
          <w:tblLook w:val="0000"/>
        </w:tblPrEx>
        <w:tc>
          <w:tcPr>
            <w:tcW w:w="2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AAB">
            <w:pPr>
              <w:pStyle w:val="BodyText"/>
              <w:rPr>
                <w:lang w:val="en-NZ"/>
              </w:rPr>
            </w:pPr>
            <w:r w:rsidRPr="00ED3AAB">
              <w:rPr>
                <w:rStyle w:val="BoldandItalics"/>
              </w:rPr>
              <w:t>Orders</w:t>
            </w:r>
            <w:r w:rsidRPr="00ED3AAB">
              <w:t xml:space="preserve"> may include:</w:t>
            </w:r>
          </w:p>
        </w:tc>
        <w:tc>
          <w:tcPr>
            <w:tcW w:w="6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AAB" w:rsidP="00ED3AAB">
            <w:pPr>
              <w:pStyle w:val="ListBullet"/>
            </w:pPr>
            <w:r w:rsidRPr="00ED3AAB">
              <w:t>court orders</w:t>
            </w:r>
          </w:p>
          <w:p w:rsidR="00000000" w:rsidRPr="00ED3AAB" w:rsidP="00ED3AAB">
            <w:pPr>
              <w:pStyle w:val="ListBullet"/>
            </w:pPr>
            <w:r w:rsidRPr="00ED3AAB">
              <w:t>default judgem</w:t>
            </w:r>
            <w:r w:rsidRPr="00ED3AAB">
              <w:t>ents</w:t>
            </w:r>
          </w:p>
          <w:p w:rsidR="00000000" w:rsidRPr="00ED3AAB" w:rsidP="00ED3AAB">
            <w:pPr>
              <w:pStyle w:val="ListBullet"/>
            </w:pPr>
            <w:r w:rsidRPr="00ED3AAB">
              <w:t>consent orders</w:t>
            </w:r>
          </w:p>
          <w:p w:rsidR="00000000" w:rsidRPr="00ED3AAB" w:rsidP="00ED3AAB">
            <w:pPr>
              <w:pStyle w:val="ListBullet"/>
            </w:pPr>
            <w:r w:rsidRPr="00ED3AAB">
              <w:t>warrants</w:t>
            </w:r>
          </w:p>
          <w:p w:rsidR="00000000" w:rsidP="00ED3AAB">
            <w:pPr>
              <w:pStyle w:val="ListBullet"/>
              <w:rPr>
                <w:lang w:val="en-NZ"/>
              </w:rPr>
            </w:pPr>
            <w:r w:rsidRPr="00ED3AAB">
              <w:t>adjudications</w:t>
            </w:r>
          </w:p>
        </w:tc>
      </w:tr>
      <w:tr w:rsidTr="00030100">
        <w:tblPrEx>
          <w:tblW w:w="0" w:type="auto"/>
          <w:tblLayout w:type="fixed"/>
          <w:tblCellMar>
            <w:left w:w="62" w:type="dxa"/>
            <w:right w:w="62" w:type="dxa"/>
          </w:tblCellMar>
          <w:tblLook w:val="0000"/>
        </w:tblPrEx>
        <w:tc>
          <w:tcPr>
            <w:tcW w:w="2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AAB">
            <w:pPr>
              <w:pStyle w:val="BodyText"/>
              <w:rPr>
                <w:lang w:val="en-NZ"/>
              </w:rPr>
            </w:pPr>
            <w:r w:rsidRPr="00ED3AAB">
              <w:rPr>
                <w:rStyle w:val="BoldandItalics"/>
              </w:rPr>
              <w:t>Natural justice</w:t>
            </w:r>
            <w:r w:rsidRPr="00ED3AAB">
              <w:t>:</w:t>
            </w:r>
          </w:p>
        </w:tc>
        <w:tc>
          <w:tcPr>
            <w:tcW w:w="6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AAB" w:rsidP="00ED3AAB">
            <w:pPr>
              <w:pStyle w:val="ListBullet"/>
            </w:pPr>
            <w:r w:rsidRPr="00ED3AAB">
              <w:t>refers to the concept of fairness encapsulated in the adage 'justice should be done, and be seen to be done'</w:t>
            </w:r>
          </w:p>
          <w:p w:rsidR="00000000" w:rsidRPr="00ED3AAB" w:rsidP="00ED3AAB">
            <w:pPr>
              <w:pStyle w:val="ListBullet"/>
            </w:pPr>
            <w:r w:rsidRPr="00ED3AAB">
              <w:t>means the judiciary acts fairly:</w:t>
            </w:r>
          </w:p>
          <w:p w:rsidR="00000000" w:rsidRPr="00ED3AAB" w:rsidP="00ED3AAB">
            <w:pPr>
              <w:pStyle w:val="ListBullet2"/>
            </w:pPr>
            <w:r w:rsidRPr="00ED3AAB">
              <w:t>in good faith</w:t>
            </w:r>
          </w:p>
          <w:p w:rsidR="00000000" w:rsidRPr="00ED3AAB" w:rsidP="00ED3AAB">
            <w:pPr>
              <w:pStyle w:val="ListBullet2"/>
            </w:pPr>
            <w:r w:rsidRPr="00ED3AAB">
              <w:t>without bias</w:t>
            </w:r>
          </w:p>
          <w:p w:rsidR="00000000" w:rsidRPr="00ED3AAB" w:rsidP="00ED3AAB">
            <w:pPr>
              <w:pStyle w:val="ListBullet2"/>
            </w:pPr>
            <w:r w:rsidRPr="00ED3AAB">
              <w:t>in a 'judicial temper'</w:t>
            </w:r>
          </w:p>
          <w:p w:rsidR="00000000" w:rsidRPr="00ED3AAB" w:rsidP="00ED3AAB">
            <w:pPr>
              <w:pStyle w:val="ListBullet"/>
            </w:pPr>
            <w:r w:rsidRPr="00ED3AAB">
              <w:t>has two primary rules:</w:t>
            </w:r>
          </w:p>
          <w:p w:rsidR="00000000" w:rsidRPr="00ED3AAB" w:rsidP="00ED3AAB">
            <w:pPr>
              <w:pStyle w:val="ListBullet2"/>
            </w:pPr>
            <w:r w:rsidRPr="00ED3AAB">
              <w:t>'hear the other side': a person whose interests will be affected by the decision should be given a hearing before that decision is made</w:t>
            </w:r>
          </w:p>
          <w:p w:rsidR="00000000" w:rsidRPr="00ED3AAB" w:rsidP="00ED3AAB">
            <w:pPr>
              <w:pStyle w:val="ListBullet2"/>
            </w:pPr>
            <w:r w:rsidRPr="00ED3AAB">
              <w:t>'no-one shall be judged in his own case': the decision maker must be unbiased</w:t>
            </w:r>
          </w:p>
          <w:p w:rsidR="00000000" w:rsidRPr="00ED3AAB" w:rsidP="00ED3AAB">
            <w:pPr>
              <w:pStyle w:val="ListBullet"/>
            </w:pPr>
            <w:r w:rsidRPr="00ED3AAB">
              <w:t xml:space="preserve">encapsulates the </w:t>
            </w:r>
            <w:r w:rsidRPr="00ED3AAB">
              <w:t>rules of procedural fairness that flows from the two primary rules above and includes:</w:t>
            </w:r>
          </w:p>
          <w:p w:rsidR="00000000" w:rsidRPr="00ED3AAB" w:rsidP="00ED3AAB">
            <w:pPr>
              <w:pStyle w:val="ListBullet"/>
            </w:pPr>
            <w:r w:rsidRPr="00ED3AAB">
              <w:t>the right to be heard/put your case</w:t>
            </w:r>
          </w:p>
          <w:p w:rsidR="00000000" w:rsidRPr="00ED3AAB" w:rsidP="00ED3AAB">
            <w:pPr>
              <w:pStyle w:val="ListBullet"/>
            </w:pPr>
            <w:r w:rsidRPr="00ED3AAB">
              <w:t>the right to be informed of a complaint or case against you</w:t>
            </w:r>
          </w:p>
          <w:p w:rsidR="00000000" w:rsidRPr="00ED3AAB" w:rsidP="00ED3AAB">
            <w:pPr>
              <w:pStyle w:val="ListBullet"/>
            </w:pPr>
            <w:r w:rsidRPr="00ED3AAB">
              <w:t>the right to know reasons for decisions affecting you</w:t>
            </w:r>
          </w:p>
          <w:p w:rsidR="00000000" w:rsidRPr="00ED3AAB" w:rsidP="00ED3AAB">
            <w:pPr>
              <w:pStyle w:val="ListBullet"/>
            </w:pPr>
            <w:r w:rsidRPr="00ED3AAB">
              <w:t>the right to privac</w:t>
            </w:r>
            <w:r w:rsidRPr="00ED3AAB">
              <w:t>y</w:t>
            </w:r>
          </w:p>
          <w:p w:rsidR="00000000" w:rsidRPr="00ED3AAB" w:rsidP="00ED3AAB">
            <w:pPr>
              <w:pStyle w:val="ListBullet"/>
            </w:pPr>
            <w:r w:rsidRPr="00ED3AAB">
              <w:t>the right to advice</w:t>
            </w:r>
          </w:p>
          <w:p w:rsidR="00000000" w:rsidRPr="00ED3AAB" w:rsidP="00ED3AAB">
            <w:pPr>
              <w:pStyle w:val="ListBullet"/>
            </w:pPr>
            <w:r w:rsidRPr="00ED3AAB">
              <w:t>the right to representation</w:t>
            </w:r>
          </w:p>
          <w:p w:rsidR="00000000" w:rsidRPr="00ED3AAB" w:rsidP="00ED3AAB">
            <w:pPr>
              <w:pStyle w:val="ListBullet"/>
            </w:pPr>
            <w:r w:rsidRPr="00ED3AAB">
              <w:t>the right to silence</w:t>
            </w:r>
          </w:p>
          <w:p w:rsidR="00000000" w:rsidRPr="00ED3AAB" w:rsidP="00ED3AAB">
            <w:pPr>
              <w:pStyle w:val="ListBullet"/>
            </w:pPr>
            <w:r w:rsidRPr="00ED3AAB">
              <w:t>the right to an unbiased decision maker</w:t>
            </w:r>
          </w:p>
          <w:p w:rsidR="00000000" w:rsidRPr="00ED3AAB" w:rsidP="00ED3AAB">
            <w:pPr>
              <w:pStyle w:val="ListBullet"/>
            </w:pPr>
            <w:r w:rsidRPr="00ED3AAB">
              <w:t>reasonable time to prepare</w:t>
            </w:r>
          </w:p>
          <w:p w:rsidR="00000000" w:rsidP="00ED3AAB">
            <w:pPr>
              <w:pStyle w:val="ListBullet"/>
              <w:rPr>
                <w:lang w:val="en-NZ"/>
              </w:rPr>
            </w:pPr>
            <w:r w:rsidRPr="00ED3AAB">
              <w:t>no undue delay in hearing, etc</w:t>
            </w:r>
          </w:p>
        </w:tc>
      </w:tr>
      <w:tr w:rsidTr="00030100">
        <w:tblPrEx>
          <w:tblW w:w="0" w:type="auto"/>
          <w:tblLayout w:type="fixed"/>
          <w:tblCellMar>
            <w:left w:w="62" w:type="dxa"/>
            <w:right w:w="62" w:type="dxa"/>
          </w:tblCellMar>
          <w:tblLook w:val="0000"/>
        </w:tblPrEx>
        <w:tc>
          <w:tcPr>
            <w:tcW w:w="2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AAB">
            <w:pPr>
              <w:pStyle w:val="BodyText"/>
              <w:rPr>
                <w:lang w:val="en-NZ"/>
              </w:rPr>
            </w:pPr>
            <w:r w:rsidRPr="00ED3AAB">
              <w:rPr>
                <w:rStyle w:val="BoldandItalics"/>
              </w:rPr>
              <w:t>Matters</w:t>
            </w:r>
            <w:r w:rsidRPr="00ED3AAB">
              <w:t xml:space="preserve"> may include: </w:t>
            </w:r>
          </w:p>
        </w:tc>
        <w:tc>
          <w:tcPr>
            <w:tcW w:w="6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AAB" w:rsidP="00ED3AAB">
            <w:pPr>
              <w:pStyle w:val="ListBullet"/>
            </w:pPr>
            <w:r w:rsidRPr="00ED3AAB">
              <w:t xml:space="preserve">bail </w:t>
            </w:r>
          </w:p>
          <w:p w:rsidR="00000000" w:rsidRPr="00ED3AAB" w:rsidP="00ED3AAB">
            <w:pPr>
              <w:pStyle w:val="ListBullet"/>
            </w:pPr>
            <w:r w:rsidRPr="00ED3AAB">
              <w:t>care and protection matters</w:t>
            </w:r>
          </w:p>
          <w:p w:rsidR="00000000" w:rsidRPr="00ED3AAB" w:rsidP="00ED3AAB">
            <w:pPr>
              <w:pStyle w:val="ListBullet"/>
            </w:pPr>
            <w:r w:rsidRPr="00ED3AAB">
              <w:t xml:space="preserve">civil </w:t>
            </w:r>
          </w:p>
          <w:p w:rsidR="00000000" w:rsidRPr="00ED3AAB" w:rsidP="00ED3AAB">
            <w:pPr>
              <w:pStyle w:val="ListBullet"/>
            </w:pPr>
            <w:r w:rsidRPr="00ED3AAB">
              <w:t xml:space="preserve">criminal </w:t>
            </w:r>
          </w:p>
          <w:p w:rsidR="00000000" w:rsidRPr="00ED3AAB" w:rsidP="00ED3AAB">
            <w:pPr>
              <w:pStyle w:val="ListBullet"/>
            </w:pPr>
            <w:r w:rsidRPr="00ED3AAB">
              <w:t xml:space="preserve">family </w:t>
            </w:r>
          </w:p>
          <w:p w:rsidR="00000000" w:rsidRPr="00ED3AAB" w:rsidP="00ED3AAB">
            <w:pPr>
              <w:pStyle w:val="ListBullet"/>
            </w:pPr>
            <w:r w:rsidRPr="00ED3AAB">
              <w:t xml:space="preserve">interlocutory </w:t>
            </w:r>
          </w:p>
          <w:p w:rsidR="00000000" w:rsidRPr="00ED3AAB" w:rsidP="00ED3AAB">
            <w:pPr>
              <w:pStyle w:val="ListBullet"/>
            </w:pPr>
            <w:r w:rsidRPr="00ED3AAB">
              <w:t xml:space="preserve">juvenile </w:t>
            </w:r>
          </w:p>
          <w:p w:rsidR="00000000" w:rsidRPr="00ED3AAB" w:rsidP="00ED3AAB">
            <w:pPr>
              <w:pStyle w:val="ListBullet"/>
            </w:pPr>
            <w:r w:rsidRPr="00ED3AAB">
              <w:t>probate</w:t>
            </w:r>
          </w:p>
          <w:p w:rsidR="00000000" w:rsidRPr="00ED3AAB" w:rsidP="00ED3AAB">
            <w:pPr>
              <w:pStyle w:val="ListBullet"/>
            </w:pPr>
            <w:r w:rsidRPr="00ED3AAB">
              <w:t>enforcement</w:t>
            </w:r>
          </w:p>
          <w:p w:rsidR="00000000" w:rsidRPr="00ED3AAB" w:rsidP="00ED3AAB">
            <w:pPr>
              <w:pStyle w:val="ListBullet"/>
            </w:pPr>
            <w:r w:rsidRPr="00ED3AAB">
              <w:t>taxation of costs</w:t>
            </w:r>
          </w:p>
          <w:p w:rsidR="00000000" w:rsidRPr="00ED3AAB" w:rsidP="00ED3AAB">
            <w:pPr>
              <w:pStyle w:val="ListBullet"/>
            </w:pPr>
            <w:r w:rsidRPr="00ED3AAB">
              <w:t>case appraisal</w:t>
            </w:r>
          </w:p>
          <w:p w:rsidR="00000000" w:rsidRPr="00ED3AAB" w:rsidP="00ED3AAB">
            <w:pPr>
              <w:pStyle w:val="ListBullet"/>
            </w:pPr>
            <w:r w:rsidRPr="00ED3AAB">
              <w:t>industrial</w:t>
            </w:r>
          </w:p>
        </w:tc>
      </w:tr>
    </w:tbl>
    <w:p w:rsidR="00030100" w:rsidP="00ED3AAB">
      <w:pPr>
        <w:pStyle w:val="BodyText"/>
      </w:pPr>
    </w:p>
    <w:p w:rsidR="00030100" w:rsidP="00ED3AAB">
      <w:pPr>
        <w:pStyle w:val="BodyText"/>
      </w:pPr>
    </w:p>
    <w:p w:rsidR="00000000" w:rsidRPr="00ED3AAB" w:rsidP="00ED3AAB">
      <w:pPr>
        <w:pStyle w:val="Heading1"/>
      </w:pPr>
      <w:bookmarkStart w:id="12" w:name="O_494907"/>
      <w:bookmarkEnd w:id="12"/>
      <w:r w:rsidRPr="00ED3AAB">
        <w:t>Unit Sector(s)</w:t>
      </w:r>
    </w:p>
    <w:p w:rsidR="00000000" w:rsidRPr="00ED3AAB" w:rsidP="00ED3AAB">
      <w:pPr>
        <w:pStyle w:val="BodyText"/>
      </w:pPr>
      <w:r w:rsidRPr="00ED3AAB">
        <w:t>Not applicable.</w:t>
      </w:r>
    </w:p>
    <w:p w:rsidR="00000000" w:rsidRPr="00ED3AAB" w:rsidP="00ED3AAB">
      <w:pPr>
        <w:pStyle w:val="AllowPageBreak"/>
      </w:pPr>
    </w:p>
    <w:p w:rsidR="00000000" w:rsidRPr="00ED3AAB" w:rsidP="00ED3AAB">
      <w:pPr>
        <w:pStyle w:val="Heading1"/>
      </w:pPr>
      <w:bookmarkStart w:id="13" w:name="O_494920"/>
      <w:bookmarkEnd w:id="13"/>
      <w:r w:rsidRPr="00ED3AAB">
        <w:t>Competency field</w:t>
      </w:r>
    </w:p>
    <w:p w:rsidR="00000000" w:rsidRPr="00ED3AAB" w:rsidP="00ED3AAB">
      <w:pPr>
        <w:pStyle w:val="BodyText"/>
      </w:pPr>
      <w:r w:rsidRPr="00ED3AAB">
        <w:t>Courts.</w:t>
      </w:r>
    </w:p>
    <w:p w:rsidR="00000000" w:rsidRPr="00ED3AAB" w:rsidP="00ED3AAB"/>
    <w:sectPr w:rsidSect="00ED3A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A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0100" w:rsidP="0003010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A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100" w:rsidP="00ED3AA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30100" w:rsidP="00ED3A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30100" w:rsidP="00ED3AA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A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AAB" w:rsidRPr="00030100" w:rsidP="0003010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A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100" w:rsidRPr="002D2AF8" w:rsidP="00ED3AAB">
    <w:pPr>
      <w:pStyle w:val="Header"/>
      <w:framePr w:wrap="around"/>
    </w:pPr>
    <w:r>
      <w:fldChar w:fldCharType="begin"/>
    </w:r>
    <w:r>
      <w:instrText xml:space="preserve"> TITLE   \* MERGEFORMAT </w:instrText>
    </w:r>
    <w:r>
      <w:fldChar w:fldCharType="separate"/>
    </w:r>
    <w:r>
      <w:t>PSPCRT506B Perform quasi-judicial functions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030100" w:rsidP="00ED3A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8002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5435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B259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3A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3AAB"/>
    <w:pPr>
      <w:spacing w:before="360" w:after="60"/>
      <w:outlineLvl w:val="0"/>
    </w:pPr>
    <w:rPr>
      <w:sz w:val="32"/>
    </w:rPr>
  </w:style>
  <w:style w:type="paragraph" w:styleId="Heading2">
    <w:name w:val="heading 2"/>
    <w:basedOn w:val="HeadingBase"/>
    <w:next w:val="BodyText"/>
    <w:link w:val="Heading2Char"/>
    <w:qFormat/>
    <w:rsid w:val="00ED3AAB"/>
    <w:pPr>
      <w:keepLines/>
      <w:spacing w:before="240" w:after="120"/>
      <w:outlineLvl w:val="1"/>
    </w:pPr>
    <w:rPr>
      <w:sz w:val="28"/>
      <w:szCs w:val="40"/>
    </w:rPr>
  </w:style>
  <w:style w:type="paragraph" w:styleId="Heading3">
    <w:name w:val="heading 3"/>
    <w:basedOn w:val="HeadingBase"/>
    <w:next w:val="BodyText"/>
    <w:link w:val="Heading3Char"/>
    <w:qFormat/>
    <w:rsid w:val="00ED3AAB"/>
    <w:pPr>
      <w:spacing w:before="180" w:after="120"/>
      <w:outlineLvl w:val="2"/>
    </w:pPr>
    <w:rPr>
      <w:spacing w:val="-10"/>
      <w:kern w:val="32"/>
    </w:rPr>
  </w:style>
  <w:style w:type="paragraph" w:styleId="Heading4">
    <w:name w:val="heading 4"/>
    <w:basedOn w:val="HeadingBase"/>
    <w:next w:val="BodyText"/>
    <w:link w:val="Heading4Char"/>
    <w:qFormat/>
    <w:rsid w:val="00ED3AAB"/>
    <w:pPr>
      <w:spacing w:before="160" w:after="120"/>
      <w:outlineLvl w:val="3"/>
    </w:pPr>
    <w:rPr>
      <w:sz w:val="22"/>
    </w:rPr>
  </w:style>
  <w:style w:type="paragraph" w:styleId="Heading5">
    <w:name w:val="heading 5"/>
    <w:basedOn w:val="HeadingBase"/>
    <w:next w:val="Normal"/>
    <w:link w:val="Heading5Char"/>
    <w:qFormat/>
    <w:rsid w:val="00ED3AAB"/>
    <w:pPr>
      <w:spacing w:before="80"/>
      <w:outlineLvl w:val="4"/>
    </w:pPr>
    <w:rPr>
      <w:color w:val="918585"/>
      <w:sz w:val="20"/>
    </w:rPr>
  </w:style>
  <w:style w:type="paragraph" w:styleId="Heading6">
    <w:name w:val="heading 6"/>
    <w:basedOn w:val="HeadingBase"/>
    <w:next w:val="Normal"/>
    <w:link w:val="Heading6Char"/>
    <w:qFormat/>
    <w:rsid w:val="00ED3AAB"/>
    <w:pPr>
      <w:spacing w:before="60"/>
      <w:outlineLvl w:val="5"/>
    </w:pPr>
    <w:rPr>
      <w:color w:val="918585"/>
      <w:sz w:val="20"/>
    </w:rPr>
  </w:style>
  <w:style w:type="paragraph" w:styleId="Heading7">
    <w:name w:val="heading 7"/>
    <w:basedOn w:val="Normal"/>
    <w:next w:val="Normal"/>
    <w:link w:val="Heading7Char"/>
    <w:qFormat/>
    <w:rsid w:val="00ED3AAB"/>
    <w:pPr>
      <w:ind w:left="720"/>
      <w:outlineLvl w:val="6"/>
    </w:pPr>
    <w:rPr>
      <w:i/>
    </w:rPr>
  </w:style>
  <w:style w:type="paragraph" w:styleId="Heading8">
    <w:name w:val="heading 8"/>
    <w:basedOn w:val="Normal"/>
    <w:next w:val="Normal"/>
    <w:link w:val="Heading8Char"/>
    <w:qFormat/>
    <w:rsid w:val="00ED3AAB"/>
    <w:pPr>
      <w:ind w:left="720"/>
      <w:outlineLvl w:val="7"/>
    </w:pPr>
    <w:rPr>
      <w:i/>
    </w:rPr>
  </w:style>
  <w:style w:type="paragraph" w:styleId="Heading9">
    <w:name w:val="heading 9"/>
    <w:basedOn w:val="Normal"/>
    <w:next w:val="Normal"/>
    <w:link w:val="Heading9Char"/>
    <w:qFormat/>
    <w:rsid w:val="00ED3AAB"/>
    <w:pPr>
      <w:ind w:left="720"/>
      <w:outlineLvl w:val="8"/>
    </w:pPr>
    <w:rPr>
      <w:i/>
    </w:rPr>
  </w:style>
  <w:style w:type="character" w:default="1" w:styleId="DefaultParagraphFont">
    <w:name w:val="Default Paragraph Font"/>
    <w:uiPriority w:val="1"/>
    <w:unhideWhenUsed/>
    <w:rsid w:val="00ED3A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3AAB"/>
  </w:style>
  <w:style w:type="character" w:customStyle="1" w:styleId="Heading1Char">
    <w:name w:val="Heading 1 Char"/>
    <w:basedOn w:val="DefaultParagraphFont"/>
    <w:link w:val="Heading1"/>
    <w:rsid w:val="00ED3AAB"/>
    <w:rPr>
      <w:rFonts w:ascii="Times New Roman" w:eastAsia="Times New Roman" w:hAnsi="Times New Roman" w:cs="Times New Roman"/>
      <w:b/>
      <w:sz w:val="32"/>
      <w:szCs w:val="20"/>
      <w:lang w:eastAsia="en-US"/>
    </w:rPr>
  </w:style>
  <w:style w:type="paragraph" w:styleId="BodyText">
    <w:name w:val="Body Text"/>
    <w:basedOn w:val="Normal"/>
    <w:link w:val="BodyTextChar"/>
    <w:rsid w:val="00ED3A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3AAB"/>
    <w:rPr>
      <w:rFonts w:ascii="Times New Roman" w:eastAsia="Times New Roman" w:hAnsi="Times New Roman" w:cs="Times New Roman"/>
      <w:sz w:val="24"/>
      <w:lang w:eastAsia="en-US"/>
    </w:rPr>
  </w:style>
  <w:style w:type="paragraph" w:styleId="Footer">
    <w:name w:val="footer"/>
    <w:basedOn w:val="Normal"/>
    <w:link w:val="FooterChar"/>
    <w:rsid w:val="00ED3A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3AAB"/>
    <w:rPr>
      <w:rFonts w:ascii="Times New Roman" w:eastAsia="Times New Roman" w:hAnsi="Times New Roman" w:cs="Times New Roman"/>
      <w:sz w:val="16"/>
      <w:lang w:eastAsia="en-US"/>
    </w:rPr>
  </w:style>
  <w:style w:type="paragraph" w:styleId="List">
    <w:name w:val="List"/>
    <w:basedOn w:val="BodyText"/>
    <w:next w:val="BodyText"/>
    <w:rsid w:val="00ED3AAB"/>
    <w:pPr>
      <w:tabs>
        <w:tab w:val="left" w:pos="340"/>
      </w:tabs>
      <w:spacing w:before="60" w:after="60"/>
      <w:ind w:left="340" w:hanging="340"/>
    </w:pPr>
  </w:style>
  <w:style w:type="paragraph" w:styleId="ListBullet">
    <w:name w:val="List Bullet"/>
    <w:basedOn w:val="List"/>
    <w:rsid w:val="00ED3AAB"/>
    <w:pPr>
      <w:numPr>
        <w:numId w:val="13"/>
      </w:numPr>
      <w:tabs>
        <w:tab w:val="clear" w:pos="340"/>
      </w:tabs>
      <w:spacing w:before="40" w:after="40"/>
    </w:pPr>
  </w:style>
  <w:style w:type="character" w:customStyle="1" w:styleId="SpecialBold">
    <w:name w:val="Special Bold"/>
    <w:basedOn w:val="DefaultParagraphFont"/>
    <w:rsid w:val="00ED3AAB"/>
    <w:rPr>
      <w:b/>
      <w:spacing w:val="0"/>
    </w:rPr>
  </w:style>
  <w:style w:type="paragraph" w:styleId="ListBullet2">
    <w:name w:val="List Bullet 2"/>
    <w:basedOn w:val="List2"/>
    <w:rsid w:val="00ED3AAB"/>
    <w:pPr>
      <w:numPr>
        <w:numId w:val="14"/>
      </w:numPr>
      <w:tabs>
        <w:tab w:val="clear" w:pos="680"/>
      </w:tabs>
    </w:pPr>
  </w:style>
  <w:style w:type="paragraph" w:customStyle="1" w:styleId="SuperHeading">
    <w:name w:val="SuperHeading"/>
    <w:basedOn w:val="Normal"/>
    <w:rsid w:val="00ED3AAB"/>
    <w:pPr>
      <w:spacing w:before="240" w:after="120"/>
      <w:outlineLvl w:val="0"/>
    </w:pPr>
    <w:rPr>
      <w:rFonts w:ascii="Times New Roman" w:hAnsi="Times New Roman"/>
      <w:b/>
      <w:sz w:val="28"/>
    </w:rPr>
  </w:style>
  <w:style w:type="paragraph" w:customStyle="1" w:styleId="AllowPageBreak">
    <w:name w:val="AllowPageBreak"/>
    <w:rsid w:val="00ED3A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D3AAB"/>
    <w:rPr>
      <w:b/>
      <w:i/>
      <w:u w:val="none"/>
    </w:rPr>
  </w:style>
  <w:style w:type="character" w:customStyle="1" w:styleId="Heading2Char">
    <w:name w:val="Heading 2 Char"/>
    <w:basedOn w:val="DefaultParagraphFont"/>
    <w:link w:val="Heading2"/>
    <w:rsid w:val="00ED3A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3A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3A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3A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3A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3A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3A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3AAB"/>
    <w:rPr>
      <w:rFonts w:ascii="Courier New" w:eastAsia="Times New Roman" w:hAnsi="Courier New" w:cs="Times New Roman"/>
      <w:i/>
      <w:szCs w:val="20"/>
      <w:lang w:eastAsia="en-US"/>
    </w:rPr>
  </w:style>
  <w:style w:type="paragraph" w:customStyle="1" w:styleId="HeadingBase">
    <w:name w:val="Heading Base"/>
    <w:rsid w:val="00ED3A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3AAB"/>
    <w:pPr>
      <w:tabs>
        <w:tab w:val="right" w:leader="dot" w:pos="9072"/>
      </w:tabs>
      <w:ind w:left="567"/>
    </w:pPr>
    <w:rPr>
      <w:szCs w:val="22"/>
    </w:rPr>
  </w:style>
  <w:style w:type="paragraph" w:customStyle="1" w:styleId="TOCBase">
    <w:name w:val="TOC Base"/>
    <w:rsid w:val="00ED3A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3AAB"/>
    <w:pPr>
      <w:tabs>
        <w:tab w:val="right" w:leader="dot" w:pos="9072"/>
      </w:tabs>
      <w:spacing w:before="40" w:after="40"/>
      <w:ind w:left="284"/>
    </w:pPr>
    <w:rPr>
      <w:rFonts w:ascii="Times New Roman" w:hAnsi="Times New Roman"/>
    </w:rPr>
  </w:style>
  <w:style w:type="paragraph" w:styleId="TOC1">
    <w:name w:val="toc 1"/>
    <w:basedOn w:val="TOCBase"/>
    <w:next w:val="Normal"/>
    <w:rsid w:val="00ED3AA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D3AAB"/>
    <w:pPr>
      <w:spacing w:before="5040"/>
      <w:jc w:val="center"/>
    </w:pPr>
    <w:rPr>
      <w:sz w:val="48"/>
      <w:szCs w:val="72"/>
      <w:lang w:val="en-US"/>
    </w:rPr>
  </w:style>
  <w:style w:type="character" w:customStyle="1" w:styleId="TitleChar">
    <w:name w:val="Title Char"/>
    <w:basedOn w:val="DefaultParagraphFont"/>
    <w:link w:val="Title"/>
    <w:rsid w:val="00ED3A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3AAB"/>
    <w:pPr>
      <w:tabs>
        <w:tab w:val="left" w:pos="3600"/>
        <w:tab w:val="left" w:pos="3958"/>
      </w:tabs>
    </w:pPr>
  </w:style>
  <w:style w:type="paragraph" w:customStyle="1" w:styleId="Note">
    <w:name w:val="Note"/>
    <w:basedOn w:val="BodyText"/>
    <w:rsid w:val="00ED3A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3AAB"/>
    <w:pPr>
      <w:framePr w:wrap="auto" w:hAnchor="text" w:y="6049"/>
    </w:pPr>
    <w:rPr>
      <w:color w:val="000000"/>
      <w:sz w:val="40"/>
    </w:rPr>
  </w:style>
  <w:style w:type="paragraph" w:customStyle="1" w:styleId="TOCTitle">
    <w:name w:val="TOCTitle"/>
    <w:basedOn w:val="Heading1"/>
    <w:rsid w:val="00ED3AAB"/>
    <w:pPr>
      <w:spacing w:after="240"/>
      <w:jc w:val="center"/>
      <w:outlineLvl w:val="9"/>
    </w:pPr>
    <w:rPr>
      <w:caps/>
    </w:rPr>
  </w:style>
  <w:style w:type="paragraph" w:customStyle="1" w:styleId="Version">
    <w:name w:val="Version"/>
    <w:rsid w:val="00ED3A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3AAB"/>
    <w:pPr>
      <w:keepNext w:val="0"/>
      <w:tabs>
        <w:tab w:val="right" w:pos="4176"/>
      </w:tabs>
      <w:ind w:left="198" w:hanging="198"/>
    </w:pPr>
    <w:rPr>
      <w:rFonts w:ascii="Garamond" w:hAnsi="Garamond"/>
    </w:rPr>
  </w:style>
  <w:style w:type="paragraph" w:styleId="IndexHeading">
    <w:name w:val="index heading"/>
    <w:basedOn w:val="Normal"/>
    <w:next w:val="Index1"/>
    <w:semiHidden/>
    <w:rsid w:val="00ED3AAB"/>
    <w:pPr>
      <w:spacing w:before="120" w:after="120"/>
    </w:pPr>
    <w:rPr>
      <w:rFonts w:ascii="Arial" w:hAnsi="Arial"/>
      <w:b/>
      <w:color w:val="918585"/>
      <w:sz w:val="24"/>
    </w:rPr>
  </w:style>
  <w:style w:type="paragraph" w:styleId="Header">
    <w:name w:val="header"/>
    <w:basedOn w:val="Normal"/>
    <w:link w:val="HeaderChar"/>
    <w:rsid w:val="00ED3A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3AAB"/>
    <w:rPr>
      <w:rFonts w:ascii="Times New Roman" w:eastAsia="Times New Roman" w:hAnsi="Times New Roman" w:cs="Times New Roman"/>
      <w:sz w:val="16"/>
      <w:szCs w:val="20"/>
      <w:lang w:val="en-GB" w:eastAsia="en-US"/>
    </w:rPr>
  </w:style>
  <w:style w:type="paragraph" w:customStyle="1" w:styleId="Chapter">
    <w:name w:val="Chapter"/>
    <w:basedOn w:val="Normal"/>
    <w:rsid w:val="00ED3AAB"/>
    <w:pPr>
      <w:spacing w:before="240"/>
    </w:pPr>
    <w:rPr>
      <w:rFonts w:ascii="Times New Roman" w:hAnsi="Times New Roman"/>
      <w:smallCaps/>
      <w:spacing w:val="80"/>
      <w:sz w:val="28"/>
    </w:rPr>
  </w:style>
  <w:style w:type="paragraph" w:customStyle="1" w:styleId="InChapter">
    <w:name w:val="InChapter"/>
    <w:basedOn w:val="Heading3"/>
    <w:rsid w:val="00ED3AAB"/>
    <w:pPr>
      <w:spacing w:after="240"/>
      <w:outlineLvl w:val="9"/>
    </w:pPr>
    <w:rPr>
      <w:noProof/>
    </w:rPr>
  </w:style>
  <w:style w:type="paragraph" w:styleId="Index2">
    <w:name w:val="index 2"/>
    <w:basedOn w:val="Normal"/>
    <w:next w:val="Normal"/>
    <w:semiHidden/>
    <w:rsid w:val="00ED3AAB"/>
    <w:pPr>
      <w:tabs>
        <w:tab w:val="right" w:pos="4176"/>
      </w:tabs>
      <w:ind w:left="568" w:hanging="284"/>
    </w:pPr>
    <w:rPr>
      <w:rFonts w:ascii="Garamond" w:hAnsi="Garamond"/>
    </w:rPr>
  </w:style>
  <w:style w:type="paragraph" w:customStyle="1" w:styleId="Byline">
    <w:name w:val="Byline"/>
    <w:rsid w:val="00ED3A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3AAB"/>
    <w:pPr>
      <w:tabs>
        <w:tab w:val="clear" w:pos="3600"/>
        <w:tab w:val="clear" w:pos="3958"/>
      </w:tabs>
      <w:jc w:val="right"/>
    </w:pPr>
  </w:style>
  <w:style w:type="character" w:styleId="Emphasis">
    <w:name w:val="Emphasis"/>
    <w:basedOn w:val="DefaultParagraphFont"/>
    <w:qFormat/>
    <w:rsid w:val="00ED3AAB"/>
    <w:rPr>
      <w:i/>
    </w:rPr>
  </w:style>
  <w:style w:type="paragraph" w:styleId="Caption">
    <w:name w:val="caption"/>
    <w:basedOn w:val="BodyText"/>
    <w:next w:val="Normal"/>
    <w:qFormat/>
    <w:rsid w:val="00ED3AAB"/>
    <w:pPr>
      <w:framePr w:w="2268" w:hSpace="181" w:vSpace="181" w:wrap="around" w:vAnchor="text" w:hAnchor="page" w:x="1135" w:y="285" w:anchorLock="1"/>
    </w:pPr>
    <w:rPr>
      <w:i/>
    </w:rPr>
  </w:style>
  <w:style w:type="paragraph" w:customStyle="1" w:styleId="MiniTOCTitle">
    <w:name w:val="MiniTOCTitle"/>
    <w:basedOn w:val="Heading4"/>
    <w:rsid w:val="00ED3AAB"/>
    <w:pPr>
      <w:spacing w:before="240"/>
      <w:outlineLvl w:val="9"/>
    </w:pPr>
    <w:rPr>
      <w:noProof/>
      <w:sz w:val="24"/>
    </w:rPr>
  </w:style>
  <w:style w:type="paragraph" w:customStyle="1" w:styleId="MiniTOCItem">
    <w:name w:val="MiniTOCItem"/>
    <w:basedOn w:val="ListBullet"/>
    <w:rsid w:val="00ED3AAB"/>
    <w:pPr>
      <w:numPr>
        <w:numId w:val="0"/>
      </w:numPr>
      <w:tabs>
        <w:tab w:val="right" w:leader="dot" w:pos="6521"/>
      </w:tabs>
      <w:spacing w:before="0" w:after="0"/>
    </w:pPr>
  </w:style>
  <w:style w:type="paragraph" w:customStyle="1" w:styleId="TOFTitle">
    <w:name w:val="TOFTitle"/>
    <w:basedOn w:val="TOCTitle"/>
    <w:rsid w:val="00ED3AAB"/>
  </w:style>
  <w:style w:type="paragraph" w:styleId="TableofFigures">
    <w:name w:val="table of figures"/>
    <w:basedOn w:val="Normal"/>
    <w:next w:val="Normal"/>
    <w:semiHidden/>
    <w:rsid w:val="00ED3AAB"/>
    <w:pPr>
      <w:tabs>
        <w:tab w:val="right" w:leader="dot" w:pos="9072"/>
      </w:tabs>
      <w:ind w:left="970" w:hanging="403"/>
    </w:pPr>
    <w:rPr>
      <w:rFonts w:ascii="Times New Roman" w:hAnsi="Times New Roman"/>
      <w:b/>
    </w:rPr>
  </w:style>
  <w:style w:type="paragraph" w:styleId="ListNumber">
    <w:name w:val="List Number"/>
    <w:basedOn w:val="List"/>
    <w:rsid w:val="00ED3AAB"/>
    <w:pPr>
      <w:numPr>
        <w:numId w:val="11"/>
      </w:numPr>
    </w:pPr>
  </w:style>
  <w:style w:type="character" w:customStyle="1" w:styleId="WingdingSymbols">
    <w:name w:val="Wingding Symbols"/>
    <w:rsid w:val="00ED3AAB"/>
    <w:rPr>
      <w:rFonts w:ascii="Wingdings" w:hAnsi="Wingdings"/>
    </w:rPr>
  </w:style>
  <w:style w:type="paragraph" w:customStyle="1" w:styleId="TableHeading">
    <w:name w:val="Table Heading"/>
    <w:basedOn w:val="HeadingBase"/>
    <w:rsid w:val="00ED3AAB"/>
    <w:pPr>
      <w:keepLines/>
      <w:pBdr>
        <w:bottom w:val="single" w:sz="6" w:space="1" w:color="918585"/>
      </w:pBdr>
      <w:spacing w:before="240"/>
    </w:pPr>
  </w:style>
  <w:style w:type="character" w:customStyle="1" w:styleId="HotSpot">
    <w:name w:val="HotSpot"/>
    <w:rsid w:val="00ED3AAB"/>
    <w:rPr>
      <w:color w:val="0033CC"/>
      <w:u w:val="none"/>
    </w:rPr>
  </w:style>
  <w:style w:type="paragraph" w:customStyle="1" w:styleId="BodyTextRight">
    <w:name w:val="Body Text Right"/>
    <w:basedOn w:val="BodyText"/>
    <w:rsid w:val="00ED3AAB"/>
    <w:pPr>
      <w:spacing w:before="0" w:after="0"/>
      <w:jc w:val="right"/>
    </w:pPr>
  </w:style>
  <w:style w:type="paragraph" w:styleId="Index3">
    <w:name w:val="index 3"/>
    <w:basedOn w:val="ListNumber2"/>
    <w:next w:val="Normal"/>
    <w:semiHidden/>
    <w:rsid w:val="00ED3AAB"/>
    <w:pPr>
      <w:numPr>
        <w:numId w:val="0"/>
      </w:numPr>
      <w:tabs>
        <w:tab w:val="right" w:leader="dot" w:pos="4176"/>
      </w:tabs>
    </w:pPr>
  </w:style>
  <w:style w:type="paragraph" w:styleId="ListNumber2">
    <w:name w:val="List Number 2"/>
    <w:basedOn w:val="List2"/>
    <w:rsid w:val="00ED3AAB"/>
    <w:pPr>
      <w:numPr>
        <w:numId w:val="10"/>
      </w:numPr>
      <w:tabs>
        <w:tab w:val="clear" w:pos="1060"/>
      </w:tabs>
    </w:pPr>
  </w:style>
  <w:style w:type="paragraph" w:customStyle="1" w:styleId="MarginNote">
    <w:name w:val="Margin Note"/>
    <w:basedOn w:val="BodyText"/>
    <w:rsid w:val="00ED3A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3A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3A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3AAB"/>
    <w:rPr>
      <w:sz w:val="32"/>
    </w:rPr>
  </w:style>
  <w:style w:type="paragraph" w:customStyle="1" w:styleId="HeadingProcedure">
    <w:name w:val="Heading Procedure"/>
    <w:basedOn w:val="HeadingBase"/>
    <w:next w:val="Normal"/>
    <w:rsid w:val="00ED3AAB"/>
    <w:pPr>
      <w:tabs>
        <w:tab w:val="left" w:pos="0"/>
      </w:tabs>
      <w:spacing w:before="120" w:after="60"/>
    </w:pPr>
    <w:rPr>
      <w:i/>
      <w:color w:val="918585"/>
      <w:sz w:val="22"/>
    </w:rPr>
  </w:style>
  <w:style w:type="paragraph" w:customStyle="1" w:styleId="TableBodyText">
    <w:name w:val="Table Body Text"/>
    <w:basedOn w:val="BodyText"/>
    <w:rsid w:val="00ED3AAB"/>
    <w:pPr>
      <w:spacing w:before="60" w:after="60"/>
    </w:pPr>
  </w:style>
  <w:style w:type="paragraph" w:styleId="ListContinue">
    <w:name w:val="List Continue"/>
    <w:basedOn w:val="List"/>
    <w:rsid w:val="00ED3AAB"/>
    <w:pPr>
      <w:ind w:firstLine="0"/>
    </w:pPr>
  </w:style>
  <w:style w:type="paragraph" w:customStyle="1" w:styleId="ListNote">
    <w:name w:val="List Note"/>
    <w:basedOn w:val="List"/>
    <w:rsid w:val="00ED3AAB"/>
    <w:pPr>
      <w:pBdr>
        <w:top w:val="single" w:sz="6" w:space="2" w:color="918585"/>
        <w:bottom w:val="single" w:sz="6" w:space="2" w:color="918585"/>
      </w:pBdr>
      <w:tabs>
        <w:tab w:val="left" w:pos="1021"/>
      </w:tabs>
      <w:ind w:firstLine="0"/>
    </w:pPr>
  </w:style>
  <w:style w:type="paragraph" w:customStyle="1" w:styleId="Warning">
    <w:name w:val="Warning"/>
    <w:basedOn w:val="BodyText"/>
    <w:rsid w:val="00ED3AAB"/>
    <w:pPr>
      <w:shd w:val="clear" w:color="auto" w:fill="D9D9D9"/>
      <w:tabs>
        <w:tab w:val="left" w:pos="992"/>
      </w:tabs>
      <w:ind w:left="119" w:right="119"/>
    </w:pPr>
    <w:rPr>
      <w:sz w:val="20"/>
    </w:rPr>
  </w:style>
  <w:style w:type="paragraph" w:customStyle="1" w:styleId="MarginIcons">
    <w:name w:val="Margin Icons"/>
    <w:basedOn w:val="BodyText"/>
    <w:rsid w:val="00ED3A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3AAB"/>
    <w:rPr>
      <w:rFonts w:ascii="Courier New" w:hAnsi="Courier New"/>
    </w:rPr>
  </w:style>
  <w:style w:type="paragraph" w:customStyle="1" w:styleId="NoteBullet">
    <w:name w:val="Note Bullet"/>
    <w:basedOn w:val="Note"/>
    <w:rsid w:val="00ED3AAB"/>
    <w:pPr>
      <w:tabs>
        <w:tab w:val="clear" w:pos="680"/>
      </w:tabs>
      <w:spacing w:before="60" w:after="60"/>
    </w:pPr>
  </w:style>
  <w:style w:type="paragraph" w:customStyle="1" w:styleId="SubHeading2">
    <w:name w:val="SubHeading2"/>
    <w:basedOn w:val="HeadingBase"/>
    <w:rsid w:val="00ED3AAB"/>
    <w:pPr>
      <w:spacing w:before="240" w:after="60"/>
    </w:pPr>
    <w:rPr>
      <w:sz w:val="20"/>
    </w:rPr>
  </w:style>
  <w:style w:type="paragraph" w:customStyle="1" w:styleId="SubHeading1">
    <w:name w:val="SubHeading1"/>
    <w:basedOn w:val="HeadingBase"/>
    <w:rsid w:val="00ED3AAB"/>
    <w:pPr>
      <w:spacing w:before="240" w:after="60"/>
    </w:pPr>
    <w:rPr>
      <w:color w:val="918585"/>
      <w:sz w:val="22"/>
    </w:rPr>
  </w:style>
  <w:style w:type="paragraph" w:customStyle="1" w:styleId="SideHeading">
    <w:name w:val="Side Heading"/>
    <w:basedOn w:val="HeadingBase"/>
    <w:rsid w:val="00ED3A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3AAB"/>
    <w:pPr>
      <w:numPr>
        <w:numId w:val="12"/>
      </w:numPr>
    </w:pPr>
  </w:style>
  <w:style w:type="paragraph" w:styleId="PlainText">
    <w:name w:val="Plain Text"/>
    <w:basedOn w:val="Normal"/>
    <w:link w:val="PlainTextChar"/>
    <w:rsid w:val="00ED3AAB"/>
    <w:rPr>
      <w:sz w:val="20"/>
    </w:rPr>
  </w:style>
  <w:style w:type="character" w:customStyle="1" w:styleId="PlainTextChar">
    <w:name w:val="Plain Text Char"/>
    <w:basedOn w:val="DefaultParagraphFont"/>
    <w:link w:val="PlainText"/>
    <w:rsid w:val="00ED3AAB"/>
    <w:rPr>
      <w:rFonts w:ascii="Courier New" w:eastAsia="Times New Roman" w:hAnsi="Courier New" w:cs="Times New Roman"/>
      <w:sz w:val="20"/>
      <w:szCs w:val="20"/>
      <w:lang w:eastAsia="en-US"/>
    </w:rPr>
  </w:style>
  <w:style w:type="character" w:customStyle="1" w:styleId="MenuOption">
    <w:name w:val="Menu Option"/>
    <w:basedOn w:val="DefaultParagraphFont"/>
    <w:rsid w:val="00ED3AAB"/>
    <w:rPr>
      <w:b/>
      <w:smallCaps/>
    </w:rPr>
  </w:style>
  <w:style w:type="paragraph" w:customStyle="1" w:styleId="TableListNumber">
    <w:name w:val="Table List Number"/>
    <w:basedOn w:val="ListNumber"/>
    <w:rsid w:val="00ED3AAB"/>
    <w:pPr>
      <w:numPr>
        <w:numId w:val="0"/>
      </w:numPr>
    </w:pPr>
  </w:style>
  <w:style w:type="paragraph" w:styleId="TOC4">
    <w:name w:val="toc 4"/>
    <w:basedOn w:val="TOCBase"/>
    <w:next w:val="Normal"/>
    <w:semiHidden/>
    <w:rsid w:val="00ED3AAB"/>
    <w:pPr>
      <w:tabs>
        <w:tab w:val="right" w:leader="dot" w:pos="9071"/>
      </w:tabs>
      <w:ind w:left="1701"/>
    </w:pPr>
  </w:style>
  <w:style w:type="paragraph" w:customStyle="1" w:styleId="ListAlpha">
    <w:name w:val="List Alpha"/>
    <w:basedOn w:val="List"/>
    <w:rsid w:val="00ED3AAB"/>
    <w:pPr>
      <w:numPr>
        <w:numId w:val="9"/>
      </w:numPr>
    </w:pPr>
  </w:style>
  <w:style w:type="paragraph" w:customStyle="1" w:styleId="ListAlpha2">
    <w:name w:val="List Alpha 2"/>
    <w:basedOn w:val="List2"/>
    <w:rsid w:val="00ED3AAB"/>
    <w:pPr>
      <w:numPr>
        <w:numId w:val="8"/>
      </w:numPr>
    </w:pPr>
  </w:style>
  <w:style w:type="paragraph" w:styleId="List2">
    <w:name w:val="List 2"/>
    <w:basedOn w:val="BodyText"/>
    <w:rsid w:val="00ED3AAB"/>
    <w:pPr>
      <w:tabs>
        <w:tab w:val="left" w:pos="680"/>
      </w:tabs>
      <w:spacing w:before="60" w:after="60"/>
      <w:ind w:left="680" w:hanging="340"/>
    </w:pPr>
  </w:style>
  <w:style w:type="paragraph" w:styleId="List3">
    <w:name w:val="List 3"/>
    <w:basedOn w:val="BodyText"/>
    <w:rsid w:val="00ED3AAB"/>
    <w:pPr>
      <w:tabs>
        <w:tab w:val="left" w:pos="1021"/>
      </w:tabs>
      <w:spacing w:before="60" w:after="60"/>
      <w:ind w:left="1020" w:hanging="340"/>
    </w:pPr>
  </w:style>
  <w:style w:type="paragraph" w:styleId="List4">
    <w:name w:val="List 4"/>
    <w:basedOn w:val="BodyText"/>
    <w:rsid w:val="00ED3AAB"/>
    <w:pPr>
      <w:tabs>
        <w:tab w:val="left" w:pos="1361"/>
      </w:tabs>
      <w:spacing w:before="60" w:after="60"/>
      <w:ind w:left="1361" w:hanging="340"/>
    </w:pPr>
  </w:style>
  <w:style w:type="paragraph" w:styleId="List5">
    <w:name w:val="List 5"/>
    <w:basedOn w:val="BodyText"/>
    <w:rsid w:val="00ED3AAB"/>
    <w:pPr>
      <w:tabs>
        <w:tab w:val="left" w:pos="1701"/>
      </w:tabs>
      <w:spacing w:before="60" w:after="60"/>
      <w:ind w:left="1701" w:hanging="340"/>
    </w:pPr>
  </w:style>
  <w:style w:type="paragraph" w:styleId="ListBullet3">
    <w:name w:val="List Bullet 3"/>
    <w:basedOn w:val="List3"/>
    <w:rsid w:val="00ED3AAB"/>
    <w:pPr>
      <w:numPr>
        <w:numId w:val="15"/>
      </w:numPr>
      <w:tabs>
        <w:tab w:val="clear" w:pos="1021"/>
      </w:tabs>
      <w:ind w:left="1037" w:hanging="357"/>
    </w:pPr>
  </w:style>
  <w:style w:type="paragraph" w:styleId="ListBullet4">
    <w:name w:val="List Bullet 4"/>
    <w:basedOn w:val="List4"/>
    <w:rsid w:val="00ED3AAB"/>
    <w:pPr>
      <w:numPr>
        <w:numId w:val="3"/>
      </w:numPr>
    </w:pPr>
  </w:style>
  <w:style w:type="paragraph" w:styleId="ListBullet5">
    <w:name w:val="List Bullet 5"/>
    <w:basedOn w:val="List5"/>
    <w:rsid w:val="00ED3AAB"/>
    <w:pPr>
      <w:numPr>
        <w:numId w:val="4"/>
      </w:numPr>
    </w:pPr>
  </w:style>
  <w:style w:type="paragraph" w:styleId="ListContinue2">
    <w:name w:val="List Continue 2"/>
    <w:basedOn w:val="List2"/>
    <w:rsid w:val="00ED3AAB"/>
    <w:pPr>
      <w:ind w:firstLine="0"/>
    </w:pPr>
  </w:style>
  <w:style w:type="paragraph" w:styleId="ListContinue3">
    <w:name w:val="List Continue 3"/>
    <w:basedOn w:val="List3"/>
    <w:rsid w:val="00ED3AAB"/>
    <w:pPr>
      <w:ind w:left="1021" w:firstLine="0"/>
    </w:pPr>
  </w:style>
  <w:style w:type="paragraph" w:styleId="ListContinue4">
    <w:name w:val="List Continue 4"/>
    <w:basedOn w:val="List4"/>
    <w:rsid w:val="00ED3AAB"/>
    <w:pPr>
      <w:ind w:firstLine="0"/>
    </w:pPr>
  </w:style>
  <w:style w:type="paragraph" w:styleId="ListContinue5">
    <w:name w:val="List Continue 5"/>
    <w:basedOn w:val="List5"/>
    <w:rsid w:val="00ED3AAB"/>
    <w:pPr>
      <w:ind w:firstLine="0"/>
    </w:pPr>
  </w:style>
  <w:style w:type="paragraph" w:styleId="ListNumber3">
    <w:name w:val="List Number 3"/>
    <w:basedOn w:val="List3"/>
    <w:rsid w:val="00ED3AAB"/>
    <w:pPr>
      <w:numPr>
        <w:numId w:val="5"/>
      </w:numPr>
    </w:pPr>
  </w:style>
  <w:style w:type="paragraph" w:styleId="ListNumber4">
    <w:name w:val="List Number 4"/>
    <w:basedOn w:val="List4"/>
    <w:rsid w:val="00ED3AAB"/>
    <w:pPr>
      <w:numPr>
        <w:numId w:val="6"/>
      </w:numPr>
    </w:pPr>
  </w:style>
  <w:style w:type="paragraph" w:styleId="ListNumber5">
    <w:name w:val="List Number 5"/>
    <w:basedOn w:val="List5"/>
    <w:rsid w:val="00ED3AAB"/>
    <w:pPr>
      <w:numPr>
        <w:numId w:val="7"/>
      </w:numPr>
    </w:pPr>
  </w:style>
  <w:style w:type="paragraph" w:styleId="BlockText">
    <w:name w:val="Block Text"/>
    <w:basedOn w:val="Normal"/>
    <w:rsid w:val="00ED3AAB"/>
    <w:pPr>
      <w:spacing w:after="120"/>
      <w:ind w:left="1440" w:right="1440"/>
    </w:pPr>
  </w:style>
  <w:style w:type="character" w:customStyle="1" w:styleId="Subscript">
    <w:name w:val="Subscript"/>
    <w:basedOn w:val="DefaultParagraphFont"/>
    <w:rsid w:val="00ED3AAB"/>
    <w:rPr>
      <w:sz w:val="16"/>
      <w:vertAlign w:val="subscript"/>
    </w:rPr>
  </w:style>
  <w:style w:type="character" w:customStyle="1" w:styleId="Superscript">
    <w:name w:val="Superscript"/>
    <w:basedOn w:val="DefaultParagraphFont"/>
    <w:rsid w:val="00ED3AAB"/>
    <w:rPr>
      <w:sz w:val="16"/>
      <w:vertAlign w:val="superscript"/>
    </w:rPr>
  </w:style>
  <w:style w:type="character" w:customStyle="1" w:styleId="Symbols">
    <w:name w:val="Symbols"/>
    <w:basedOn w:val="DefaultParagraphFont"/>
    <w:rsid w:val="00ED3AAB"/>
    <w:rPr>
      <w:rFonts w:ascii="Symbol" w:hAnsi="Symbol"/>
    </w:rPr>
  </w:style>
  <w:style w:type="character" w:customStyle="1" w:styleId="MenuOptions">
    <w:name w:val="Menu Options"/>
    <w:basedOn w:val="DefaultParagraphFont"/>
    <w:rsid w:val="00ED3AAB"/>
    <w:rPr>
      <w:rFonts w:ascii="Arial Narrow" w:hAnsi="Arial Narrow"/>
      <w:smallCaps/>
    </w:rPr>
  </w:style>
  <w:style w:type="character" w:customStyle="1" w:styleId="Buttons">
    <w:name w:val="Buttons"/>
    <w:basedOn w:val="DefaultParagraphFont"/>
    <w:rsid w:val="00ED3AAB"/>
    <w:rPr>
      <w:b/>
    </w:rPr>
  </w:style>
  <w:style w:type="character" w:customStyle="1" w:styleId="Underlined">
    <w:name w:val="Underlined"/>
    <w:basedOn w:val="DefaultParagraphFont"/>
    <w:rsid w:val="00ED3AAB"/>
    <w:rPr>
      <w:u w:val="single"/>
    </w:rPr>
  </w:style>
  <w:style w:type="paragraph" w:customStyle="1" w:styleId="TableBodyTextRight">
    <w:name w:val="Table Body Text Right"/>
    <w:basedOn w:val="TableBodyText"/>
    <w:rsid w:val="00ED3AAB"/>
    <w:pPr>
      <w:widowControl w:val="0"/>
      <w:autoSpaceDE w:val="0"/>
      <w:autoSpaceDN w:val="0"/>
      <w:adjustRightInd w:val="0"/>
      <w:jc w:val="right"/>
    </w:pPr>
    <w:rPr>
      <w:rFonts w:cs="Arial"/>
      <w:szCs w:val="18"/>
    </w:rPr>
  </w:style>
  <w:style w:type="paragraph" w:customStyle="1" w:styleId="CopyrightText">
    <w:name w:val="Copyright Text"/>
    <w:basedOn w:val="BodyText"/>
    <w:rsid w:val="00ED3AAB"/>
    <w:rPr>
      <w:sz w:val="18"/>
    </w:rPr>
  </w:style>
  <w:style w:type="paragraph" w:customStyle="1" w:styleId="BodySmallRight">
    <w:name w:val="Body Small Right"/>
    <w:basedOn w:val="BodyTextRight"/>
    <w:rsid w:val="00ED3AAB"/>
    <w:rPr>
      <w:sz w:val="18"/>
      <w:szCs w:val="18"/>
    </w:rPr>
  </w:style>
  <w:style w:type="paragraph" w:customStyle="1" w:styleId="MarginEdition">
    <w:name w:val="Margin Edition"/>
    <w:basedOn w:val="MarginNote"/>
    <w:rsid w:val="00ED3AAB"/>
    <w:pPr>
      <w:spacing w:before="0" w:after="0"/>
    </w:pPr>
    <w:rPr>
      <w:rFonts w:ascii="Times New Roman" w:hAnsi="Times New Roman"/>
      <w:color w:val="999999"/>
    </w:rPr>
  </w:style>
  <w:style w:type="paragraph" w:customStyle="1" w:styleId="Spacer">
    <w:name w:val="Spacer"/>
    <w:basedOn w:val="Normal"/>
    <w:rsid w:val="00ED3AAB"/>
    <w:rPr>
      <w:sz w:val="2"/>
      <w:szCs w:val="2"/>
    </w:rPr>
  </w:style>
  <w:style w:type="character" w:customStyle="1" w:styleId="Small">
    <w:name w:val="Small"/>
    <w:basedOn w:val="DefaultParagraphFont"/>
    <w:rsid w:val="00ED3AAB"/>
    <w:rPr>
      <w:sz w:val="16"/>
    </w:rPr>
  </w:style>
  <w:style w:type="paragraph" w:customStyle="1" w:styleId="WideTable">
    <w:name w:val="Wide Table"/>
    <w:basedOn w:val="Normal"/>
    <w:rsid w:val="00ED3AAB"/>
    <w:pPr>
      <w:ind w:left="-1418"/>
    </w:pPr>
    <w:rPr>
      <w:sz w:val="2"/>
      <w:szCs w:val="2"/>
    </w:rPr>
  </w:style>
  <w:style w:type="character" w:styleId="PageNumber">
    <w:name w:val="page number"/>
    <w:basedOn w:val="DefaultParagraphFont"/>
    <w:rsid w:val="00ED3AAB"/>
  </w:style>
  <w:style w:type="paragraph" w:styleId="Quote">
    <w:name w:val="Quote"/>
    <w:basedOn w:val="Heading1"/>
    <w:link w:val="QuoteChar"/>
    <w:qFormat/>
    <w:rsid w:val="00ED3AAB"/>
    <w:rPr>
      <w:b w:val="0"/>
      <w:sz w:val="72"/>
      <w:szCs w:val="72"/>
      <w:lang w:val="en-NZ"/>
    </w:rPr>
  </w:style>
  <w:style w:type="character" w:customStyle="1" w:styleId="QuoteChar">
    <w:name w:val="Quote Char"/>
    <w:basedOn w:val="DefaultParagraphFont"/>
    <w:link w:val="Quote"/>
    <w:rsid w:val="00ED3A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3AAB"/>
    <w:pPr>
      <w:pageBreakBefore/>
    </w:pPr>
  </w:style>
  <w:style w:type="paragraph" w:customStyle="1" w:styleId="Border">
    <w:name w:val="Border"/>
    <w:basedOn w:val="Normal"/>
    <w:qFormat/>
    <w:rsid w:val="00ED3A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3AAB"/>
    <w:rPr>
      <w:b/>
      <w:bCs/>
      <w:i/>
      <w:iCs/>
      <w:color w:val="auto"/>
    </w:rPr>
  </w:style>
  <w:style w:type="paragraph" w:styleId="IntenseQuote">
    <w:name w:val="Intense Quote"/>
    <w:basedOn w:val="Normal"/>
    <w:next w:val="Normal"/>
    <w:link w:val="IntenseQuoteChar"/>
    <w:uiPriority w:val="30"/>
    <w:qFormat/>
    <w:rsid w:val="00ED3A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3A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3AAB"/>
    <w:rPr>
      <w:smallCaps/>
      <w:color w:val="auto"/>
      <w:u w:val="single"/>
    </w:rPr>
  </w:style>
  <w:style w:type="character" w:styleId="IntenseReference">
    <w:name w:val="Intense Reference"/>
    <w:basedOn w:val="DefaultParagraphFont"/>
    <w:uiPriority w:val="32"/>
    <w:qFormat/>
    <w:rsid w:val="00ED3AAB"/>
    <w:rPr>
      <w:b/>
      <w:bCs/>
      <w:smallCaps/>
      <w:color w:val="auto"/>
      <w:spacing w:val="5"/>
      <w:u w:val="single"/>
    </w:rPr>
  </w:style>
  <w:style w:type="paragraph" w:customStyle="1" w:styleId="2ColumnHeading">
    <w:name w:val="2Column Heading"/>
    <w:basedOn w:val="BodyText"/>
    <w:qFormat/>
    <w:rsid w:val="00ED3AAB"/>
    <w:pPr>
      <w:spacing w:after="60"/>
      <w:ind w:left="-2268"/>
    </w:pPr>
    <w:rPr>
      <w:b/>
    </w:rPr>
  </w:style>
  <w:style w:type="paragraph" w:customStyle="1" w:styleId="Heading1TOC">
    <w:name w:val="Heading1 TOC"/>
    <w:basedOn w:val="Normal"/>
    <w:qFormat/>
    <w:rsid w:val="00ED3AAB"/>
    <w:pPr>
      <w:spacing w:before="240" w:after="120"/>
    </w:pPr>
    <w:rPr>
      <w:rFonts w:ascii="Times New Roman" w:hAnsi="Times New Roman"/>
      <w:b/>
      <w:sz w:val="32"/>
    </w:rPr>
  </w:style>
  <w:style w:type="paragraph" w:customStyle="1" w:styleId="Heading2TOC">
    <w:name w:val="Heading2 TOC"/>
    <w:basedOn w:val="Normal"/>
    <w:qFormat/>
    <w:rsid w:val="00ED3AAB"/>
    <w:pPr>
      <w:spacing w:before="240" w:after="60"/>
    </w:pPr>
    <w:rPr>
      <w:rFonts w:ascii="Times New Roman" w:hAnsi="Times New Roman"/>
      <w:b/>
      <w:sz w:val="28"/>
    </w:rPr>
  </w:style>
  <w:style w:type="character" w:customStyle="1" w:styleId="Underline">
    <w:name w:val="Underline"/>
    <w:basedOn w:val="DefaultParagraphFont"/>
    <w:qFormat/>
    <w:rsid w:val="00ED3AAB"/>
    <w:rPr>
      <w:u w:val="single"/>
    </w:rPr>
  </w:style>
  <w:style w:type="paragraph" w:styleId="BalloonText">
    <w:name w:val="Balloon Text"/>
    <w:basedOn w:val="Normal"/>
    <w:link w:val="BalloonTextChar"/>
    <w:rsid w:val="00ED3AAB"/>
    <w:rPr>
      <w:rFonts w:ascii="Tahoma" w:hAnsi="Tahoma" w:cs="Tahoma"/>
      <w:sz w:val="16"/>
      <w:szCs w:val="16"/>
    </w:rPr>
  </w:style>
  <w:style w:type="character" w:customStyle="1" w:styleId="BalloonTextChar">
    <w:name w:val="Balloon Text Char"/>
    <w:basedOn w:val="DefaultParagraphFont"/>
    <w:link w:val="BalloonText"/>
    <w:rsid w:val="00ED3A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3A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3A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3AAB"/>
    <w:rPr>
      <w:b/>
      <w:color w:val="660033"/>
      <w:spacing w:val="0"/>
    </w:rPr>
  </w:style>
  <w:style w:type="paragraph" w:customStyle="1" w:styleId="Nameditemlist">
    <w:name w:val="Named item list"/>
    <w:basedOn w:val="BodyText"/>
    <w:qFormat/>
    <w:rsid w:val="00ED3AA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1273</Words>
  <Characters>7882</Characters>
  <Application>Microsoft Office Word</Application>
  <DocSecurity>0</DocSecurity>
  <Lines>254</Lines>
  <Paragraphs>152</Paragraphs>
  <ScaleCrop>false</ScaleCrop>
  <Company>Author-it Software Corporation Ltd.</Company>
  <LinksUpToDate>false</LinksUpToDate>
  <CharactersWithSpaces>9087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PSPCRT506B Perform quasi-judicial functions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2012-11-01T18:23:00Z</dcterms:created>
  <dcterms:modified xsi:type="dcterms:W3CDTF">2012-11-01T18:23:00Z</dcterms:modified>
</cp:coreProperties>
</file>