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CE2" w:rsidP="00406CE2">
      <w:pPr>
        <w:pStyle w:val="Title"/>
      </w:pPr>
      <w:bookmarkStart w:id="0" w:name="_GoBack"/>
      <w:bookmarkEnd w:id="0"/>
      <w:r>
        <w:fldChar w:fldCharType="begin"/>
      </w:r>
      <w:r>
        <w:instrText xml:space="preserve"> TITLE   \* MERGEFORMAT </w:instrText>
      </w:r>
      <w:r>
        <w:fldChar w:fldCharType="separate"/>
      </w:r>
      <w:r>
        <w:t>PSPCRT501C Perform court duties</w:t>
      </w:r>
      <w:r>
        <w:fldChar w:fldCharType="end"/>
      </w:r>
    </w:p>
    <w:p w:rsidR="00406CE2" w:rsidP="00406CE2">
      <w:pPr>
        <w:pStyle w:val="Version"/>
        <w:sectPr w:rsidSect="00001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01000" w:rsidP="00001000">
      <w:pPr>
        <w:pStyle w:val="SuperHeading"/>
      </w:pPr>
      <w:r w:rsidRPr="00001000">
        <w:t>PSPCRT501C Perform court duties</w:t>
      </w:r>
    </w:p>
    <w:p w:rsidR="00000000" w:rsidRPr="00001000" w:rsidP="00001000">
      <w:pPr>
        <w:pStyle w:val="SuperHeading"/>
      </w:pPr>
    </w:p>
    <w:p w:rsidR="00000000" w:rsidRPr="00001000" w:rsidP="00001000">
      <w:pPr>
        <w:pStyle w:val="Heading1"/>
      </w:pPr>
      <w:bookmarkStart w:id="1" w:name="O_494818"/>
      <w:bookmarkEnd w:id="1"/>
      <w:r w:rsidRPr="00001000">
        <w:t>Modification History</w:t>
      </w:r>
    </w:p>
    <w:tbl>
      <w:tblPr>
        <w:tblW w:w="0" w:type="auto"/>
        <w:tblLayout w:type="fixed"/>
        <w:tblCellMar>
          <w:left w:w="62" w:type="dxa"/>
          <w:right w:w="62" w:type="dxa"/>
        </w:tblCellMar>
        <w:tblLook w:val="0000"/>
      </w:tblPr>
      <w:tblGrid>
        <w:gridCol w:w="3052"/>
        <w:gridCol w:w="3052"/>
        <w:gridCol w:w="3052"/>
      </w:tblGrid>
      <w:tr w:rsidTr="00406C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BodyText"/>
            </w:pPr>
            <w:r w:rsidRPr="0000100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BodyText"/>
            </w:pPr>
            <w:r w:rsidRPr="0000100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SpecialBold"/>
              </w:rPr>
              <w:t>Comments</w:t>
            </w:r>
          </w:p>
        </w:tc>
      </w:tr>
      <w:tr w:rsidTr="00406C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 xml:space="preserve">Elements and performance criteria pre-content edited. </w:t>
            </w:r>
          </w:p>
        </w:tc>
      </w:tr>
      <w:tr w:rsidTr="00406C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Layout adjusted. No changes to content.</w:t>
            </w:r>
          </w:p>
        </w:tc>
      </w:tr>
      <w:tr w:rsidTr="00406C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BodyText"/>
            </w:pPr>
            <w:r w:rsidRPr="00001000">
              <w:t>Primary release.</w:t>
            </w:r>
          </w:p>
        </w:tc>
      </w:tr>
    </w:tbl>
    <w:p w:rsidR="00406CE2" w:rsidP="00001000">
      <w:pPr>
        <w:pStyle w:val="BodyText"/>
      </w:pPr>
    </w:p>
    <w:p w:rsidR="00406CE2" w:rsidP="00001000">
      <w:pPr>
        <w:pStyle w:val="BodyText"/>
      </w:pPr>
    </w:p>
    <w:p w:rsidR="00000000" w:rsidRPr="00001000" w:rsidP="00001000">
      <w:pPr>
        <w:pStyle w:val="Heading1"/>
      </w:pPr>
      <w:bookmarkStart w:id="2" w:name="O_494814"/>
      <w:bookmarkEnd w:id="2"/>
      <w:r w:rsidRPr="00001000">
        <w:t>Unit Descriptor</w:t>
      </w:r>
    </w:p>
    <w:p w:rsidR="00000000" w:rsidRPr="00001000" w:rsidP="00001000">
      <w:pPr>
        <w:pStyle w:val="BodyText"/>
      </w:pPr>
      <w:r w:rsidRPr="00001000">
        <w:t>This unit covers the ability to perform duties in a range of courts or jurisdictions. It includes confirming the requirements of the c</w:t>
      </w:r>
      <w:r w:rsidRPr="00001000">
        <w:t xml:space="preserve">ourt, performing court duties, and completing court documentation. </w:t>
      </w:r>
    </w:p>
    <w:p w:rsidR="00000000" w:rsidRPr="00001000" w:rsidP="00001000">
      <w:pPr>
        <w:pStyle w:val="BodyText"/>
      </w:pPr>
      <w:r w:rsidRPr="00001000">
        <w:t>In practice, performing court duties may overlap with other generalist or specialist public sector work activities, such as acting ethically, complying with legislation, working safely, wo</w:t>
      </w:r>
      <w:r w:rsidRPr="00001000">
        <w:t>rking with diversity and managing jurors.</w:t>
      </w:r>
    </w:p>
    <w:p w:rsidR="00000000" w:rsidRPr="00001000" w:rsidP="00001000">
      <w:pPr>
        <w:pStyle w:val="BodyText"/>
      </w:pPr>
      <w:r w:rsidRPr="00001000">
        <w:t>Court orderly functions are not included in this unit, but are addressed in detail in PSPCRT401C.</w:t>
      </w:r>
    </w:p>
    <w:p w:rsidR="00000000" w:rsidRPr="00001000" w:rsidP="00001000">
      <w:pPr>
        <w:pStyle w:val="BodyText"/>
      </w:pPr>
      <w:r w:rsidRPr="00001000">
        <w:t>No licensing, legislative, regulatory or certification requirements apply to this unit at the time of endorsement.</w:t>
      </w:r>
    </w:p>
    <w:p w:rsidR="00000000" w:rsidRPr="00001000" w:rsidP="00001000">
      <w:pPr>
        <w:pStyle w:val="AllowPageBreak"/>
      </w:pPr>
    </w:p>
    <w:p w:rsidR="00000000" w:rsidRPr="00001000" w:rsidP="00001000">
      <w:pPr>
        <w:pStyle w:val="Heading1"/>
      </w:pPr>
      <w:bookmarkStart w:id="3" w:name="O_494826"/>
      <w:bookmarkEnd w:id="3"/>
      <w:r w:rsidRPr="00001000">
        <w:t>Application of the Unit</w:t>
      </w:r>
    </w:p>
    <w:p w:rsidR="00000000" w:rsidRPr="00001000" w:rsidP="00001000">
      <w:pPr>
        <w:pStyle w:val="BodyText"/>
      </w:pPr>
      <w:r w:rsidRPr="00001000">
        <w:t>The duties associated with this unit may be carried out in a range of courts and tribunals by authorised court officials according to legislative and organisational policy and procedures.</w:t>
      </w:r>
    </w:p>
    <w:p w:rsidR="00000000" w:rsidRPr="00001000" w:rsidP="00001000">
      <w:pPr>
        <w:pStyle w:val="AllowPageBreak"/>
      </w:pPr>
    </w:p>
    <w:p w:rsidR="00000000" w:rsidRPr="00001000" w:rsidP="00001000">
      <w:pPr>
        <w:pStyle w:val="Heading1"/>
      </w:pPr>
      <w:bookmarkStart w:id="4" w:name="O_494813"/>
      <w:bookmarkEnd w:id="4"/>
      <w:r w:rsidRPr="00001000">
        <w:t>Licensing/R</w:t>
      </w:r>
      <w:r w:rsidRPr="00001000">
        <w:t>egulatory Information</w:t>
      </w:r>
    </w:p>
    <w:p w:rsidR="00000000" w:rsidRPr="00001000" w:rsidP="00001000">
      <w:pPr>
        <w:pStyle w:val="BodyText"/>
      </w:pPr>
      <w:r w:rsidRPr="00001000">
        <w:t>Not applicable.</w:t>
      </w:r>
    </w:p>
    <w:p w:rsidR="00000000" w:rsidRPr="00001000" w:rsidP="00001000">
      <w:pPr>
        <w:pStyle w:val="AllowPageBreak"/>
      </w:pPr>
    </w:p>
    <w:p w:rsidR="00000000" w:rsidRPr="00001000" w:rsidP="00001000">
      <w:pPr>
        <w:pStyle w:val="Heading1"/>
      </w:pPr>
      <w:bookmarkStart w:id="5" w:name="O_494816"/>
      <w:bookmarkEnd w:id="5"/>
      <w:r w:rsidRPr="00001000">
        <w:t>Pre-Requisites</w:t>
      </w:r>
    </w:p>
    <w:p w:rsidR="00000000" w:rsidRPr="00001000" w:rsidP="00001000">
      <w:pPr>
        <w:pStyle w:val="BodyText"/>
      </w:pPr>
      <w:r w:rsidRPr="00001000">
        <w:t>Not applicable.</w:t>
      </w:r>
    </w:p>
    <w:p w:rsidR="00000000" w:rsidRPr="00001000" w:rsidP="00001000">
      <w:pPr>
        <w:pStyle w:val="AllowPageBreak"/>
      </w:pPr>
    </w:p>
    <w:p w:rsidR="00000000" w:rsidRPr="00001000" w:rsidP="00001000">
      <w:pPr>
        <w:pStyle w:val="Heading1"/>
      </w:pPr>
      <w:bookmarkStart w:id="6" w:name="O_494821"/>
      <w:bookmarkEnd w:id="6"/>
      <w:r w:rsidRPr="00001000">
        <w:t>Employability Skills Information</w:t>
      </w:r>
    </w:p>
    <w:p w:rsidR="00000000" w:rsidRPr="00001000" w:rsidP="00001000">
      <w:pPr>
        <w:pStyle w:val="BodyText"/>
      </w:pPr>
      <w:r w:rsidRPr="00001000">
        <w:t>This unit contains employability skills.</w:t>
      </w:r>
    </w:p>
    <w:p w:rsidR="00000000" w:rsidRPr="00001000" w:rsidP="00001000">
      <w:pPr>
        <w:pStyle w:val="AllowPageBreak"/>
      </w:pPr>
    </w:p>
    <w:p w:rsidR="00000000" w:rsidRPr="00001000" w:rsidP="00001000">
      <w:pPr>
        <w:pStyle w:val="Heading1"/>
      </w:pPr>
      <w:bookmarkStart w:id="7" w:name="O_494822"/>
      <w:bookmarkEnd w:id="7"/>
      <w:r w:rsidRPr="00001000">
        <w:t>Elements and Performance Criteria Pre-Content</w:t>
      </w:r>
    </w:p>
    <w:tbl>
      <w:tblPr>
        <w:tblW w:w="0" w:type="auto"/>
        <w:tblLayout w:type="fixed"/>
        <w:tblCellMar>
          <w:left w:w="62" w:type="dxa"/>
          <w:right w:w="62" w:type="dxa"/>
        </w:tblCellMar>
        <w:tblLook w:val="0000"/>
      </w:tblPr>
      <w:tblGrid>
        <w:gridCol w:w="2606"/>
        <w:gridCol w:w="5916"/>
      </w:tblGrid>
      <w:tr w:rsidTr="00406CE2">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t>Elements describ</w:t>
            </w:r>
            <w:r w:rsidRPr="00001000">
              <w:t>e the essential outcomes of a unit of competency.</w:t>
            </w:r>
          </w:p>
        </w:tc>
        <w:tc>
          <w:tcPr>
            <w:tcW w:w="5916" w:type="dxa"/>
            <w:tcBorders>
              <w:top w:val="nil"/>
              <w:left w:val="nil"/>
              <w:bottom w:val="nil"/>
              <w:right w:val="nil"/>
            </w:tcBorders>
            <w:tcMar>
              <w:top w:w="0" w:type="dxa"/>
              <w:left w:w="62" w:type="dxa"/>
              <w:bottom w:w="0" w:type="dxa"/>
              <w:right w:w="62" w:type="dxa"/>
            </w:tcMar>
          </w:tcPr>
          <w:p w:rsidR="00000000" w:rsidRPr="00001000" w:rsidP="00001000">
            <w:pPr>
              <w:pStyle w:val="BodyText"/>
            </w:pPr>
            <w:r w:rsidRPr="00001000">
              <w:t xml:space="preserve">Performance criteria describe the performance needed to demonstrate achievement of the element. Where </w:t>
            </w:r>
            <w:r w:rsidRPr="00001000">
              <w:rPr>
                <w:rStyle w:val="BoldandItalics"/>
              </w:rPr>
              <w:t>bold italicised</w:t>
            </w:r>
            <w:r w:rsidRPr="00001000">
              <w:t xml:space="preserve"> text is used, further information is detailed in the range statement. Assessment of performance is to be consistent with the evidence guide.</w:t>
            </w:r>
          </w:p>
        </w:tc>
      </w:tr>
    </w:tbl>
    <w:p w:rsidR="00000000" w:rsidRPr="00001000" w:rsidP="00001000">
      <w:pPr>
        <w:pStyle w:val="BodyText"/>
      </w:pPr>
    </w:p>
    <w:p w:rsidR="00000000" w:rsidRPr="00001000" w:rsidP="00001000">
      <w:pPr>
        <w:pStyle w:val="AllowPageBreak"/>
      </w:pPr>
    </w:p>
    <w:p w:rsidR="00000000" w:rsidRPr="00001000" w:rsidP="00001000">
      <w:pPr>
        <w:pStyle w:val="Heading1"/>
      </w:pPr>
      <w:bookmarkStart w:id="8" w:name="O_494823"/>
      <w:bookmarkEnd w:id="8"/>
      <w:r w:rsidRPr="00001000">
        <w:t>Elements and Performance Criteria</w:t>
      </w:r>
    </w:p>
    <w:tbl>
      <w:tblPr>
        <w:tblW w:w="0" w:type="auto"/>
        <w:tblLayout w:type="fixed"/>
        <w:tblCellMar>
          <w:left w:w="62" w:type="dxa"/>
          <w:right w:w="62" w:type="dxa"/>
        </w:tblCellMar>
        <w:tblLook w:val="0000"/>
      </w:tblPr>
      <w:tblGrid>
        <w:gridCol w:w="2606"/>
        <w:gridCol w:w="5916"/>
      </w:tblGrid>
      <w:tr w:rsidTr="00406CE2">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RPr="00001000" w:rsidP="00001000">
            <w:pPr>
              <w:pStyle w:val="BodyText"/>
            </w:pPr>
            <w:r w:rsidRPr="00001000">
              <w:rPr>
                <w:rStyle w:val="SpecialBold"/>
              </w:rPr>
              <w:t>ELEMENT</w:t>
            </w:r>
          </w:p>
        </w:tc>
        <w:tc>
          <w:tcPr>
            <w:tcW w:w="5916"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PERFORMANCE CRITERIA</w:t>
            </w:r>
          </w:p>
        </w:tc>
      </w:tr>
      <w:tr w:rsidTr="00406CE2">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001000">
            <w:pPr>
              <w:pStyle w:val="List"/>
              <w:rPr>
                <w:lang w:val="en-NZ"/>
              </w:rPr>
            </w:pPr>
            <w:r w:rsidRPr="00001000">
              <w:rPr>
                <w:rStyle w:val="SpecialBold"/>
              </w:rPr>
              <w:t>1.</w:t>
            </w:r>
            <w:r w:rsidRPr="00001000">
              <w:rPr>
                <w:rStyle w:val="SpecialBold"/>
              </w:rPr>
              <w:tab/>
              <w:t>Confirm court requirements.</w:t>
            </w:r>
          </w:p>
        </w:tc>
        <w:tc>
          <w:tcPr>
            <w:tcW w:w="5916" w:type="dxa"/>
            <w:tcBorders>
              <w:top w:val="nil"/>
              <w:left w:val="nil"/>
              <w:bottom w:val="nil"/>
              <w:right w:val="nil"/>
            </w:tcBorders>
            <w:tcMar>
              <w:top w:w="0" w:type="dxa"/>
              <w:left w:w="62" w:type="dxa"/>
              <w:bottom w:w="0" w:type="dxa"/>
              <w:right w:w="62" w:type="dxa"/>
            </w:tcMar>
          </w:tcPr>
          <w:p w:rsidR="00000000" w:rsidRPr="00001000" w:rsidP="00001000">
            <w:pPr>
              <w:pStyle w:val="List"/>
            </w:pPr>
            <w:r w:rsidRPr="00001000">
              <w:t>1.1.</w:t>
            </w:r>
            <w:r w:rsidRPr="00001000">
              <w:tab/>
            </w:r>
            <w:r w:rsidRPr="00001000">
              <w:rPr>
                <w:rStyle w:val="BoldandItalics"/>
              </w:rPr>
              <w:t>Court</w:t>
            </w:r>
            <w:r w:rsidRPr="00001000">
              <w:t xml:space="preserve"> or </w:t>
            </w:r>
            <w:r w:rsidRPr="00001000">
              <w:rPr>
                <w:rStyle w:val="BoldandItalics"/>
              </w:rPr>
              <w:t>jurisdiction</w:t>
            </w:r>
            <w:r w:rsidRPr="00001000">
              <w:t xml:space="preserve"> is identified, and its sittings are confirmed.</w:t>
            </w:r>
          </w:p>
          <w:p w:rsidR="00000000" w:rsidRPr="00001000" w:rsidP="00001000">
            <w:pPr>
              <w:pStyle w:val="List"/>
            </w:pPr>
            <w:r w:rsidRPr="00001000">
              <w:t>1.2.</w:t>
            </w:r>
            <w:r w:rsidRPr="00001000">
              <w:tab/>
            </w:r>
            <w:r w:rsidRPr="00001000">
              <w:rPr>
                <w:rStyle w:val="BoldandItalics"/>
              </w:rPr>
              <w:t>Types of proceedings</w:t>
            </w:r>
            <w:r w:rsidRPr="00001000">
              <w:t xml:space="preserve"> and </w:t>
            </w:r>
            <w:r w:rsidRPr="00001000">
              <w:rPr>
                <w:rStyle w:val="BoldandItalics"/>
              </w:rPr>
              <w:t>matters</w:t>
            </w:r>
            <w:r w:rsidRPr="00001000">
              <w:t xml:space="preserve"> to be heard are identified and </w:t>
            </w:r>
            <w:r w:rsidRPr="00001000">
              <w:rPr>
                <w:rStyle w:val="BoldandItalics"/>
              </w:rPr>
              <w:t>special requirements</w:t>
            </w:r>
            <w:r w:rsidRPr="00001000">
              <w:t xml:space="preserve"> are confirmed with presiding official.</w:t>
            </w:r>
          </w:p>
          <w:p w:rsidR="00000000" w:rsidRPr="00001000" w:rsidP="00001000">
            <w:pPr>
              <w:pStyle w:val="List"/>
            </w:pPr>
            <w:r w:rsidRPr="00001000">
              <w:t>1.3.</w:t>
            </w:r>
            <w:r w:rsidRPr="00001000">
              <w:tab/>
            </w:r>
            <w:r w:rsidRPr="00001000">
              <w:rPr>
                <w:rStyle w:val="BoldandItalics"/>
              </w:rPr>
              <w:t>Parties</w:t>
            </w:r>
            <w:r w:rsidRPr="00001000">
              <w:t xml:space="preserve"> to be in attendance are identified accor</w:t>
            </w:r>
            <w:r w:rsidRPr="00001000">
              <w:t>ding to requirements specific to the court and the matters to be heard.</w:t>
            </w:r>
          </w:p>
          <w:p w:rsidR="00000000" w:rsidP="00001000">
            <w:pPr>
              <w:pStyle w:val="List"/>
              <w:rPr>
                <w:lang w:val="en-NZ"/>
              </w:rPr>
            </w:pPr>
            <w:r w:rsidRPr="00001000">
              <w:t>1.4.</w:t>
            </w:r>
            <w:r w:rsidRPr="00001000">
              <w:tab/>
            </w:r>
            <w:r w:rsidRPr="00001000">
              <w:rPr>
                <w:rStyle w:val="BoldandItalics"/>
              </w:rPr>
              <w:t>Court layout</w:t>
            </w:r>
            <w:r w:rsidRPr="00001000">
              <w:t xml:space="preserve"> and </w:t>
            </w:r>
            <w:r w:rsidRPr="00001000">
              <w:rPr>
                <w:rStyle w:val="BoldandItalics"/>
              </w:rPr>
              <w:t>equipment and technology</w:t>
            </w:r>
            <w:r w:rsidRPr="00001000">
              <w:t xml:space="preserve"> requirements are identified according to the requirements of the court and legal practitioners.</w:t>
            </w:r>
          </w:p>
        </w:tc>
      </w:tr>
      <w:tr w:rsidTr="00406CE2">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001000">
            <w:pPr>
              <w:pStyle w:val="List"/>
              <w:rPr>
                <w:lang w:val="en-NZ"/>
              </w:rPr>
            </w:pPr>
            <w:r w:rsidRPr="00001000">
              <w:rPr>
                <w:rStyle w:val="SpecialBold"/>
              </w:rPr>
              <w:t>2.</w:t>
            </w:r>
            <w:r w:rsidRPr="00001000">
              <w:rPr>
                <w:rStyle w:val="SpecialBold"/>
              </w:rPr>
              <w:tab/>
              <w:t>Undertake activities as part of court</w:t>
            </w:r>
            <w:r w:rsidRPr="00001000">
              <w:rPr>
                <w:rStyle w:val="SpecialBold"/>
              </w:rPr>
              <w:t xml:space="preserve"> duties.</w:t>
            </w:r>
          </w:p>
        </w:tc>
        <w:tc>
          <w:tcPr>
            <w:tcW w:w="5916" w:type="dxa"/>
            <w:tcBorders>
              <w:top w:val="nil"/>
              <w:left w:val="nil"/>
              <w:bottom w:val="nil"/>
              <w:right w:val="nil"/>
            </w:tcBorders>
            <w:tcMar>
              <w:top w:w="0" w:type="dxa"/>
              <w:left w:w="62" w:type="dxa"/>
              <w:bottom w:w="0" w:type="dxa"/>
              <w:right w:w="62" w:type="dxa"/>
            </w:tcMar>
          </w:tcPr>
          <w:p w:rsidR="00000000" w:rsidRPr="00001000" w:rsidP="00001000">
            <w:pPr>
              <w:pStyle w:val="List"/>
            </w:pPr>
            <w:r w:rsidRPr="00001000">
              <w:t>2.1.</w:t>
            </w:r>
            <w:r w:rsidRPr="00001000">
              <w:tab/>
            </w:r>
            <w:r w:rsidRPr="00001000">
              <w:rPr>
                <w:rStyle w:val="BoldandItalics"/>
              </w:rPr>
              <w:t>Court duties</w:t>
            </w:r>
            <w:r w:rsidRPr="00001000">
              <w:t xml:space="preserve"> are performed according to </w:t>
            </w:r>
            <w:r w:rsidRPr="00001000">
              <w:rPr>
                <w:rStyle w:val="BoldandItalics"/>
              </w:rPr>
              <w:t>general protocols and procedures</w:t>
            </w:r>
            <w:r w:rsidRPr="00001000">
              <w:t>.</w:t>
            </w:r>
          </w:p>
          <w:p w:rsidR="00000000" w:rsidRPr="00001000" w:rsidP="00001000">
            <w:pPr>
              <w:pStyle w:val="List"/>
            </w:pPr>
            <w:r w:rsidRPr="00001000">
              <w:t>2.2.</w:t>
            </w:r>
            <w:r w:rsidRPr="00001000">
              <w:tab/>
            </w:r>
            <w:r w:rsidRPr="00001000">
              <w:rPr>
                <w:rStyle w:val="BoldandItalics"/>
              </w:rPr>
              <w:t>Terminology</w:t>
            </w:r>
            <w:r w:rsidRPr="00001000">
              <w:t xml:space="preserve"> used in and about court precincts is applied in accordance with legislative requirements.</w:t>
            </w:r>
          </w:p>
          <w:p w:rsidR="00000000" w:rsidRPr="00001000" w:rsidP="00001000">
            <w:pPr>
              <w:pStyle w:val="List"/>
            </w:pPr>
            <w:r w:rsidRPr="00001000">
              <w:t>2.3.</w:t>
            </w:r>
            <w:r w:rsidRPr="00001000">
              <w:tab/>
            </w:r>
            <w:r w:rsidRPr="00001000">
              <w:rPr>
                <w:rStyle w:val="BoldandItalics"/>
              </w:rPr>
              <w:t>Duties specific to court's jurisdiction</w:t>
            </w:r>
            <w:r w:rsidRPr="00001000">
              <w:t xml:space="preserve"> are performed in</w:t>
            </w:r>
            <w:r w:rsidRPr="00001000">
              <w:t xml:space="preserve"> accordance with </w:t>
            </w:r>
            <w:r w:rsidRPr="00001000">
              <w:rPr>
                <w:rStyle w:val="BoldandItalics"/>
              </w:rPr>
              <w:t>legislation</w:t>
            </w:r>
            <w:r w:rsidRPr="00001000">
              <w:t xml:space="preserve"> and organisational policy and procedures.</w:t>
            </w:r>
          </w:p>
          <w:p w:rsidR="00000000" w:rsidP="00001000">
            <w:pPr>
              <w:pStyle w:val="List"/>
              <w:rPr>
                <w:lang w:val="en-NZ"/>
              </w:rPr>
            </w:pPr>
            <w:r w:rsidRPr="00001000">
              <w:t>2.4.</w:t>
            </w:r>
            <w:r w:rsidRPr="00001000">
              <w:tab/>
              <w:t>Diaries are distributed to other centres in accordance with legislative requirements.</w:t>
            </w:r>
          </w:p>
        </w:tc>
      </w:tr>
      <w:tr w:rsidTr="00406CE2">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001000">
            <w:pPr>
              <w:pStyle w:val="List"/>
              <w:rPr>
                <w:lang w:val="en-NZ"/>
              </w:rPr>
            </w:pPr>
            <w:r w:rsidRPr="00001000">
              <w:rPr>
                <w:rStyle w:val="SpecialBold"/>
              </w:rPr>
              <w:t>3.</w:t>
            </w:r>
            <w:r w:rsidRPr="00001000">
              <w:rPr>
                <w:rStyle w:val="SpecialBold"/>
              </w:rPr>
              <w:tab/>
              <w:t>Complete court documentation.</w:t>
            </w:r>
          </w:p>
        </w:tc>
        <w:tc>
          <w:tcPr>
            <w:tcW w:w="5916" w:type="dxa"/>
            <w:tcBorders>
              <w:top w:val="nil"/>
              <w:left w:val="nil"/>
              <w:bottom w:val="nil"/>
              <w:right w:val="nil"/>
            </w:tcBorders>
            <w:tcMar>
              <w:top w:w="0" w:type="dxa"/>
              <w:left w:w="62" w:type="dxa"/>
              <w:bottom w:w="0" w:type="dxa"/>
              <w:right w:w="62" w:type="dxa"/>
            </w:tcMar>
          </w:tcPr>
          <w:p w:rsidR="00000000" w:rsidRPr="00001000" w:rsidP="00001000">
            <w:pPr>
              <w:pStyle w:val="List"/>
            </w:pPr>
            <w:r w:rsidRPr="00001000">
              <w:t>3.1.</w:t>
            </w:r>
            <w:r w:rsidRPr="00001000">
              <w:tab/>
            </w:r>
            <w:r w:rsidRPr="00001000">
              <w:rPr>
                <w:rStyle w:val="BoldandItalics"/>
              </w:rPr>
              <w:t>Records</w:t>
            </w:r>
            <w:r w:rsidRPr="00001000">
              <w:t xml:space="preserve"> required prior to court commencement and/or at </w:t>
            </w:r>
            <w:r w:rsidRPr="00001000">
              <w:t>conclusion are completed in accordance with legislative and organisational requirements.</w:t>
            </w:r>
          </w:p>
          <w:p w:rsidR="00000000" w:rsidRPr="00001000" w:rsidP="00001000">
            <w:pPr>
              <w:pStyle w:val="List"/>
            </w:pPr>
            <w:r w:rsidRPr="00001000">
              <w:t>3.2.</w:t>
            </w:r>
            <w:r w:rsidRPr="00001000">
              <w:tab/>
            </w:r>
            <w:r w:rsidRPr="00001000">
              <w:rPr>
                <w:rStyle w:val="BoldandItalics"/>
              </w:rPr>
              <w:t>Documentary requirements</w:t>
            </w:r>
            <w:r w:rsidRPr="00001000">
              <w:t xml:space="preserve"> of court outcomes are identified and completed in accordance with legislative and organisational requirements.</w:t>
            </w:r>
          </w:p>
        </w:tc>
      </w:tr>
    </w:tbl>
    <w:p w:rsidR="00000000" w:rsidRPr="00001000" w:rsidP="00001000">
      <w:pPr>
        <w:pStyle w:val="BodyText"/>
      </w:pPr>
    </w:p>
    <w:p w:rsidR="00000000" w:rsidRPr="00001000" w:rsidP="00001000">
      <w:pPr>
        <w:pStyle w:val="AllowPageBreak"/>
      </w:pPr>
    </w:p>
    <w:p w:rsidR="00000000" w:rsidRPr="00001000" w:rsidP="00001000">
      <w:pPr>
        <w:pStyle w:val="Heading1"/>
      </w:pPr>
      <w:bookmarkStart w:id="9" w:name="O_494820"/>
      <w:bookmarkEnd w:id="9"/>
      <w:r w:rsidRPr="00001000">
        <w:t>Required Skills and Knowledge</w:t>
      </w:r>
    </w:p>
    <w:tbl>
      <w:tblPr>
        <w:tblW w:w="0" w:type="auto"/>
        <w:tblLayout w:type="fixed"/>
        <w:tblCellMar>
          <w:left w:w="62" w:type="dxa"/>
          <w:right w:w="62" w:type="dxa"/>
        </w:tblCellMar>
        <w:tblLook w:val="0000"/>
      </w:tblPr>
      <w:tblGrid>
        <w:gridCol w:w="8522"/>
      </w:tblGrid>
      <w:tr w:rsidTr="00406C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t>This section describes the skills and knowledge required for this unit.</w:t>
            </w:r>
          </w:p>
        </w:tc>
      </w:tr>
      <w:tr w:rsidTr="00406C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Required skills</w:t>
            </w:r>
          </w:p>
        </w:tc>
      </w:tr>
      <w:tr w:rsidTr="00406C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1000" w:rsidP="00001000">
            <w:pPr>
              <w:pStyle w:val="ListBullet"/>
            </w:pPr>
            <w:r w:rsidRPr="00001000">
              <w:t>initiative and enterprise skills to apply:</w:t>
            </w:r>
          </w:p>
          <w:p w:rsidR="00000000" w:rsidRPr="00001000" w:rsidP="00001000">
            <w:pPr>
              <w:pStyle w:val="ListBullet2"/>
            </w:pPr>
            <w:r w:rsidRPr="00001000">
              <w:t>legislative requirements relating to performing court duties</w:t>
            </w:r>
          </w:p>
          <w:p w:rsidR="00000000" w:rsidRPr="00001000" w:rsidP="00001000">
            <w:pPr>
              <w:pStyle w:val="ListBullet2"/>
            </w:pPr>
            <w:r w:rsidRPr="00001000">
              <w:t>procedures relating to public sector legislation, such as OHS procedures relating to working in a court environment</w:t>
            </w:r>
          </w:p>
          <w:p w:rsidR="00000000" w:rsidRPr="00001000" w:rsidP="00001000">
            <w:pPr>
              <w:pStyle w:val="ListBullet"/>
            </w:pPr>
            <w:r w:rsidRPr="00001000">
              <w:t>communication skills to:</w:t>
            </w:r>
          </w:p>
          <w:p w:rsidR="00000000" w:rsidRPr="00001000" w:rsidP="00001000">
            <w:pPr>
              <w:pStyle w:val="ListBullet2"/>
            </w:pPr>
            <w:r w:rsidRPr="00001000">
              <w:t>elicit information from persons attending court</w:t>
            </w:r>
          </w:p>
          <w:p w:rsidR="00000000" w:rsidRPr="00001000" w:rsidP="00001000">
            <w:pPr>
              <w:pStyle w:val="ListBullet2"/>
            </w:pPr>
            <w:r w:rsidRPr="00001000">
              <w:t>announce persons in court</w:t>
            </w:r>
          </w:p>
          <w:p w:rsidR="00000000" w:rsidRPr="00001000" w:rsidP="00001000">
            <w:pPr>
              <w:pStyle w:val="ListBullet"/>
            </w:pPr>
            <w:r w:rsidRPr="00001000">
              <w:t>interpersonal skills to respond to div</w:t>
            </w:r>
            <w:r w:rsidRPr="00001000">
              <w:t>ersity, including gender and disability</w:t>
            </w:r>
          </w:p>
          <w:p w:rsidR="00000000" w:rsidRPr="00001000" w:rsidP="00001000">
            <w:pPr>
              <w:pStyle w:val="ListBullet"/>
            </w:pPr>
            <w:r w:rsidRPr="00001000">
              <w:t>literacy skills to:</w:t>
            </w:r>
          </w:p>
          <w:p w:rsidR="00000000" w:rsidRPr="00001000" w:rsidP="00001000">
            <w:pPr>
              <w:pStyle w:val="ListBullet"/>
            </w:pPr>
            <w:r w:rsidRPr="00001000">
              <w:t>accurately complete court forms and documentation</w:t>
            </w:r>
          </w:p>
          <w:p w:rsidR="00000000" w:rsidRPr="00001000" w:rsidP="00001000">
            <w:pPr>
              <w:pStyle w:val="ListBullet2"/>
            </w:pPr>
            <w:r w:rsidRPr="00001000">
              <w:t xml:space="preserve">complete statistical returns </w:t>
            </w:r>
          </w:p>
          <w:p w:rsidR="00000000" w:rsidP="00001000">
            <w:pPr>
              <w:pStyle w:val="ListBullet"/>
              <w:rPr>
                <w:lang w:val="en-NZ"/>
              </w:rPr>
            </w:pPr>
            <w:r w:rsidRPr="00001000">
              <w:t>technology skills to operate court technology</w:t>
            </w:r>
          </w:p>
        </w:tc>
      </w:tr>
      <w:tr w:rsidTr="00406C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Required knowledge</w:t>
            </w:r>
          </w:p>
        </w:tc>
      </w:tr>
      <w:tr w:rsidTr="00406C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1000" w:rsidP="00001000">
            <w:pPr>
              <w:pStyle w:val="ListBullet"/>
            </w:pPr>
            <w:r w:rsidRPr="00001000">
              <w:t>legislation, regulations, policies, procedures and guidelines relating to court duties</w:t>
            </w:r>
          </w:p>
          <w:p w:rsidR="00000000" w:rsidRPr="00001000" w:rsidP="00001000">
            <w:pPr>
              <w:pStyle w:val="ListBullet"/>
            </w:pPr>
            <w:r w:rsidRPr="00001000">
              <w:t>court hierarchy and jurisdictions</w:t>
            </w:r>
          </w:p>
          <w:p w:rsidR="00000000" w:rsidRPr="00001000" w:rsidP="00001000">
            <w:pPr>
              <w:pStyle w:val="ListBullet"/>
            </w:pPr>
            <w:r w:rsidRPr="00001000">
              <w:t>relevant court proceedings and terminology</w:t>
            </w:r>
          </w:p>
          <w:p w:rsidR="00000000" w:rsidRPr="00001000" w:rsidP="00001000">
            <w:pPr>
              <w:pStyle w:val="ListBullet"/>
            </w:pPr>
            <w:r w:rsidRPr="00001000">
              <w:t>court layout, procedures and protocols</w:t>
            </w:r>
          </w:p>
          <w:p w:rsidR="00000000" w:rsidRPr="00001000" w:rsidP="00001000">
            <w:pPr>
              <w:pStyle w:val="ListBullet"/>
            </w:pPr>
            <w:r w:rsidRPr="00001000">
              <w:t>requirements of and offences under enabling legislati</w:t>
            </w:r>
            <w:r w:rsidRPr="00001000">
              <w:t>on</w:t>
            </w:r>
          </w:p>
          <w:p w:rsidR="00000000" w:rsidRPr="00001000" w:rsidP="00001000">
            <w:pPr>
              <w:pStyle w:val="ListBullet"/>
            </w:pPr>
            <w:r w:rsidRPr="00001000">
              <w:t>operational procedures</w:t>
            </w:r>
          </w:p>
          <w:p w:rsidR="00000000" w:rsidRPr="00001000" w:rsidP="00001000">
            <w:pPr>
              <w:pStyle w:val="ListBullet"/>
            </w:pPr>
            <w:r w:rsidRPr="00001000">
              <w:t>equal employment opportunity principles</w:t>
            </w:r>
          </w:p>
          <w:p w:rsidR="00000000" w:rsidRPr="00001000" w:rsidP="00001000">
            <w:pPr>
              <w:pStyle w:val="ListBullet"/>
            </w:pPr>
            <w:r w:rsidRPr="00001000">
              <w:t>equity and diversity principles</w:t>
            </w:r>
          </w:p>
          <w:p w:rsidR="00000000" w:rsidRPr="00001000" w:rsidP="00001000">
            <w:pPr>
              <w:pStyle w:val="ListBullet"/>
            </w:pPr>
            <w:r w:rsidRPr="00001000">
              <w:t>working ethically</w:t>
            </w:r>
          </w:p>
          <w:p w:rsidR="00000000" w:rsidRPr="00001000" w:rsidP="00001000">
            <w:pPr>
              <w:pStyle w:val="ListBullet"/>
            </w:pPr>
            <w:r w:rsidRPr="00001000">
              <w:t>public sector legislation, such as OHS and environment in the context of court duties</w:t>
            </w:r>
          </w:p>
        </w:tc>
      </w:tr>
    </w:tbl>
    <w:p w:rsidR="00000000" w:rsidRPr="00001000" w:rsidP="00001000">
      <w:pPr>
        <w:pStyle w:val="BodyText"/>
      </w:pPr>
    </w:p>
    <w:p w:rsidR="00000000" w:rsidRPr="00001000" w:rsidP="00001000">
      <w:pPr>
        <w:pStyle w:val="AllowPageBreak"/>
      </w:pPr>
    </w:p>
    <w:p w:rsidR="00000000" w:rsidRPr="00001000" w:rsidP="00001000">
      <w:pPr>
        <w:pStyle w:val="Heading1"/>
      </w:pPr>
      <w:bookmarkStart w:id="10" w:name="O_494812"/>
      <w:bookmarkEnd w:id="10"/>
      <w:r w:rsidRPr="00001000">
        <w:t>Evidence Guide</w:t>
      </w:r>
    </w:p>
    <w:tbl>
      <w:tblPr>
        <w:tblW w:w="9608" w:type="dxa"/>
        <w:tblLayout w:type="fixed"/>
        <w:tblCellMar>
          <w:left w:w="62" w:type="dxa"/>
          <w:right w:w="62" w:type="dxa"/>
        </w:tblCellMar>
        <w:tblLook w:val="0000"/>
      </w:tblPr>
      <w:tblGrid>
        <w:gridCol w:w="2808"/>
        <w:gridCol w:w="6800"/>
      </w:tblGrid>
      <w:tr w:rsidTr="00406CE2">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t>The Evidence Guide provides advice on assessment and must be read in conjunction with the performance criteria, required skills and knowledge, range statement and the Assessment Guidelines for the Training Package.</w:t>
            </w:r>
          </w:p>
        </w:tc>
      </w:tr>
      <w:tr w:rsidTr="00406C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Critical aspects for assessment and evi</w:t>
            </w:r>
            <w:r w:rsidRPr="00001000">
              <w:rPr>
                <w:rStyle w:val="SpecialBold"/>
              </w:rPr>
              <w:t>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001000" w:rsidP="00001000">
            <w:pPr>
              <w:pStyle w:val="BodyText"/>
            </w:pPr>
            <w:r w:rsidRPr="00001000">
              <w:t>Assessment must confirm the ability to:</w:t>
            </w:r>
          </w:p>
          <w:p w:rsidR="00000000" w:rsidRPr="00001000" w:rsidP="00001000">
            <w:pPr>
              <w:pStyle w:val="ListBullet"/>
            </w:pPr>
            <w:r w:rsidRPr="00001000">
              <w:t>use information to identify and confirm requirements relevant to court, jurisdiction, parties and proceedings</w:t>
            </w:r>
          </w:p>
          <w:p w:rsidR="00000000" w:rsidRPr="00001000" w:rsidP="00001000">
            <w:pPr>
              <w:pStyle w:val="ListBullet"/>
            </w:pPr>
            <w:r w:rsidRPr="00001000">
              <w:t>apply terminology in accordance with court protocol</w:t>
            </w:r>
          </w:p>
          <w:p w:rsidR="00000000" w:rsidRPr="00001000" w:rsidP="00001000">
            <w:pPr>
              <w:pStyle w:val="ListBullet"/>
            </w:pPr>
            <w:r w:rsidRPr="00001000">
              <w:t xml:space="preserve">perform duties specific to court's jurisdiction </w:t>
            </w:r>
          </w:p>
          <w:p w:rsidR="00000000" w:rsidRPr="00001000" w:rsidP="00001000">
            <w:pPr>
              <w:pStyle w:val="ListBullet"/>
            </w:pPr>
            <w:r w:rsidRPr="00001000">
              <w:t>identify and complete documentary requirements</w:t>
            </w:r>
          </w:p>
          <w:p w:rsidR="00000000" w:rsidRPr="00001000" w:rsidP="00001000">
            <w:pPr>
              <w:pStyle w:val="ListBullet"/>
            </w:pPr>
            <w:r w:rsidRPr="00001000">
              <w:t>apply legislative and organisational policies, procedures and protocols</w:t>
            </w:r>
          </w:p>
          <w:p w:rsidR="00000000" w:rsidRPr="00001000" w:rsidP="00001000">
            <w:pPr>
              <w:pStyle w:val="BodyText"/>
            </w:pPr>
            <w:r w:rsidRPr="00001000">
              <w:rPr>
                <w:rStyle w:val="SpecialBold"/>
              </w:rPr>
              <w:t>Consistency in performance</w:t>
            </w:r>
          </w:p>
          <w:p w:rsidR="00000000" w:rsidP="00001000">
            <w:pPr>
              <w:pStyle w:val="BodyText"/>
              <w:rPr>
                <w:lang w:val="en-NZ"/>
              </w:rPr>
            </w:pPr>
            <w:r w:rsidRPr="00001000">
              <w:t>Competency should be demonstrated by performing court duties on a range of occasions, over time.</w:t>
            </w:r>
          </w:p>
        </w:tc>
      </w:tr>
      <w:tr w:rsidTr="00406C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001000" w:rsidP="00001000">
            <w:pPr>
              <w:pStyle w:val="BodyText"/>
            </w:pPr>
            <w:r w:rsidRPr="00001000">
              <w:t>Assessment must comply with:</w:t>
            </w:r>
          </w:p>
          <w:p w:rsidR="00000000" w:rsidRPr="00001000" w:rsidP="00001000">
            <w:pPr>
              <w:pStyle w:val="ListBullet"/>
            </w:pPr>
            <w:r w:rsidRPr="00001000">
              <w:t>applicable regulations and codes</w:t>
            </w:r>
          </w:p>
          <w:p w:rsidR="00000000" w:rsidRPr="00001000" w:rsidP="00001000">
            <w:pPr>
              <w:pStyle w:val="ListBullet"/>
            </w:pPr>
            <w:r w:rsidRPr="00001000">
              <w:t>workplace procedures and protocols.</w:t>
            </w:r>
          </w:p>
          <w:p w:rsidR="00000000" w:rsidRPr="00001000" w:rsidP="00001000">
            <w:pPr>
              <w:pStyle w:val="BodyText"/>
            </w:pPr>
            <w:r w:rsidRPr="00001000">
              <w:t>Access may</w:t>
            </w:r>
            <w:r w:rsidRPr="00001000">
              <w:t xml:space="preserve"> be required to:</w:t>
            </w:r>
          </w:p>
          <w:p w:rsidR="00000000" w:rsidRPr="00001000" w:rsidP="00001000">
            <w:pPr>
              <w:pStyle w:val="ListBullet"/>
            </w:pPr>
            <w:r w:rsidRPr="00001000">
              <w:t>a workplace environment or one that closely resembles normal work practices and replicates the range of conditions likely to be encountered when performing court duties, including coping with difficulties, irregularities and breakdowns in</w:t>
            </w:r>
            <w:r w:rsidRPr="00001000">
              <w:t xml:space="preserve"> routine</w:t>
            </w:r>
          </w:p>
          <w:p w:rsidR="00000000" w:rsidRPr="00001000" w:rsidP="00001000">
            <w:pPr>
              <w:pStyle w:val="ListBullet"/>
            </w:pPr>
            <w:r w:rsidRPr="00001000">
              <w:t>legislation, policy, procedures and protocols relating to court duties</w:t>
            </w:r>
          </w:p>
          <w:p w:rsidR="00000000" w:rsidP="00001000">
            <w:pPr>
              <w:pStyle w:val="ListBullet"/>
              <w:rPr>
                <w:lang w:val="en-NZ"/>
              </w:rPr>
            </w:pPr>
            <w:r w:rsidRPr="00001000">
              <w:t>case studies and workplace scenarios to capture the range of situations likely to be encountered when performing court duties</w:t>
            </w:r>
          </w:p>
        </w:tc>
      </w:tr>
      <w:tr w:rsidTr="00406CE2">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01000">
            <w:pPr>
              <w:pStyle w:val="BodyText"/>
              <w:rPr>
                <w:lang w:val="en-NZ"/>
              </w:rPr>
            </w:pPr>
            <w:r w:rsidRPr="00001000">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001000" w:rsidP="00001000">
            <w:pPr>
              <w:pStyle w:val="BodyText"/>
            </w:pPr>
            <w:r w:rsidRPr="00001000">
              <w:t>The following</w:t>
            </w:r>
            <w:r w:rsidRPr="00001000">
              <w:t xml:space="preserve"> assessment methods are suggested:</w:t>
            </w:r>
          </w:p>
          <w:p w:rsidR="00000000" w:rsidRPr="00001000" w:rsidP="00001000">
            <w:pPr>
              <w:pStyle w:val="ListBullet"/>
            </w:pPr>
            <w:r w:rsidRPr="00001000">
              <w:t>oral questioning about relevant legislation, acting ethically, and applying processes</w:t>
            </w:r>
          </w:p>
          <w:p w:rsidR="00000000" w:rsidRPr="00001000" w:rsidP="00001000">
            <w:pPr>
              <w:pStyle w:val="ListBullet"/>
            </w:pPr>
            <w:r w:rsidRPr="00001000">
              <w:t>observation of the candidate responding to a range of contexts to ensure achievement of the unit outcomes</w:t>
            </w:r>
          </w:p>
          <w:p w:rsidR="00000000" w:rsidRPr="00001000" w:rsidP="00001000">
            <w:pPr>
              <w:pStyle w:val="ListBullet"/>
            </w:pPr>
            <w:r w:rsidRPr="00001000">
              <w:t>feedback from peers and/or supervisor that the candidate consistently applies relevant workplace procedures</w:t>
            </w:r>
          </w:p>
          <w:p w:rsidR="00000000" w:rsidRPr="00001000" w:rsidP="00001000">
            <w:pPr>
              <w:pStyle w:val="ListBullet"/>
            </w:pPr>
            <w:r w:rsidRPr="00001000">
              <w:t>review of records completed by candidate or reports of performance</w:t>
            </w:r>
          </w:p>
          <w:p w:rsidR="00000000" w:rsidRPr="00001000" w:rsidP="00001000">
            <w:pPr>
              <w:pStyle w:val="BodyText"/>
            </w:pPr>
            <w:r w:rsidRPr="00001000">
              <w:t>In all cases, practical assessment should be supported by questions to assess und</w:t>
            </w:r>
            <w:r w:rsidRPr="00001000">
              <w:t>erpinning knowledge and those aspects of competency that are difficult to assess directly. Questioning techniques should suit the language and literacy levels of the candidate.</w:t>
            </w:r>
          </w:p>
        </w:tc>
      </w:tr>
    </w:tbl>
    <w:p w:rsidR="00000000" w:rsidRPr="00001000" w:rsidP="00001000">
      <w:pPr>
        <w:pStyle w:val="BodyText"/>
      </w:pPr>
    </w:p>
    <w:p w:rsidR="00000000" w:rsidRPr="00001000" w:rsidP="00001000">
      <w:pPr>
        <w:pStyle w:val="AllowPageBreak"/>
      </w:pPr>
    </w:p>
    <w:p w:rsidR="00000000" w:rsidRPr="00001000" w:rsidP="00001000">
      <w:pPr>
        <w:pStyle w:val="Heading1"/>
      </w:pPr>
      <w:bookmarkStart w:id="11" w:name="O_494815"/>
      <w:bookmarkEnd w:id="11"/>
      <w:r w:rsidRPr="00001000">
        <w:t>Range Statement</w:t>
      </w:r>
    </w:p>
    <w:tbl>
      <w:tblPr>
        <w:tblW w:w="0" w:type="auto"/>
        <w:tblLayout w:type="fixed"/>
        <w:tblCellMar>
          <w:left w:w="62" w:type="dxa"/>
          <w:right w:w="62" w:type="dxa"/>
        </w:tblCellMar>
        <w:tblLook w:val="0000"/>
      </w:tblPr>
      <w:tblGrid>
        <w:gridCol w:w="2588"/>
        <w:gridCol w:w="5934"/>
      </w:tblGrid>
      <w:tr w:rsidTr="00406CE2">
        <w:tblPrEx>
          <w:tblW w:w="0" w:type="auto"/>
          <w:tblLayout w:type="fixed"/>
          <w:tblCellMar>
            <w:left w:w="62" w:type="dxa"/>
            <w:right w:w="62" w:type="dxa"/>
          </w:tblCellMar>
          <w:tblLook w:val="0000"/>
        </w:tblPrEx>
        <w:trPr>
          <w:trHeight w:val="1467"/>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t>The range statement relates to the unit of c</w:t>
            </w:r>
            <w:r w:rsidRPr="00001000">
              <w:t xml:space="preserve">ompetency as a whole. It allows for different work environments and situations that may affect performance. </w:t>
            </w:r>
            <w:r w:rsidRPr="00001000">
              <w:rPr>
                <w:rStyle w:val="BoldandItalics"/>
              </w:rPr>
              <w:t>Bold italicised</w:t>
            </w:r>
            <w:r w:rsidRPr="0000100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001000">
              <w:t>gional contexts) may also be included.</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Courts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local courts</w:t>
            </w:r>
          </w:p>
          <w:p w:rsidR="00000000" w:rsidRPr="00001000" w:rsidP="00001000">
            <w:pPr>
              <w:pStyle w:val="ListBullet"/>
            </w:pPr>
            <w:r w:rsidRPr="00001000">
              <w:t>Magistrates' Court</w:t>
            </w:r>
          </w:p>
          <w:p w:rsidR="00000000" w:rsidRPr="00001000" w:rsidP="00001000">
            <w:pPr>
              <w:pStyle w:val="ListBullet"/>
            </w:pPr>
            <w:r w:rsidRPr="00001000">
              <w:t>County Court</w:t>
            </w:r>
          </w:p>
          <w:p w:rsidR="00000000" w:rsidRPr="00001000" w:rsidP="00001000">
            <w:pPr>
              <w:pStyle w:val="ListBullet"/>
            </w:pPr>
            <w:r w:rsidRPr="00001000">
              <w:t>District Court</w:t>
            </w:r>
          </w:p>
          <w:p w:rsidR="00000000" w:rsidRPr="00001000" w:rsidP="00001000">
            <w:pPr>
              <w:pStyle w:val="ListBullet"/>
            </w:pPr>
            <w:r w:rsidRPr="00001000">
              <w:t>Supreme Court</w:t>
            </w:r>
          </w:p>
          <w:p w:rsidR="00000000" w:rsidRPr="00001000" w:rsidP="00001000">
            <w:pPr>
              <w:pStyle w:val="ListBullet"/>
            </w:pPr>
            <w:r w:rsidRPr="00001000">
              <w:t>High Court</w:t>
            </w:r>
          </w:p>
          <w:p w:rsidR="00000000" w:rsidRPr="00001000" w:rsidP="00001000">
            <w:pPr>
              <w:pStyle w:val="ListBullet"/>
            </w:pPr>
            <w:r w:rsidRPr="00001000">
              <w:t>Federal Court</w:t>
            </w:r>
          </w:p>
          <w:p w:rsidR="00000000" w:rsidRPr="00001000" w:rsidP="00001000">
            <w:pPr>
              <w:pStyle w:val="ListBullet"/>
            </w:pPr>
            <w:r w:rsidRPr="00001000">
              <w:t>Family Court</w:t>
            </w:r>
          </w:p>
          <w:p w:rsidR="00000000" w:rsidRPr="00001000" w:rsidP="00001000">
            <w:pPr>
              <w:pStyle w:val="ListBullet"/>
            </w:pPr>
            <w:r w:rsidRPr="00001000">
              <w:t>Coroner's Court</w:t>
            </w:r>
          </w:p>
          <w:p w:rsidR="00000000" w:rsidRPr="00001000" w:rsidP="00001000">
            <w:pPr>
              <w:pStyle w:val="ListBullet"/>
            </w:pPr>
            <w:r w:rsidRPr="00001000">
              <w:t>tribunals</w:t>
            </w:r>
          </w:p>
          <w:p w:rsidR="00000000" w:rsidP="00001000">
            <w:pPr>
              <w:pStyle w:val="ListBullet"/>
              <w:rPr>
                <w:lang w:val="en-NZ"/>
              </w:rPr>
            </w:pPr>
            <w:r w:rsidRPr="00001000">
              <w:t>Federal Magistrates Service</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Jurisdiction</w:t>
            </w:r>
            <w:r w:rsidRPr="00001000">
              <w:t xml:space="preserve"> may include: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for Magistrates' Court: civil jurisdiction, small claims, investigation summons, committals, call-over procedures, and trial court procedures</w:t>
            </w:r>
          </w:p>
          <w:p w:rsidR="00000000" w:rsidRPr="00001000" w:rsidP="00001000">
            <w:pPr>
              <w:pStyle w:val="ListBullet"/>
            </w:pPr>
            <w:r w:rsidRPr="00001000">
              <w:t>for juvenile/youth courts: jurisdiction to deal with juvenile offences, adoptions, and care and protection</w:t>
            </w:r>
          </w:p>
          <w:p w:rsidR="00000000" w:rsidRPr="00001000" w:rsidP="00001000">
            <w:pPr>
              <w:pStyle w:val="ListBullet"/>
            </w:pPr>
            <w:r w:rsidRPr="00001000">
              <w:t>for Co</w:t>
            </w:r>
            <w:r w:rsidRPr="00001000">
              <w:t>roner's Court: jurisdiction to deal with disappearances as well as deaths</w:t>
            </w:r>
          </w:p>
          <w:p w:rsidR="00000000" w:rsidRPr="00001000" w:rsidP="00001000">
            <w:pPr>
              <w:pStyle w:val="ListBullet"/>
            </w:pPr>
            <w:r w:rsidRPr="00001000">
              <w:t>for Supreme and District Court: jurisdiction to deal with criminal trials, Basha inquiries, competency hearings, Dietrich applications, criminal court of appeal, and civil matters</w:t>
            </w:r>
          </w:p>
          <w:p w:rsidR="00000000" w:rsidRPr="00001000" w:rsidP="00001000">
            <w:pPr>
              <w:pStyle w:val="ListBullet"/>
            </w:pPr>
            <w:r w:rsidRPr="00001000">
              <w:t>Hi</w:t>
            </w:r>
            <w:r w:rsidRPr="00001000">
              <w:t>gh Court</w:t>
            </w:r>
          </w:p>
          <w:p w:rsidR="00000000" w:rsidP="00001000">
            <w:pPr>
              <w:pStyle w:val="ListBullet"/>
              <w:rPr>
                <w:lang w:val="en-NZ"/>
              </w:rPr>
            </w:pPr>
            <w:r w:rsidRPr="00001000">
              <w:t>Federal Court</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Types</w:t>
            </w:r>
            <w:r w:rsidRPr="00001000">
              <w:t xml:space="preserve"> </w:t>
            </w:r>
            <w:r w:rsidRPr="00001000">
              <w:rPr>
                <w:rStyle w:val="BoldandItalics"/>
              </w:rPr>
              <w:t>of proceedings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call-over procedures</w:t>
            </w:r>
          </w:p>
          <w:p w:rsidR="00000000" w:rsidRPr="00001000" w:rsidP="00001000">
            <w:pPr>
              <w:pStyle w:val="ListBullet"/>
            </w:pPr>
            <w:r w:rsidRPr="00001000">
              <w:t>pre-trial conferences</w:t>
            </w:r>
          </w:p>
          <w:p w:rsidR="00000000" w:rsidRPr="00001000" w:rsidP="00001000">
            <w:pPr>
              <w:pStyle w:val="ListBullet"/>
            </w:pPr>
            <w:r w:rsidRPr="00001000">
              <w:t>committal procedures</w:t>
            </w:r>
          </w:p>
          <w:p w:rsidR="00000000" w:rsidRPr="00001000" w:rsidP="00001000">
            <w:pPr>
              <w:pStyle w:val="ListBullet"/>
            </w:pPr>
            <w:r w:rsidRPr="00001000">
              <w:t>small claims</w:t>
            </w:r>
          </w:p>
          <w:p w:rsidR="00000000" w:rsidRPr="00001000" w:rsidP="00001000">
            <w:pPr>
              <w:pStyle w:val="ListBullet"/>
            </w:pPr>
            <w:r w:rsidRPr="00001000">
              <w:t>investigation and examination summonses</w:t>
            </w:r>
          </w:p>
          <w:p w:rsidR="00000000" w:rsidRPr="00001000" w:rsidP="00001000">
            <w:pPr>
              <w:pStyle w:val="ListBullet"/>
            </w:pPr>
            <w:r w:rsidRPr="00001000">
              <w:t>jury trials</w:t>
            </w:r>
          </w:p>
          <w:p w:rsidR="00000000" w:rsidP="00001000">
            <w:pPr>
              <w:pStyle w:val="ListBullet"/>
              <w:rPr>
                <w:lang w:val="en-NZ"/>
              </w:rPr>
            </w:pPr>
            <w:r w:rsidRPr="00001000">
              <w:t>judge-only trials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Matters</w:t>
            </w:r>
            <w:r w:rsidRPr="00001000">
              <w:t xml:space="preserve"> may include: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adoptions</w:t>
            </w:r>
          </w:p>
          <w:p w:rsidR="00000000" w:rsidRPr="00001000" w:rsidP="00001000">
            <w:pPr>
              <w:pStyle w:val="ListBullet"/>
            </w:pPr>
            <w:r w:rsidRPr="00001000">
              <w:t>appeals</w:t>
            </w:r>
          </w:p>
          <w:p w:rsidR="00000000" w:rsidRPr="00001000" w:rsidP="00001000">
            <w:pPr>
              <w:pStyle w:val="ListBullet"/>
            </w:pPr>
            <w:r w:rsidRPr="00001000">
              <w:t>arraignments</w:t>
            </w:r>
          </w:p>
          <w:p w:rsidR="00000000" w:rsidRPr="00001000" w:rsidP="00001000">
            <w:pPr>
              <w:pStyle w:val="ListBullet"/>
            </w:pPr>
            <w:r w:rsidRPr="00001000">
              <w:t>bail applications</w:t>
            </w:r>
          </w:p>
          <w:p w:rsidR="00000000" w:rsidRPr="00001000" w:rsidP="00001000">
            <w:pPr>
              <w:pStyle w:val="ListBullet"/>
            </w:pPr>
            <w:r w:rsidRPr="00001000">
              <w:t>breach of bail hearings</w:t>
            </w:r>
          </w:p>
          <w:p w:rsidR="00000000" w:rsidRPr="00001000" w:rsidP="00001000">
            <w:pPr>
              <w:pStyle w:val="ListBullet"/>
            </w:pPr>
            <w:r w:rsidRPr="00001000">
              <w:t>breach of security hearings</w:t>
            </w:r>
          </w:p>
          <w:p w:rsidR="00000000" w:rsidRPr="00001000" w:rsidP="00001000">
            <w:pPr>
              <w:pStyle w:val="ListBullet"/>
            </w:pPr>
            <w:r w:rsidRPr="00001000">
              <w:t>care and protection matters</w:t>
            </w:r>
          </w:p>
          <w:p w:rsidR="00000000" w:rsidRPr="00001000" w:rsidP="00001000">
            <w:pPr>
              <w:pStyle w:val="ListBullet"/>
            </w:pPr>
            <w:r w:rsidRPr="00001000">
              <w:t>civil matters</w:t>
            </w:r>
          </w:p>
          <w:p w:rsidR="00000000" w:rsidRPr="00001000" w:rsidP="00001000">
            <w:pPr>
              <w:pStyle w:val="ListBullet"/>
            </w:pPr>
            <w:r w:rsidRPr="00001000">
              <w:t>committal hearings</w:t>
            </w:r>
          </w:p>
          <w:p w:rsidR="00000000" w:rsidRPr="00001000" w:rsidP="00001000">
            <w:pPr>
              <w:pStyle w:val="ListBullet"/>
            </w:pPr>
            <w:r w:rsidRPr="00001000">
              <w:t>competency hearings</w:t>
            </w:r>
          </w:p>
          <w:p w:rsidR="00000000" w:rsidRPr="00001000" w:rsidP="00001000">
            <w:pPr>
              <w:pStyle w:val="ListBullet"/>
            </w:pPr>
            <w:r w:rsidRPr="00001000">
              <w:t>contempt hearings</w:t>
            </w:r>
          </w:p>
          <w:p w:rsidR="00000000" w:rsidRPr="00001000" w:rsidP="00001000">
            <w:pPr>
              <w:pStyle w:val="ListBullet"/>
            </w:pPr>
            <w:r w:rsidRPr="00001000">
              <w:t>criminal trials</w:t>
            </w:r>
          </w:p>
          <w:p w:rsidR="00000000" w:rsidRPr="00001000" w:rsidP="00001000">
            <w:pPr>
              <w:pStyle w:val="ListBullet"/>
            </w:pPr>
            <w:r w:rsidRPr="00001000">
              <w:t>directions hearings</w:t>
            </w:r>
          </w:p>
          <w:p w:rsidR="00000000" w:rsidRPr="00001000" w:rsidP="00001000">
            <w:pPr>
              <w:pStyle w:val="ListBullet"/>
            </w:pPr>
            <w:r w:rsidRPr="00001000">
              <w:t>failure to appear</w:t>
            </w:r>
          </w:p>
          <w:p w:rsidR="00000000" w:rsidRPr="00001000" w:rsidP="00001000">
            <w:pPr>
              <w:pStyle w:val="ListBullet"/>
            </w:pPr>
            <w:r w:rsidRPr="00001000">
              <w:t>family court matters</w:t>
            </w:r>
          </w:p>
          <w:p w:rsidR="00000000" w:rsidRPr="00001000" w:rsidP="00001000">
            <w:pPr>
              <w:pStyle w:val="ListBullet"/>
            </w:pPr>
            <w:r w:rsidRPr="00001000">
              <w:t>in camera hearings</w:t>
            </w:r>
          </w:p>
          <w:p w:rsidR="00000000" w:rsidRPr="00001000" w:rsidP="00001000">
            <w:pPr>
              <w:pStyle w:val="ListBullet"/>
            </w:pPr>
            <w:r w:rsidRPr="00001000">
              <w:t>inquests</w:t>
            </w:r>
          </w:p>
          <w:p w:rsidR="00000000" w:rsidRPr="00001000" w:rsidP="00001000">
            <w:pPr>
              <w:pStyle w:val="ListBullet"/>
            </w:pPr>
            <w:r w:rsidRPr="00001000">
              <w:t>interlocutory proceedings</w:t>
            </w:r>
          </w:p>
          <w:p w:rsidR="00000000" w:rsidRPr="00001000" w:rsidP="00001000">
            <w:pPr>
              <w:pStyle w:val="ListBullet"/>
            </w:pPr>
            <w:r w:rsidRPr="00001000">
              <w:t>interpleaders</w:t>
            </w:r>
          </w:p>
          <w:p w:rsidR="00000000" w:rsidRPr="00001000" w:rsidP="00001000">
            <w:pPr>
              <w:pStyle w:val="ListBullet"/>
            </w:pPr>
            <w:r w:rsidRPr="00001000">
              <w:t>juvenile offences</w:t>
            </w:r>
          </w:p>
          <w:p w:rsidR="00000000" w:rsidRPr="00001000" w:rsidP="00001000">
            <w:pPr>
              <w:pStyle w:val="ListBullet"/>
            </w:pPr>
            <w:r w:rsidRPr="00001000">
              <w:t>parole applications</w:t>
            </w:r>
          </w:p>
          <w:p w:rsidR="00000000" w:rsidRPr="00001000" w:rsidP="00001000">
            <w:pPr>
              <w:pStyle w:val="ListBullet"/>
            </w:pPr>
            <w:r w:rsidRPr="00001000">
              <w:t>rescue</w:t>
            </w:r>
          </w:p>
          <w:p w:rsidR="00000000" w:rsidP="00001000">
            <w:pPr>
              <w:pStyle w:val="ListBullet"/>
              <w:rPr>
                <w:lang w:val="en-NZ"/>
              </w:rPr>
            </w:pPr>
            <w:r w:rsidRPr="00001000">
              <w:t>voir dires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Special requirements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legislative conditions relating to those present</w:t>
            </w:r>
          </w:p>
          <w:p w:rsidR="00000000" w:rsidRPr="00001000" w:rsidP="00001000">
            <w:pPr>
              <w:pStyle w:val="ListBullet"/>
            </w:pPr>
            <w:r w:rsidRPr="00001000">
              <w:t>closed court</w:t>
            </w:r>
          </w:p>
          <w:p w:rsidR="00000000" w:rsidRPr="00001000" w:rsidP="00001000">
            <w:pPr>
              <w:pStyle w:val="ListBullet"/>
            </w:pPr>
            <w:r w:rsidRPr="00001000">
              <w:t>whether note taking is permitted</w:t>
            </w:r>
          </w:p>
          <w:p w:rsidR="00000000" w:rsidRPr="00001000" w:rsidP="00001000">
            <w:pPr>
              <w:pStyle w:val="ListBullet"/>
            </w:pPr>
            <w:r w:rsidRPr="00001000">
              <w:t>use of tape recorders in court</w:t>
            </w:r>
          </w:p>
          <w:p w:rsidR="00000000" w:rsidRPr="00001000" w:rsidP="00001000">
            <w:pPr>
              <w:pStyle w:val="ListBullet"/>
            </w:pPr>
            <w:r w:rsidRPr="00001000">
              <w:t>vulnerable witnesses</w:t>
            </w:r>
          </w:p>
          <w:p w:rsidR="00000000" w:rsidRPr="00001000" w:rsidP="00001000">
            <w:pPr>
              <w:pStyle w:val="ListBullet"/>
            </w:pPr>
            <w:r w:rsidRPr="00001000">
              <w:t>special furniture or equipment</w:t>
            </w:r>
          </w:p>
          <w:p w:rsidR="00000000" w:rsidP="00001000">
            <w:pPr>
              <w:pStyle w:val="ListBullet"/>
              <w:rPr>
                <w:lang w:val="en-NZ"/>
              </w:rPr>
            </w:pPr>
            <w:r w:rsidRPr="00001000">
              <w:t>juries to be sworn separately or as a whole</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Parties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presiding official</w:t>
            </w:r>
          </w:p>
          <w:p w:rsidR="00000000" w:rsidRPr="00001000" w:rsidP="00001000">
            <w:pPr>
              <w:pStyle w:val="ListBullet"/>
            </w:pPr>
            <w:r w:rsidRPr="00001000">
              <w:t>judge's associate</w:t>
            </w:r>
          </w:p>
          <w:p w:rsidR="00000000" w:rsidRPr="00001000" w:rsidP="00001000">
            <w:pPr>
              <w:pStyle w:val="ListBullet"/>
            </w:pPr>
            <w:r w:rsidRPr="00001000">
              <w:t>officer of the court</w:t>
            </w:r>
          </w:p>
          <w:p w:rsidR="00000000" w:rsidRPr="00001000" w:rsidP="00001000">
            <w:pPr>
              <w:pStyle w:val="ListBullet"/>
            </w:pPr>
            <w:r w:rsidRPr="00001000">
              <w:t>parties to the proceedings</w:t>
            </w:r>
          </w:p>
          <w:p w:rsidR="00000000" w:rsidRPr="00001000" w:rsidP="00001000">
            <w:pPr>
              <w:pStyle w:val="ListBullet"/>
            </w:pPr>
            <w:r w:rsidRPr="00001000">
              <w:t>prosecutor</w:t>
            </w:r>
          </w:p>
          <w:p w:rsidR="00000000" w:rsidRPr="00001000" w:rsidP="00001000">
            <w:pPr>
              <w:pStyle w:val="ListBullet"/>
            </w:pPr>
            <w:r w:rsidRPr="00001000">
              <w:t>legal repr</w:t>
            </w:r>
            <w:r w:rsidRPr="00001000">
              <w:t>esentative</w:t>
            </w:r>
          </w:p>
          <w:p w:rsidR="00000000" w:rsidRPr="00001000" w:rsidP="00001000">
            <w:pPr>
              <w:pStyle w:val="ListBullet"/>
            </w:pPr>
            <w:r w:rsidRPr="00001000">
              <w:t>court reporter</w:t>
            </w:r>
          </w:p>
          <w:p w:rsidR="00000000" w:rsidRPr="00001000" w:rsidP="00001000">
            <w:pPr>
              <w:pStyle w:val="ListBullet"/>
            </w:pPr>
            <w:r w:rsidRPr="00001000">
              <w:t>jury panel</w:t>
            </w:r>
          </w:p>
          <w:p w:rsidR="00000000" w:rsidRPr="00001000" w:rsidP="00001000">
            <w:pPr>
              <w:pStyle w:val="ListBullet"/>
            </w:pPr>
            <w:r w:rsidRPr="00001000">
              <w:t>witness</w:t>
            </w:r>
          </w:p>
          <w:p w:rsidR="00000000" w:rsidRPr="00001000" w:rsidP="00001000">
            <w:pPr>
              <w:pStyle w:val="ListBullet"/>
            </w:pPr>
            <w:r w:rsidRPr="00001000">
              <w:t>corrective services personnel</w:t>
            </w:r>
          </w:p>
          <w:p w:rsidR="00000000" w:rsidRPr="00001000" w:rsidP="00001000">
            <w:pPr>
              <w:pStyle w:val="ListBullet"/>
            </w:pPr>
            <w:r w:rsidRPr="00001000">
              <w:t>police</w:t>
            </w:r>
          </w:p>
          <w:p w:rsidR="00000000" w:rsidRPr="00001000" w:rsidP="00001000">
            <w:pPr>
              <w:pStyle w:val="ListBullet"/>
            </w:pPr>
            <w:r w:rsidRPr="00001000">
              <w:t>parent</w:t>
            </w:r>
          </w:p>
          <w:p w:rsidR="00000000" w:rsidRPr="00001000" w:rsidP="00001000">
            <w:pPr>
              <w:pStyle w:val="ListBullet"/>
            </w:pPr>
            <w:r w:rsidRPr="00001000">
              <w:t>guardian</w:t>
            </w:r>
          </w:p>
          <w:p w:rsidR="00000000" w:rsidRPr="00001000" w:rsidP="00001000">
            <w:pPr>
              <w:pStyle w:val="ListBullet"/>
            </w:pPr>
            <w:r w:rsidRPr="00001000">
              <w:t>social worker</w:t>
            </w:r>
          </w:p>
          <w:p w:rsidR="00000000" w:rsidRPr="00001000" w:rsidP="00001000">
            <w:pPr>
              <w:pStyle w:val="ListBullet"/>
            </w:pPr>
            <w:r w:rsidRPr="00001000">
              <w:t>family and community services personnel</w:t>
            </w:r>
          </w:p>
          <w:p w:rsidR="00000000" w:rsidRPr="00001000" w:rsidP="00001000">
            <w:pPr>
              <w:pStyle w:val="ListBullet"/>
            </w:pPr>
            <w:r w:rsidRPr="00001000">
              <w:t>interpreter</w:t>
            </w:r>
          </w:p>
          <w:p w:rsidR="00000000" w:rsidRPr="00001000" w:rsidP="00001000">
            <w:pPr>
              <w:pStyle w:val="ListBullet"/>
            </w:pPr>
            <w:r w:rsidRPr="00001000">
              <w:t>victim of crime</w:t>
            </w:r>
          </w:p>
          <w:p w:rsidR="00000000" w:rsidRPr="00001000" w:rsidP="00001000">
            <w:pPr>
              <w:pStyle w:val="ListBullet"/>
            </w:pPr>
            <w:r w:rsidRPr="00001000">
              <w:t>counsel assisting the coroner</w:t>
            </w:r>
          </w:p>
          <w:p w:rsidR="00000000" w:rsidP="00001000">
            <w:pPr>
              <w:pStyle w:val="ListBullet"/>
              <w:rPr>
                <w:lang w:val="en-NZ"/>
              </w:rPr>
            </w:pPr>
            <w:r w:rsidRPr="00001000">
              <w:t>coronial services officer</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Court layout</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catering for:</w:t>
            </w:r>
          </w:p>
          <w:p w:rsidR="00000000" w:rsidRPr="00001000" w:rsidP="00001000">
            <w:pPr>
              <w:pStyle w:val="ListBullet"/>
            </w:pPr>
            <w:r w:rsidRPr="00001000">
              <w:t>multiple defendants and their legal representatives</w:t>
            </w:r>
          </w:p>
          <w:p w:rsidR="00000000" w:rsidRPr="00001000" w:rsidP="00001000">
            <w:pPr>
              <w:pStyle w:val="ListBullet"/>
            </w:pPr>
            <w:r w:rsidRPr="00001000">
              <w:t>juveniles</w:t>
            </w:r>
          </w:p>
          <w:p w:rsidR="00000000" w:rsidRPr="00001000" w:rsidP="00001000">
            <w:pPr>
              <w:pStyle w:val="ListBullet"/>
            </w:pPr>
            <w:r w:rsidRPr="00001000">
              <w:t>vulnerable witnesses</w:t>
            </w:r>
          </w:p>
          <w:p w:rsidR="00000000" w:rsidRPr="00001000" w:rsidP="00001000">
            <w:pPr>
              <w:pStyle w:val="ListBullet"/>
            </w:pPr>
            <w:r w:rsidRPr="00001000">
              <w:t>use of technology</w:t>
            </w:r>
          </w:p>
          <w:p w:rsidR="00000000" w:rsidP="00001000">
            <w:pPr>
              <w:pStyle w:val="ListBullet"/>
              <w:rPr>
                <w:lang w:val="en-NZ"/>
              </w:rPr>
            </w:pPr>
            <w:r w:rsidRPr="00001000">
              <w:t>potentially dangerous defendants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Equipment and technology</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whiteboard, including electronic whiteboard</w:t>
            </w:r>
          </w:p>
          <w:p w:rsidR="00000000" w:rsidRPr="00001000" w:rsidP="00001000">
            <w:pPr>
              <w:pStyle w:val="ListBullet"/>
            </w:pPr>
            <w:r w:rsidRPr="00001000">
              <w:t>electronic equipment for slides, videos, etc.</w:t>
            </w:r>
          </w:p>
          <w:p w:rsidR="00000000" w:rsidRPr="00001000" w:rsidP="00001000">
            <w:pPr>
              <w:pStyle w:val="ListBullet"/>
            </w:pPr>
            <w:r w:rsidRPr="00001000">
              <w:t>remote viewing equipment</w:t>
            </w:r>
          </w:p>
          <w:p w:rsidR="00000000" w:rsidRPr="00001000" w:rsidP="00001000">
            <w:pPr>
              <w:pStyle w:val="ListBullet"/>
            </w:pPr>
            <w:r w:rsidRPr="00001000">
              <w:t>video-conferencing equipment</w:t>
            </w:r>
          </w:p>
          <w:p w:rsidR="00000000" w:rsidRPr="00001000" w:rsidP="00001000">
            <w:pPr>
              <w:pStyle w:val="ListBullet"/>
            </w:pPr>
            <w:r w:rsidRPr="00001000">
              <w:t>overhead projectors</w:t>
            </w:r>
          </w:p>
          <w:p w:rsidR="00000000" w:rsidRPr="00001000" w:rsidP="00001000">
            <w:pPr>
              <w:pStyle w:val="ListBullet"/>
            </w:pPr>
            <w:r w:rsidRPr="00001000">
              <w:t>computers</w:t>
            </w:r>
          </w:p>
          <w:p w:rsidR="00000000" w:rsidRPr="00001000" w:rsidP="00001000">
            <w:pPr>
              <w:pStyle w:val="ListBullet"/>
            </w:pPr>
            <w:r w:rsidRPr="00001000">
              <w:t>document readers</w:t>
            </w:r>
          </w:p>
          <w:p w:rsidR="00000000" w:rsidP="00001000">
            <w:pPr>
              <w:pStyle w:val="ListBullet"/>
              <w:rPr>
                <w:lang w:val="en-NZ"/>
              </w:rPr>
            </w:pPr>
            <w:r w:rsidRPr="00001000">
              <w:t>tape recorders for electronic recording of interviews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Court duties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court orderly duties</w:t>
            </w:r>
          </w:p>
          <w:p w:rsidR="00000000" w:rsidRPr="00001000" w:rsidP="00001000">
            <w:pPr>
              <w:pStyle w:val="ListBullet"/>
            </w:pPr>
            <w:r w:rsidRPr="00001000">
              <w:t>proclamations for opening and closing court, and end of day</w:t>
            </w:r>
          </w:p>
          <w:p w:rsidR="00000000" w:rsidRPr="00001000" w:rsidP="00001000">
            <w:pPr>
              <w:pStyle w:val="ListBullet"/>
            </w:pPr>
            <w:r w:rsidRPr="00001000">
              <w:t>court security</w:t>
            </w:r>
          </w:p>
          <w:p w:rsidR="00000000" w:rsidRPr="00001000" w:rsidP="00001000">
            <w:pPr>
              <w:pStyle w:val="ListBullet"/>
            </w:pPr>
            <w:r w:rsidRPr="00001000">
              <w:t>responsibility for exhibits</w:t>
            </w:r>
          </w:p>
          <w:p w:rsidR="00000000" w:rsidRPr="00001000" w:rsidP="00001000">
            <w:pPr>
              <w:pStyle w:val="ListBullet"/>
            </w:pPr>
            <w:r w:rsidRPr="00001000">
              <w:t>set up and correct functioning of court technology</w:t>
            </w:r>
          </w:p>
          <w:p w:rsidR="00000000" w:rsidP="00001000">
            <w:pPr>
              <w:pStyle w:val="ListBullet"/>
              <w:rPr>
                <w:lang w:val="en-NZ"/>
              </w:rPr>
            </w:pPr>
            <w:r w:rsidRPr="00001000">
              <w:t>execution of process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General protocols and procedures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correct mode of address in and ou</w:t>
            </w:r>
            <w:r w:rsidRPr="00001000">
              <w:t>t of court for judge, magistrate and other court users</w:t>
            </w:r>
          </w:p>
          <w:p w:rsidR="00000000" w:rsidRPr="00001000" w:rsidP="00001000">
            <w:pPr>
              <w:pStyle w:val="ListBullet"/>
            </w:pPr>
            <w:r w:rsidRPr="00001000">
              <w:t>procedures for entering and leaving a courtroom, and escorting presiding officer, complainant, witnesses and juries</w:t>
            </w:r>
          </w:p>
          <w:p w:rsidR="00000000" w:rsidRPr="00001000" w:rsidP="00001000">
            <w:pPr>
              <w:pStyle w:val="ListBullet"/>
            </w:pPr>
            <w:r w:rsidRPr="00001000">
              <w:t>standard operating procedures for dealing with disorderly conduct in court</w:t>
            </w:r>
          </w:p>
          <w:p w:rsidR="00000000" w:rsidRPr="00001000" w:rsidP="00001000">
            <w:pPr>
              <w:pStyle w:val="ListBullet"/>
            </w:pPr>
            <w:r w:rsidRPr="00001000">
              <w:t>security p</w:t>
            </w:r>
            <w:r w:rsidRPr="00001000">
              <w:t>rocedures</w:t>
            </w:r>
          </w:p>
          <w:p w:rsidR="00000000" w:rsidRPr="00001000" w:rsidP="00001000">
            <w:pPr>
              <w:pStyle w:val="ListBullet"/>
            </w:pPr>
            <w:r w:rsidRPr="00001000">
              <w:t>procedures for recording information</w:t>
            </w:r>
          </w:p>
          <w:p w:rsidR="00000000" w:rsidRPr="00001000" w:rsidP="00001000">
            <w:pPr>
              <w:pStyle w:val="ListBullet"/>
            </w:pPr>
            <w:r w:rsidRPr="00001000">
              <w:t>file handling procedures</w:t>
            </w:r>
          </w:p>
          <w:p w:rsidR="00000000" w:rsidRPr="00001000" w:rsidP="00001000">
            <w:pPr>
              <w:pStyle w:val="ListBullet"/>
            </w:pPr>
            <w:r w:rsidRPr="00001000">
              <w:t>procedures for handling juries, witnesses and exhibits</w:t>
            </w:r>
          </w:p>
          <w:p w:rsidR="00000000" w:rsidRPr="00001000" w:rsidP="00001000">
            <w:pPr>
              <w:pStyle w:val="ListBullet"/>
            </w:pPr>
            <w:r w:rsidRPr="00001000">
              <w:t>procedures for dealing with vulnerable witnesses</w:t>
            </w:r>
          </w:p>
          <w:p w:rsidR="00000000" w:rsidP="00001000">
            <w:pPr>
              <w:pStyle w:val="ListBullet"/>
              <w:rPr>
                <w:lang w:val="en-NZ"/>
              </w:rPr>
            </w:pPr>
            <w:r w:rsidRPr="00001000">
              <w:t>protocols relating to the public</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Terminology</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action</w:t>
            </w:r>
          </w:p>
          <w:p w:rsidR="00000000" w:rsidRPr="00001000" w:rsidP="00001000">
            <w:pPr>
              <w:pStyle w:val="ListBullet"/>
            </w:pPr>
            <w:r w:rsidRPr="00001000">
              <w:t>adjournment</w:t>
            </w:r>
          </w:p>
          <w:p w:rsidR="00000000" w:rsidRPr="00001000" w:rsidP="00001000">
            <w:pPr>
              <w:pStyle w:val="ListBullet"/>
            </w:pPr>
            <w:r w:rsidRPr="00001000">
              <w:t>affidavit</w:t>
            </w:r>
          </w:p>
          <w:p w:rsidR="00000000" w:rsidRPr="00001000" w:rsidP="00001000">
            <w:pPr>
              <w:pStyle w:val="ListBullet"/>
            </w:pPr>
            <w:r w:rsidRPr="00001000">
              <w:t>affirmation</w:t>
            </w:r>
          </w:p>
          <w:p w:rsidR="00000000" w:rsidRPr="00001000" w:rsidP="00001000">
            <w:pPr>
              <w:pStyle w:val="ListBullet"/>
            </w:pPr>
            <w:r w:rsidRPr="00001000">
              <w:t>associate</w:t>
            </w:r>
          </w:p>
          <w:p w:rsidR="00000000" w:rsidRPr="00001000" w:rsidP="00001000">
            <w:pPr>
              <w:pStyle w:val="ListBullet"/>
            </w:pPr>
            <w:r w:rsidRPr="00001000">
              <w:t>bail</w:t>
            </w:r>
          </w:p>
          <w:p w:rsidR="00000000" w:rsidRPr="00001000" w:rsidP="00001000">
            <w:pPr>
              <w:pStyle w:val="ListBullet"/>
            </w:pPr>
            <w:r w:rsidRPr="00001000">
              <w:t>bar table</w:t>
            </w:r>
          </w:p>
          <w:p w:rsidR="00000000" w:rsidRPr="00001000" w:rsidP="00001000">
            <w:pPr>
              <w:pStyle w:val="ListBullet"/>
            </w:pPr>
            <w:r w:rsidRPr="00001000">
              <w:t>bench</w:t>
            </w:r>
          </w:p>
          <w:p w:rsidR="00000000" w:rsidRPr="00001000" w:rsidP="00001000">
            <w:pPr>
              <w:pStyle w:val="ListBullet"/>
            </w:pPr>
            <w:r w:rsidRPr="00001000">
              <w:t>cause list</w:t>
            </w:r>
          </w:p>
          <w:p w:rsidR="00000000" w:rsidRPr="00001000" w:rsidP="00001000">
            <w:pPr>
              <w:pStyle w:val="ListBullet"/>
            </w:pPr>
            <w:r w:rsidRPr="00001000">
              <w:t>claim</w:t>
            </w:r>
          </w:p>
          <w:p w:rsidR="00000000" w:rsidRPr="00001000" w:rsidP="00001000">
            <w:pPr>
              <w:pStyle w:val="ListBullet"/>
            </w:pPr>
            <w:r w:rsidRPr="00001000">
              <w:t>closed court</w:t>
            </w:r>
          </w:p>
          <w:p w:rsidR="00000000" w:rsidRPr="00001000" w:rsidP="00001000">
            <w:pPr>
              <w:pStyle w:val="ListBullet"/>
            </w:pPr>
            <w:r w:rsidRPr="00001000">
              <w:t>complaint</w:t>
            </w:r>
          </w:p>
          <w:p w:rsidR="00000000" w:rsidRPr="00001000" w:rsidP="00001000">
            <w:pPr>
              <w:pStyle w:val="ListBullet"/>
            </w:pPr>
            <w:r w:rsidRPr="00001000">
              <w:t>court</w:t>
            </w:r>
          </w:p>
          <w:p w:rsidR="00000000" w:rsidRPr="00001000" w:rsidP="00001000">
            <w:pPr>
              <w:pStyle w:val="ListBullet"/>
            </w:pPr>
            <w:r w:rsidRPr="00001000">
              <w:t>court monitor</w:t>
            </w:r>
          </w:p>
          <w:p w:rsidR="00000000" w:rsidRPr="00001000" w:rsidP="00001000">
            <w:pPr>
              <w:pStyle w:val="ListBullet"/>
            </w:pPr>
            <w:r w:rsidRPr="00001000">
              <w:t>Crown</w:t>
            </w:r>
          </w:p>
          <w:p w:rsidR="00000000" w:rsidRPr="00001000" w:rsidP="00001000">
            <w:pPr>
              <w:pStyle w:val="ListBullet"/>
            </w:pPr>
            <w:r w:rsidRPr="00001000">
              <w:t>defendant</w:t>
            </w:r>
          </w:p>
          <w:p w:rsidR="00000000" w:rsidRPr="00001000" w:rsidP="00001000">
            <w:pPr>
              <w:pStyle w:val="ListBullet"/>
            </w:pPr>
            <w:r w:rsidRPr="00001000">
              <w:t>deposition</w:t>
            </w:r>
          </w:p>
          <w:p w:rsidR="00000000" w:rsidRPr="00001000" w:rsidP="00001000">
            <w:pPr>
              <w:pStyle w:val="ListBullet"/>
            </w:pPr>
            <w:r w:rsidRPr="00001000">
              <w:t>dock</w:t>
            </w:r>
          </w:p>
          <w:p w:rsidR="00000000" w:rsidRPr="00001000" w:rsidP="00001000">
            <w:pPr>
              <w:pStyle w:val="ListBullet"/>
            </w:pPr>
            <w:r w:rsidRPr="00001000">
              <w:t>duty</w:t>
            </w:r>
          </w:p>
          <w:p w:rsidR="00000000" w:rsidRPr="00001000" w:rsidP="00001000">
            <w:pPr>
              <w:pStyle w:val="ListBullet"/>
            </w:pPr>
            <w:r w:rsidRPr="00001000">
              <w:t>estreatment</w:t>
            </w:r>
          </w:p>
          <w:p w:rsidR="00000000" w:rsidRPr="00001000" w:rsidP="00001000">
            <w:pPr>
              <w:pStyle w:val="ListBullet"/>
            </w:pPr>
            <w:r w:rsidRPr="00001000">
              <w:t>ex parte</w:t>
            </w:r>
          </w:p>
          <w:p w:rsidR="00000000" w:rsidRPr="00001000" w:rsidP="00001000">
            <w:pPr>
              <w:pStyle w:val="ListBullet"/>
            </w:pPr>
            <w:r w:rsidRPr="00001000">
              <w:t>information</w:t>
            </w:r>
          </w:p>
          <w:p w:rsidR="00000000" w:rsidRPr="00001000" w:rsidP="00001000">
            <w:pPr>
              <w:pStyle w:val="ListBullet"/>
            </w:pPr>
            <w:r w:rsidRPr="00001000">
              <w:t>jury box</w:t>
            </w:r>
          </w:p>
          <w:p w:rsidR="00000000" w:rsidRPr="00001000" w:rsidP="00001000">
            <w:pPr>
              <w:pStyle w:val="ListBullet"/>
            </w:pPr>
            <w:r w:rsidRPr="00001000">
              <w:t>judge, justice and magistrate</w:t>
            </w:r>
          </w:p>
          <w:p w:rsidR="00000000" w:rsidRPr="00001000" w:rsidP="00001000">
            <w:pPr>
              <w:pStyle w:val="ListBullet"/>
            </w:pPr>
            <w:r w:rsidRPr="00001000">
              <w:t>nolle prosequi</w:t>
            </w:r>
          </w:p>
          <w:p w:rsidR="00000000" w:rsidRPr="00001000" w:rsidP="00001000">
            <w:pPr>
              <w:pStyle w:val="ListBullet"/>
            </w:pPr>
            <w:r w:rsidRPr="00001000">
              <w:t>oath</w:t>
            </w:r>
          </w:p>
          <w:p w:rsidR="00000000" w:rsidRPr="00001000" w:rsidP="00001000">
            <w:pPr>
              <w:pStyle w:val="ListBullet"/>
            </w:pPr>
            <w:r w:rsidRPr="00001000">
              <w:t>precinct</w:t>
            </w:r>
          </w:p>
          <w:p w:rsidR="00000000" w:rsidRPr="00001000" w:rsidP="00001000">
            <w:pPr>
              <w:pStyle w:val="ListBullet"/>
            </w:pPr>
            <w:r w:rsidRPr="00001000">
              <w:t>process</w:t>
            </w:r>
          </w:p>
          <w:p w:rsidR="00000000" w:rsidRPr="00001000" w:rsidP="00001000">
            <w:pPr>
              <w:pStyle w:val="ListBullet"/>
            </w:pPr>
            <w:r w:rsidRPr="00001000">
              <w:t>prosecutor</w:t>
            </w:r>
          </w:p>
          <w:p w:rsidR="00000000" w:rsidRPr="00001000" w:rsidP="00001000">
            <w:pPr>
              <w:pStyle w:val="ListBullet"/>
            </w:pPr>
            <w:r w:rsidRPr="00001000">
              <w:t>recognisance</w:t>
            </w:r>
          </w:p>
          <w:p w:rsidR="00000000" w:rsidRPr="00001000" w:rsidP="00001000">
            <w:pPr>
              <w:pStyle w:val="ListBullet"/>
            </w:pPr>
            <w:r w:rsidRPr="00001000">
              <w:t>remand</w:t>
            </w:r>
          </w:p>
          <w:p w:rsidR="00000000" w:rsidRPr="00001000" w:rsidP="00001000">
            <w:pPr>
              <w:pStyle w:val="ListBullet"/>
            </w:pPr>
            <w:r w:rsidRPr="00001000">
              <w:t>sheriff</w:t>
            </w:r>
          </w:p>
          <w:p w:rsidR="00000000" w:rsidRPr="00001000" w:rsidP="00001000">
            <w:pPr>
              <w:pStyle w:val="ListBullet"/>
            </w:pPr>
            <w:r w:rsidRPr="00001000">
              <w:t>sine die</w:t>
            </w:r>
          </w:p>
          <w:p w:rsidR="00000000" w:rsidRPr="00001000" w:rsidP="00001000">
            <w:pPr>
              <w:pStyle w:val="ListBullet"/>
            </w:pPr>
            <w:r w:rsidRPr="00001000">
              <w:t>statement</w:t>
            </w:r>
          </w:p>
          <w:p w:rsidR="00000000" w:rsidRPr="00001000" w:rsidP="00001000">
            <w:pPr>
              <w:pStyle w:val="ListBullet"/>
            </w:pPr>
            <w:r w:rsidRPr="00001000">
              <w:t>summons</w:t>
            </w:r>
          </w:p>
          <w:p w:rsidR="00000000" w:rsidRPr="00001000" w:rsidP="00001000">
            <w:pPr>
              <w:pStyle w:val="ListBullet"/>
            </w:pPr>
            <w:r w:rsidRPr="00001000">
              <w:t>tipstaff</w:t>
            </w:r>
          </w:p>
          <w:p w:rsidR="00000000" w:rsidRPr="00001000" w:rsidP="00001000">
            <w:pPr>
              <w:pStyle w:val="ListBullet"/>
            </w:pPr>
            <w:r w:rsidRPr="00001000">
              <w:t>under oath</w:t>
            </w:r>
          </w:p>
          <w:p w:rsidR="00000000" w:rsidRPr="00001000" w:rsidP="00001000">
            <w:pPr>
              <w:pStyle w:val="ListBullet"/>
            </w:pPr>
            <w:r w:rsidRPr="00001000">
              <w:t>voir dire</w:t>
            </w:r>
          </w:p>
          <w:p w:rsidR="00000000" w:rsidRPr="00001000" w:rsidP="00001000">
            <w:pPr>
              <w:pStyle w:val="ListBullet"/>
            </w:pPr>
            <w:r w:rsidRPr="00001000">
              <w:t>warrant</w:t>
            </w:r>
          </w:p>
          <w:p w:rsidR="00000000" w:rsidRPr="00001000" w:rsidP="00001000">
            <w:pPr>
              <w:pStyle w:val="ListBullet"/>
            </w:pPr>
            <w:r w:rsidRPr="00001000">
              <w:t>witness</w:t>
            </w:r>
          </w:p>
          <w:p w:rsidR="00000000" w:rsidP="00001000">
            <w:pPr>
              <w:pStyle w:val="ListBullet"/>
              <w:rPr>
                <w:lang w:val="en-NZ"/>
              </w:rPr>
            </w:pPr>
            <w:r w:rsidRPr="00001000">
              <w:t>witness box</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Duties specific to court's jurisdiction</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placing a person in custody when ordered by the court</w:t>
            </w:r>
          </w:p>
          <w:p w:rsidR="00000000" w:rsidRPr="00001000" w:rsidP="00001000">
            <w:pPr>
              <w:pStyle w:val="ListBullet"/>
            </w:pPr>
            <w:r w:rsidRPr="00001000">
              <w:t>receiving driving licences after disqualification</w:t>
            </w:r>
          </w:p>
          <w:p w:rsidR="00000000" w:rsidRPr="00001000" w:rsidP="00001000">
            <w:pPr>
              <w:pStyle w:val="ListBullet"/>
            </w:pPr>
            <w:r w:rsidRPr="00001000">
              <w:t>making appointments for drug assessment, driving assessment, etc.</w:t>
            </w:r>
          </w:p>
          <w:p w:rsidR="00000000" w:rsidRPr="00001000" w:rsidP="00001000">
            <w:pPr>
              <w:pStyle w:val="ListBullet"/>
            </w:pPr>
            <w:r w:rsidRPr="00001000">
              <w:t>dealing with emotionally distressed people</w:t>
            </w:r>
          </w:p>
          <w:p w:rsidR="00000000" w:rsidRPr="00001000" w:rsidP="00001000">
            <w:pPr>
              <w:pStyle w:val="ListBullet"/>
            </w:pPr>
            <w:r w:rsidRPr="00001000">
              <w:t>attending inquests</w:t>
            </w:r>
          </w:p>
          <w:p w:rsidR="00000000" w:rsidRPr="00001000" w:rsidP="00001000">
            <w:pPr>
              <w:pStyle w:val="ListBullet"/>
            </w:pPr>
            <w:r w:rsidRPr="00001000">
              <w:t>ensuring only relevant people are admitted to the courtroom, especially in juvenile courts</w:t>
            </w:r>
          </w:p>
          <w:p w:rsidR="00000000" w:rsidP="00001000">
            <w:pPr>
              <w:pStyle w:val="ListBullet"/>
              <w:rPr>
                <w:lang w:val="en-NZ"/>
              </w:rPr>
            </w:pPr>
            <w:r w:rsidRPr="00001000">
              <w:t>working with private security guards or escort services for defendants in custody</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Legislation</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state, territory and commonwealth Acts relating to:</w:t>
            </w:r>
          </w:p>
          <w:p w:rsidR="00000000" w:rsidRPr="00001000" w:rsidP="00001000">
            <w:pPr>
              <w:pStyle w:val="ListBullet2"/>
            </w:pPr>
            <w:r w:rsidRPr="00001000">
              <w:t>adm</w:t>
            </w:r>
            <w:r w:rsidRPr="00001000">
              <w:t>iralty</w:t>
            </w:r>
          </w:p>
          <w:p w:rsidR="00000000" w:rsidRPr="00001000" w:rsidP="00001000">
            <w:pPr>
              <w:pStyle w:val="ListBullet2"/>
            </w:pPr>
            <w:r w:rsidRPr="00001000">
              <w:t>bail</w:t>
            </w:r>
          </w:p>
          <w:p w:rsidR="00000000" w:rsidRPr="00001000" w:rsidP="00001000">
            <w:pPr>
              <w:pStyle w:val="ListBullet2"/>
            </w:pPr>
            <w:r w:rsidRPr="00001000">
              <w:t>bankruptcy</w:t>
            </w:r>
          </w:p>
          <w:p w:rsidR="00000000" w:rsidRPr="00001000" w:rsidP="00001000">
            <w:pPr>
              <w:pStyle w:val="ListBullet2"/>
            </w:pPr>
            <w:r w:rsidRPr="00001000">
              <w:t>child protection</w:t>
            </w:r>
          </w:p>
          <w:p w:rsidR="00000000" w:rsidRPr="00001000" w:rsidP="00001000">
            <w:pPr>
              <w:pStyle w:val="ListBullet"/>
            </w:pPr>
            <w:r w:rsidRPr="00001000">
              <w:t>coroners</w:t>
            </w:r>
          </w:p>
          <w:p w:rsidR="00000000" w:rsidRPr="00001000" w:rsidP="00001000">
            <w:pPr>
              <w:pStyle w:val="ListBullet"/>
            </w:pPr>
            <w:r w:rsidRPr="00001000">
              <w:t>courts</w:t>
            </w:r>
          </w:p>
          <w:p w:rsidR="00000000" w:rsidRPr="00001000" w:rsidP="00001000">
            <w:pPr>
              <w:pStyle w:val="ListBullet"/>
            </w:pPr>
            <w:r w:rsidRPr="00001000">
              <w:t>crime</w:t>
            </w:r>
          </w:p>
          <w:p w:rsidR="00000000" w:rsidRPr="00001000" w:rsidP="00001000">
            <w:pPr>
              <w:pStyle w:val="ListBullet"/>
            </w:pPr>
            <w:r w:rsidRPr="00001000">
              <w:t>fines</w:t>
            </w:r>
          </w:p>
          <w:p w:rsidR="00000000" w:rsidRPr="00001000" w:rsidP="00001000">
            <w:pPr>
              <w:pStyle w:val="ListBullet"/>
            </w:pPr>
            <w:r w:rsidRPr="00001000">
              <w:t>family law</w:t>
            </w:r>
          </w:p>
          <w:p w:rsidR="00000000" w:rsidRPr="00001000" w:rsidP="00001000">
            <w:pPr>
              <w:pStyle w:val="ListBullet"/>
            </w:pPr>
            <w:r w:rsidRPr="00001000">
              <w:t>juvenile offenders</w:t>
            </w:r>
          </w:p>
          <w:p w:rsidR="00000000" w:rsidP="00001000">
            <w:pPr>
              <w:pStyle w:val="ListBullet"/>
              <w:rPr>
                <w:lang w:val="en-NZ"/>
              </w:rPr>
            </w:pPr>
            <w:r w:rsidRPr="00001000">
              <w:t>residential tenancies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Records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cause lists</w:t>
            </w:r>
          </w:p>
          <w:p w:rsidR="00000000" w:rsidRPr="00001000" w:rsidP="00001000">
            <w:pPr>
              <w:pStyle w:val="ListBullet"/>
            </w:pPr>
            <w:r w:rsidRPr="00001000">
              <w:t>client information sheets</w:t>
            </w:r>
          </w:p>
          <w:p w:rsidR="00000000" w:rsidRPr="00001000" w:rsidP="00001000">
            <w:pPr>
              <w:pStyle w:val="ListBullet"/>
            </w:pPr>
            <w:r w:rsidRPr="00001000">
              <w:t>statistical data forms</w:t>
            </w:r>
          </w:p>
          <w:p w:rsidR="00000000" w:rsidRPr="00001000" w:rsidP="00001000">
            <w:pPr>
              <w:pStyle w:val="ListBullet"/>
            </w:pPr>
            <w:r w:rsidRPr="00001000">
              <w:t>witness details</w:t>
            </w:r>
          </w:p>
          <w:p w:rsidR="00000000" w:rsidRPr="00001000" w:rsidP="00001000">
            <w:pPr>
              <w:pStyle w:val="ListBullet"/>
            </w:pPr>
            <w:r w:rsidRPr="00001000">
              <w:t>exhibit lists</w:t>
            </w:r>
          </w:p>
          <w:p w:rsidR="00000000" w:rsidRPr="00001000" w:rsidP="00001000">
            <w:pPr>
              <w:pStyle w:val="ListBullet"/>
            </w:pPr>
            <w:r w:rsidRPr="00001000">
              <w:t>claim forms for witnesses and jurors</w:t>
            </w:r>
          </w:p>
          <w:p w:rsidR="00000000" w:rsidRPr="00001000" w:rsidP="00001000">
            <w:pPr>
              <w:pStyle w:val="ListBullet"/>
            </w:pPr>
            <w:r w:rsidRPr="00001000">
              <w:t>payment forms</w:t>
            </w:r>
          </w:p>
          <w:p w:rsidR="00000000" w:rsidRPr="00001000" w:rsidP="00001000">
            <w:pPr>
              <w:pStyle w:val="ListBullet"/>
            </w:pPr>
            <w:r w:rsidRPr="00001000">
              <w:t>cover sheets for declarations</w:t>
            </w:r>
          </w:p>
          <w:p w:rsidR="00000000" w:rsidP="00001000">
            <w:pPr>
              <w:pStyle w:val="ListBullet"/>
              <w:rPr>
                <w:lang w:val="en-NZ"/>
              </w:rPr>
            </w:pPr>
            <w:r w:rsidRPr="00001000">
              <w:t>inquest logs</w:t>
            </w:r>
          </w:p>
        </w:tc>
      </w:tr>
      <w:tr w:rsidTr="00406CE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00">
            <w:pPr>
              <w:pStyle w:val="BodyText"/>
              <w:rPr>
                <w:lang w:val="en-NZ"/>
              </w:rPr>
            </w:pPr>
            <w:r w:rsidRPr="00001000">
              <w:rPr>
                <w:rStyle w:val="BoldandItalics"/>
              </w:rPr>
              <w:t>Documentary requirements</w:t>
            </w:r>
            <w:r w:rsidRPr="00001000">
              <w:t xml:space="preserve"> may include: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00" w:rsidP="00001000">
            <w:pPr>
              <w:pStyle w:val="ListBullet"/>
            </w:pPr>
            <w:r w:rsidRPr="00001000">
              <w:t>paperwork for release on bail or community service orders</w:t>
            </w:r>
          </w:p>
          <w:p w:rsidR="00000000" w:rsidRPr="00001000" w:rsidP="00001000">
            <w:pPr>
              <w:pStyle w:val="ListBullet"/>
            </w:pPr>
            <w:r w:rsidRPr="00001000">
              <w:t>guarantor's details and documents to be signed</w:t>
            </w:r>
          </w:p>
          <w:p w:rsidR="00000000" w:rsidRPr="00001000" w:rsidP="00001000">
            <w:pPr>
              <w:pStyle w:val="ListBullet"/>
            </w:pPr>
            <w:r w:rsidRPr="00001000">
              <w:t>remand and adjour</w:t>
            </w:r>
            <w:r w:rsidRPr="00001000">
              <w:t>nment slips</w:t>
            </w:r>
          </w:p>
          <w:p w:rsidR="00000000" w:rsidRPr="00001000" w:rsidP="00001000">
            <w:pPr>
              <w:pStyle w:val="ListBullet"/>
            </w:pPr>
            <w:r w:rsidRPr="00001000">
              <w:t>small claims proformas</w:t>
            </w:r>
          </w:p>
          <w:p w:rsidR="00000000" w:rsidRPr="00001000" w:rsidP="00001000">
            <w:pPr>
              <w:pStyle w:val="ListBullet"/>
            </w:pPr>
            <w:r w:rsidRPr="00001000">
              <w:t>notice of payment forms</w:t>
            </w:r>
          </w:p>
          <w:p w:rsidR="00000000" w:rsidRPr="00001000" w:rsidP="00001000">
            <w:pPr>
              <w:pStyle w:val="ListBullet"/>
            </w:pPr>
            <w:r w:rsidRPr="00001000">
              <w:t>care and protection forms</w:t>
            </w:r>
          </w:p>
          <w:p w:rsidR="00000000" w:rsidRPr="00001000" w:rsidP="00001000">
            <w:pPr>
              <w:pStyle w:val="ListBullet"/>
            </w:pPr>
            <w:r w:rsidRPr="00001000">
              <w:t>adoption forms</w:t>
            </w:r>
          </w:p>
          <w:p w:rsidR="00000000" w:rsidRPr="00001000" w:rsidP="00001000">
            <w:pPr>
              <w:pStyle w:val="ListBullet"/>
            </w:pPr>
            <w:r w:rsidRPr="00001000">
              <w:t>warrants</w:t>
            </w:r>
          </w:p>
        </w:tc>
      </w:tr>
    </w:tbl>
    <w:p w:rsidR="00406CE2" w:rsidP="00001000">
      <w:pPr>
        <w:pStyle w:val="BodyText"/>
      </w:pPr>
    </w:p>
    <w:p w:rsidR="00406CE2" w:rsidP="00001000">
      <w:pPr>
        <w:pStyle w:val="BodyText"/>
      </w:pPr>
    </w:p>
    <w:p w:rsidR="00000000" w:rsidRPr="00001000" w:rsidP="00001000">
      <w:pPr>
        <w:pStyle w:val="Heading1"/>
      </w:pPr>
      <w:bookmarkStart w:id="12" w:name="O_494817"/>
      <w:bookmarkEnd w:id="12"/>
      <w:r w:rsidRPr="00001000">
        <w:t>Unit Sector(s)</w:t>
      </w:r>
    </w:p>
    <w:p w:rsidR="00000000" w:rsidRPr="00001000" w:rsidP="00001000">
      <w:pPr>
        <w:pStyle w:val="BodyText"/>
      </w:pPr>
      <w:r w:rsidRPr="00001000">
        <w:t>Not applicable.</w:t>
      </w:r>
    </w:p>
    <w:p w:rsidR="00000000" w:rsidRPr="00001000" w:rsidP="00001000">
      <w:pPr>
        <w:pStyle w:val="AllowPageBreak"/>
      </w:pPr>
    </w:p>
    <w:p w:rsidR="00000000" w:rsidRPr="00001000" w:rsidP="00001000">
      <w:pPr>
        <w:pStyle w:val="Heading1"/>
      </w:pPr>
      <w:bookmarkStart w:id="13" w:name="O_494825"/>
      <w:bookmarkEnd w:id="13"/>
      <w:r w:rsidRPr="00001000">
        <w:t>Competency field</w:t>
      </w:r>
    </w:p>
    <w:p w:rsidR="00000000" w:rsidRPr="00001000" w:rsidP="00001000">
      <w:pPr>
        <w:pStyle w:val="BodyText"/>
      </w:pPr>
      <w:r w:rsidRPr="00001000">
        <w:t>Courts.</w:t>
      </w:r>
    </w:p>
    <w:p w:rsidR="00000000" w:rsidRPr="00001000" w:rsidP="00001000"/>
    <w:sectPr w:rsidSect="00001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CE2" w:rsidP="00406C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2" w:rsidP="000010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6CE2" w:rsidP="00001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6CE2" w:rsidP="00001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00" w:rsidRPr="00406CE2" w:rsidP="00406C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2" w:rsidRPr="002D2AF8" w:rsidP="00001000">
    <w:pPr>
      <w:pStyle w:val="Header"/>
      <w:framePr w:wrap="around"/>
    </w:pPr>
    <w:r>
      <w:fldChar w:fldCharType="begin"/>
    </w:r>
    <w:r>
      <w:instrText xml:space="preserve"> TITLE   \* MERGEFORMAT </w:instrText>
    </w:r>
    <w:r>
      <w:fldChar w:fldCharType="separate"/>
    </w:r>
    <w:r>
      <w:t>PSPCRT501C Perform court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06CE2" w:rsidP="00001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4E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C3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83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000"/>
    <w:pPr>
      <w:spacing w:before="360" w:after="60"/>
      <w:outlineLvl w:val="0"/>
    </w:pPr>
    <w:rPr>
      <w:sz w:val="32"/>
    </w:rPr>
  </w:style>
  <w:style w:type="paragraph" w:styleId="Heading2">
    <w:name w:val="heading 2"/>
    <w:basedOn w:val="HeadingBase"/>
    <w:next w:val="BodyText"/>
    <w:link w:val="Heading2Char"/>
    <w:qFormat/>
    <w:rsid w:val="00001000"/>
    <w:pPr>
      <w:keepLines/>
      <w:spacing w:before="240" w:after="120"/>
      <w:outlineLvl w:val="1"/>
    </w:pPr>
    <w:rPr>
      <w:sz w:val="28"/>
      <w:szCs w:val="40"/>
    </w:rPr>
  </w:style>
  <w:style w:type="paragraph" w:styleId="Heading3">
    <w:name w:val="heading 3"/>
    <w:basedOn w:val="HeadingBase"/>
    <w:next w:val="BodyText"/>
    <w:link w:val="Heading3Char"/>
    <w:qFormat/>
    <w:rsid w:val="00001000"/>
    <w:pPr>
      <w:spacing w:before="180" w:after="120"/>
      <w:outlineLvl w:val="2"/>
    </w:pPr>
    <w:rPr>
      <w:spacing w:val="-10"/>
      <w:kern w:val="32"/>
    </w:rPr>
  </w:style>
  <w:style w:type="paragraph" w:styleId="Heading4">
    <w:name w:val="heading 4"/>
    <w:basedOn w:val="HeadingBase"/>
    <w:next w:val="BodyText"/>
    <w:link w:val="Heading4Char"/>
    <w:qFormat/>
    <w:rsid w:val="00001000"/>
    <w:pPr>
      <w:spacing w:before="160" w:after="120"/>
      <w:outlineLvl w:val="3"/>
    </w:pPr>
    <w:rPr>
      <w:sz w:val="22"/>
    </w:rPr>
  </w:style>
  <w:style w:type="paragraph" w:styleId="Heading5">
    <w:name w:val="heading 5"/>
    <w:basedOn w:val="HeadingBase"/>
    <w:next w:val="Normal"/>
    <w:link w:val="Heading5Char"/>
    <w:qFormat/>
    <w:rsid w:val="00001000"/>
    <w:pPr>
      <w:spacing w:before="80"/>
      <w:outlineLvl w:val="4"/>
    </w:pPr>
    <w:rPr>
      <w:color w:val="918585"/>
      <w:sz w:val="20"/>
    </w:rPr>
  </w:style>
  <w:style w:type="paragraph" w:styleId="Heading6">
    <w:name w:val="heading 6"/>
    <w:basedOn w:val="HeadingBase"/>
    <w:next w:val="Normal"/>
    <w:link w:val="Heading6Char"/>
    <w:qFormat/>
    <w:rsid w:val="00001000"/>
    <w:pPr>
      <w:spacing w:before="60"/>
      <w:outlineLvl w:val="5"/>
    </w:pPr>
    <w:rPr>
      <w:color w:val="918585"/>
      <w:sz w:val="20"/>
    </w:rPr>
  </w:style>
  <w:style w:type="paragraph" w:styleId="Heading7">
    <w:name w:val="heading 7"/>
    <w:basedOn w:val="Normal"/>
    <w:next w:val="Normal"/>
    <w:link w:val="Heading7Char"/>
    <w:qFormat/>
    <w:rsid w:val="00001000"/>
    <w:pPr>
      <w:ind w:left="720"/>
      <w:outlineLvl w:val="6"/>
    </w:pPr>
    <w:rPr>
      <w:i/>
    </w:rPr>
  </w:style>
  <w:style w:type="paragraph" w:styleId="Heading8">
    <w:name w:val="heading 8"/>
    <w:basedOn w:val="Normal"/>
    <w:next w:val="Normal"/>
    <w:link w:val="Heading8Char"/>
    <w:qFormat/>
    <w:rsid w:val="00001000"/>
    <w:pPr>
      <w:ind w:left="720"/>
      <w:outlineLvl w:val="7"/>
    </w:pPr>
    <w:rPr>
      <w:i/>
    </w:rPr>
  </w:style>
  <w:style w:type="paragraph" w:styleId="Heading9">
    <w:name w:val="heading 9"/>
    <w:basedOn w:val="Normal"/>
    <w:next w:val="Normal"/>
    <w:link w:val="Heading9Char"/>
    <w:qFormat/>
    <w:rsid w:val="00001000"/>
    <w:pPr>
      <w:ind w:left="720"/>
      <w:outlineLvl w:val="8"/>
    </w:pPr>
    <w:rPr>
      <w:i/>
    </w:rPr>
  </w:style>
  <w:style w:type="character" w:default="1" w:styleId="DefaultParagraphFont">
    <w:name w:val="Default Paragraph Font"/>
    <w:uiPriority w:val="1"/>
    <w:unhideWhenUsed/>
    <w:rsid w:val="00001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000"/>
  </w:style>
  <w:style w:type="character" w:customStyle="1" w:styleId="Heading1Char">
    <w:name w:val="Heading 1 Char"/>
    <w:basedOn w:val="DefaultParagraphFont"/>
    <w:link w:val="Heading1"/>
    <w:rsid w:val="00001000"/>
    <w:rPr>
      <w:rFonts w:ascii="Times New Roman" w:eastAsia="Times New Roman" w:hAnsi="Times New Roman" w:cs="Times New Roman"/>
      <w:b/>
      <w:sz w:val="32"/>
      <w:szCs w:val="20"/>
      <w:lang w:eastAsia="en-US"/>
    </w:rPr>
  </w:style>
  <w:style w:type="paragraph" w:styleId="BodyText">
    <w:name w:val="Body Text"/>
    <w:basedOn w:val="Normal"/>
    <w:link w:val="BodyTextChar"/>
    <w:rsid w:val="00001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000"/>
    <w:rPr>
      <w:rFonts w:ascii="Times New Roman" w:eastAsia="Times New Roman" w:hAnsi="Times New Roman" w:cs="Times New Roman"/>
      <w:sz w:val="24"/>
      <w:lang w:eastAsia="en-US"/>
    </w:rPr>
  </w:style>
  <w:style w:type="paragraph" w:styleId="Footer">
    <w:name w:val="footer"/>
    <w:basedOn w:val="Normal"/>
    <w:link w:val="FooterChar"/>
    <w:rsid w:val="00001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000"/>
    <w:rPr>
      <w:rFonts w:ascii="Times New Roman" w:eastAsia="Times New Roman" w:hAnsi="Times New Roman" w:cs="Times New Roman"/>
      <w:sz w:val="16"/>
      <w:lang w:eastAsia="en-US"/>
    </w:rPr>
  </w:style>
  <w:style w:type="paragraph" w:styleId="List">
    <w:name w:val="List"/>
    <w:basedOn w:val="BodyText"/>
    <w:next w:val="BodyText"/>
    <w:rsid w:val="00001000"/>
    <w:pPr>
      <w:tabs>
        <w:tab w:val="left" w:pos="340"/>
      </w:tabs>
      <w:spacing w:before="60" w:after="60"/>
      <w:ind w:left="340" w:hanging="340"/>
    </w:pPr>
  </w:style>
  <w:style w:type="paragraph" w:styleId="ListBullet">
    <w:name w:val="List Bullet"/>
    <w:basedOn w:val="List"/>
    <w:rsid w:val="00001000"/>
    <w:pPr>
      <w:numPr>
        <w:numId w:val="13"/>
      </w:numPr>
      <w:tabs>
        <w:tab w:val="clear" w:pos="340"/>
      </w:tabs>
      <w:spacing w:before="40" w:after="40"/>
    </w:pPr>
  </w:style>
  <w:style w:type="character" w:customStyle="1" w:styleId="SpecialBold">
    <w:name w:val="Special Bold"/>
    <w:basedOn w:val="DefaultParagraphFont"/>
    <w:rsid w:val="00001000"/>
    <w:rPr>
      <w:b/>
      <w:spacing w:val="0"/>
    </w:rPr>
  </w:style>
  <w:style w:type="paragraph" w:styleId="ListBullet2">
    <w:name w:val="List Bullet 2"/>
    <w:basedOn w:val="List2"/>
    <w:rsid w:val="00001000"/>
    <w:pPr>
      <w:numPr>
        <w:numId w:val="14"/>
      </w:numPr>
      <w:tabs>
        <w:tab w:val="clear" w:pos="680"/>
      </w:tabs>
    </w:pPr>
  </w:style>
  <w:style w:type="paragraph" w:customStyle="1" w:styleId="SuperHeading">
    <w:name w:val="SuperHeading"/>
    <w:basedOn w:val="Normal"/>
    <w:rsid w:val="00001000"/>
    <w:pPr>
      <w:spacing w:before="240" w:after="120"/>
      <w:outlineLvl w:val="0"/>
    </w:pPr>
    <w:rPr>
      <w:rFonts w:ascii="Times New Roman" w:hAnsi="Times New Roman"/>
      <w:b/>
      <w:sz w:val="28"/>
    </w:rPr>
  </w:style>
  <w:style w:type="paragraph" w:customStyle="1" w:styleId="AllowPageBreak">
    <w:name w:val="AllowPageBreak"/>
    <w:rsid w:val="00001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000"/>
    <w:rPr>
      <w:b/>
      <w:i/>
      <w:u w:val="none"/>
    </w:rPr>
  </w:style>
  <w:style w:type="character" w:customStyle="1" w:styleId="Heading2Char">
    <w:name w:val="Heading 2 Char"/>
    <w:basedOn w:val="DefaultParagraphFont"/>
    <w:link w:val="Heading2"/>
    <w:rsid w:val="00001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000"/>
    <w:rPr>
      <w:rFonts w:ascii="Courier New" w:eastAsia="Times New Roman" w:hAnsi="Courier New" w:cs="Times New Roman"/>
      <w:i/>
      <w:szCs w:val="20"/>
      <w:lang w:eastAsia="en-US"/>
    </w:rPr>
  </w:style>
  <w:style w:type="paragraph" w:customStyle="1" w:styleId="HeadingBase">
    <w:name w:val="Heading Base"/>
    <w:rsid w:val="00001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000"/>
    <w:pPr>
      <w:tabs>
        <w:tab w:val="right" w:leader="dot" w:pos="9072"/>
      </w:tabs>
      <w:ind w:left="567"/>
    </w:pPr>
    <w:rPr>
      <w:szCs w:val="22"/>
    </w:rPr>
  </w:style>
  <w:style w:type="paragraph" w:customStyle="1" w:styleId="TOCBase">
    <w:name w:val="TOC Base"/>
    <w:rsid w:val="00001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000"/>
    <w:pPr>
      <w:tabs>
        <w:tab w:val="right" w:leader="dot" w:pos="9072"/>
      </w:tabs>
      <w:spacing w:before="40" w:after="40"/>
      <w:ind w:left="284"/>
    </w:pPr>
    <w:rPr>
      <w:rFonts w:ascii="Times New Roman" w:hAnsi="Times New Roman"/>
    </w:rPr>
  </w:style>
  <w:style w:type="paragraph" w:styleId="TOC1">
    <w:name w:val="toc 1"/>
    <w:basedOn w:val="TOCBase"/>
    <w:next w:val="Normal"/>
    <w:rsid w:val="00001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000"/>
    <w:pPr>
      <w:spacing w:before="5040"/>
      <w:jc w:val="center"/>
    </w:pPr>
    <w:rPr>
      <w:sz w:val="48"/>
      <w:szCs w:val="72"/>
      <w:lang w:val="en-US"/>
    </w:rPr>
  </w:style>
  <w:style w:type="character" w:customStyle="1" w:styleId="TitleChar">
    <w:name w:val="Title Char"/>
    <w:basedOn w:val="DefaultParagraphFont"/>
    <w:link w:val="Title"/>
    <w:rsid w:val="00001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000"/>
    <w:pPr>
      <w:tabs>
        <w:tab w:val="left" w:pos="3600"/>
        <w:tab w:val="left" w:pos="3958"/>
      </w:tabs>
    </w:pPr>
  </w:style>
  <w:style w:type="paragraph" w:customStyle="1" w:styleId="Note">
    <w:name w:val="Note"/>
    <w:basedOn w:val="BodyText"/>
    <w:rsid w:val="00001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000"/>
    <w:pPr>
      <w:framePr w:wrap="auto" w:hAnchor="text" w:y="6049"/>
    </w:pPr>
    <w:rPr>
      <w:color w:val="000000"/>
      <w:sz w:val="40"/>
    </w:rPr>
  </w:style>
  <w:style w:type="paragraph" w:customStyle="1" w:styleId="TOCTitle">
    <w:name w:val="TOCTitle"/>
    <w:basedOn w:val="Heading1"/>
    <w:rsid w:val="00001000"/>
    <w:pPr>
      <w:spacing w:after="240"/>
      <w:jc w:val="center"/>
      <w:outlineLvl w:val="9"/>
    </w:pPr>
    <w:rPr>
      <w:caps/>
    </w:rPr>
  </w:style>
  <w:style w:type="paragraph" w:customStyle="1" w:styleId="Version">
    <w:name w:val="Version"/>
    <w:rsid w:val="00001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000"/>
    <w:pPr>
      <w:keepNext w:val="0"/>
      <w:tabs>
        <w:tab w:val="right" w:pos="4176"/>
      </w:tabs>
      <w:ind w:left="198" w:hanging="198"/>
    </w:pPr>
    <w:rPr>
      <w:rFonts w:ascii="Garamond" w:hAnsi="Garamond"/>
    </w:rPr>
  </w:style>
  <w:style w:type="paragraph" w:styleId="IndexHeading">
    <w:name w:val="index heading"/>
    <w:basedOn w:val="Normal"/>
    <w:next w:val="Index1"/>
    <w:semiHidden/>
    <w:rsid w:val="00001000"/>
    <w:pPr>
      <w:spacing w:before="120" w:after="120"/>
    </w:pPr>
    <w:rPr>
      <w:rFonts w:ascii="Arial" w:hAnsi="Arial"/>
      <w:b/>
      <w:color w:val="918585"/>
      <w:sz w:val="24"/>
    </w:rPr>
  </w:style>
  <w:style w:type="paragraph" w:styleId="Header">
    <w:name w:val="header"/>
    <w:basedOn w:val="Normal"/>
    <w:link w:val="HeaderChar"/>
    <w:rsid w:val="00001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000"/>
    <w:rPr>
      <w:rFonts w:ascii="Times New Roman" w:eastAsia="Times New Roman" w:hAnsi="Times New Roman" w:cs="Times New Roman"/>
      <w:sz w:val="16"/>
      <w:szCs w:val="20"/>
      <w:lang w:val="en-GB" w:eastAsia="en-US"/>
    </w:rPr>
  </w:style>
  <w:style w:type="paragraph" w:customStyle="1" w:styleId="Chapter">
    <w:name w:val="Chapter"/>
    <w:basedOn w:val="Normal"/>
    <w:rsid w:val="00001000"/>
    <w:pPr>
      <w:spacing w:before="240"/>
    </w:pPr>
    <w:rPr>
      <w:rFonts w:ascii="Times New Roman" w:hAnsi="Times New Roman"/>
      <w:smallCaps/>
      <w:spacing w:val="80"/>
      <w:sz w:val="28"/>
    </w:rPr>
  </w:style>
  <w:style w:type="paragraph" w:customStyle="1" w:styleId="InChapter">
    <w:name w:val="InChapter"/>
    <w:basedOn w:val="Heading3"/>
    <w:rsid w:val="00001000"/>
    <w:pPr>
      <w:spacing w:after="240"/>
      <w:outlineLvl w:val="9"/>
    </w:pPr>
    <w:rPr>
      <w:noProof/>
    </w:rPr>
  </w:style>
  <w:style w:type="paragraph" w:styleId="Index2">
    <w:name w:val="index 2"/>
    <w:basedOn w:val="Normal"/>
    <w:next w:val="Normal"/>
    <w:semiHidden/>
    <w:rsid w:val="00001000"/>
    <w:pPr>
      <w:tabs>
        <w:tab w:val="right" w:pos="4176"/>
      </w:tabs>
      <w:ind w:left="568" w:hanging="284"/>
    </w:pPr>
    <w:rPr>
      <w:rFonts w:ascii="Garamond" w:hAnsi="Garamond"/>
    </w:rPr>
  </w:style>
  <w:style w:type="paragraph" w:customStyle="1" w:styleId="Byline">
    <w:name w:val="Byline"/>
    <w:rsid w:val="00001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000"/>
    <w:pPr>
      <w:tabs>
        <w:tab w:val="clear" w:pos="3600"/>
        <w:tab w:val="clear" w:pos="3958"/>
      </w:tabs>
      <w:jc w:val="right"/>
    </w:pPr>
  </w:style>
  <w:style w:type="character" w:styleId="Emphasis">
    <w:name w:val="Emphasis"/>
    <w:basedOn w:val="DefaultParagraphFont"/>
    <w:qFormat/>
    <w:rsid w:val="00001000"/>
    <w:rPr>
      <w:i/>
    </w:rPr>
  </w:style>
  <w:style w:type="paragraph" w:styleId="Caption">
    <w:name w:val="caption"/>
    <w:basedOn w:val="BodyText"/>
    <w:next w:val="Normal"/>
    <w:qFormat/>
    <w:rsid w:val="00001000"/>
    <w:pPr>
      <w:framePr w:w="2268" w:hSpace="181" w:vSpace="181" w:wrap="around" w:vAnchor="text" w:hAnchor="page" w:x="1135" w:y="285" w:anchorLock="1"/>
    </w:pPr>
    <w:rPr>
      <w:i/>
    </w:rPr>
  </w:style>
  <w:style w:type="paragraph" w:customStyle="1" w:styleId="MiniTOCTitle">
    <w:name w:val="MiniTOCTitle"/>
    <w:basedOn w:val="Heading4"/>
    <w:rsid w:val="00001000"/>
    <w:pPr>
      <w:spacing w:before="240"/>
      <w:outlineLvl w:val="9"/>
    </w:pPr>
    <w:rPr>
      <w:noProof/>
      <w:sz w:val="24"/>
    </w:rPr>
  </w:style>
  <w:style w:type="paragraph" w:customStyle="1" w:styleId="MiniTOCItem">
    <w:name w:val="MiniTOCItem"/>
    <w:basedOn w:val="ListBullet"/>
    <w:rsid w:val="00001000"/>
    <w:pPr>
      <w:numPr>
        <w:numId w:val="0"/>
      </w:numPr>
      <w:tabs>
        <w:tab w:val="right" w:leader="dot" w:pos="6521"/>
      </w:tabs>
      <w:spacing w:before="0" w:after="0"/>
    </w:pPr>
  </w:style>
  <w:style w:type="paragraph" w:customStyle="1" w:styleId="TOFTitle">
    <w:name w:val="TOFTitle"/>
    <w:basedOn w:val="TOCTitle"/>
    <w:rsid w:val="00001000"/>
  </w:style>
  <w:style w:type="paragraph" w:styleId="TableofFigures">
    <w:name w:val="table of figures"/>
    <w:basedOn w:val="Normal"/>
    <w:next w:val="Normal"/>
    <w:semiHidden/>
    <w:rsid w:val="00001000"/>
    <w:pPr>
      <w:tabs>
        <w:tab w:val="right" w:leader="dot" w:pos="9072"/>
      </w:tabs>
      <w:ind w:left="970" w:hanging="403"/>
    </w:pPr>
    <w:rPr>
      <w:rFonts w:ascii="Times New Roman" w:hAnsi="Times New Roman"/>
      <w:b/>
    </w:rPr>
  </w:style>
  <w:style w:type="paragraph" w:styleId="ListNumber">
    <w:name w:val="List Number"/>
    <w:basedOn w:val="List"/>
    <w:rsid w:val="00001000"/>
    <w:pPr>
      <w:numPr>
        <w:numId w:val="11"/>
      </w:numPr>
    </w:pPr>
  </w:style>
  <w:style w:type="character" w:customStyle="1" w:styleId="WingdingSymbols">
    <w:name w:val="Wingding Symbols"/>
    <w:rsid w:val="00001000"/>
    <w:rPr>
      <w:rFonts w:ascii="Wingdings" w:hAnsi="Wingdings"/>
    </w:rPr>
  </w:style>
  <w:style w:type="paragraph" w:customStyle="1" w:styleId="TableHeading">
    <w:name w:val="Table Heading"/>
    <w:basedOn w:val="HeadingBase"/>
    <w:rsid w:val="00001000"/>
    <w:pPr>
      <w:keepLines/>
      <w:pBdr>
        <w:bottom w:val="single" w:sz="6" w:space="1" w:color="918585"/>
      </w:pBdr>
      <w:spacing w:before="240"/>
    </w:pPr>
  </w:style>
  <w:style w:type="character" w:customStyle="1" w:styleId="HotSpot">
    <w:name w:val="HotSpot"/>
    <w:rsid w:val="00001000"/>
    <w:rPr>
      <w:color w:val="0033CC"/>
      <w:u w:val="none"/>
    </w:rPr>
  </w:style>
  <w:style w:type="paragraph" w:customStyle="1" w:styleId="BodyTextRight">
    <w:name w:val="Body Text Right"/>
    <w:basedOn w:val="BodyText"/>
    <w:rsid w:val="00001000"/>
    <w:pPr>
      <w:spacing w:before="0" w:after="0"/>
      <w:jc w:val="right"/>
    </w:pPr>
  </w:style>
  <w:style w:type="paragraph" w:styleId="Index3">
    <w:name w:val="index 3"/>
    <w:basedOn w:val="ListNumber2"/>
    <w:next w:val="Normal"/>
    <w:semiHidden/>
    <w:rsid w:val="00001000"/>
    <w:pPr>
      <w:numPr>
        <w:numId w:val="0"/>
      </w:numPr>
      <w:tabs>
        <w:tab w:val="right" w:leader="dot" w:pos="4176"/>
      </w:tabs>
    </w:pPr>
  </w:style>
  <w:style w:type="paragraph" w:styleId="ListNumber2">
    <w:name w:val="List Number 2"/>
    <w:basedOn w:val="List2"/>
    <w:rsid w:val="00001000"/>
    <w:pPr>
      <w:numPr>
        <w:numId w:val="10"/>
      </w:numPr>
      <w:tabs>
        <w:tab w:val="clear" w:pos="1060"/>
      </w:tabs>
    </w:pPr>
  </w:style>
  <w:style w:type="paragraph" w:customStyle="1" w:styleId="MarginNote">
    <w:name w:val="Margin Note"/>
    <w:basedOn w:val="BodyText"/>
    <w:rsid w:val="00001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000"/>
    <w:rPr>
      <w:sz w:val="32"/>
    </w:rPr>
  </w:style>
  <w:style w:type="paragraph" w:customStyle="1" w:styleId="HeadingProcedure">
    <w:name w:val="Heading Procedure"/>
    <w:basedOn w:val="HeadingBase"/>
    <w:next w:val="Normal"/>
    <w:rsid w:val="00001000"/>
    <w:pPr>
      <w:tabs>
        <w:tab w:val="left" w:pos="0"/>
      </w:tabs>
      <w:spacing w:before="120" w:after="60"/>
    </w:pPr>
    <w:rPr>
      <w:i/>
      <w:color w:val="918585"/>
      <w:sz w:val="22"/>
    </w:rPr>
  </w:style>
  <w:style w:type="paragraph" w:customStyle="1" w:styleId="TableBodyText">
    <w:name w:val="Table Body Text"/>
    <w:basedOn w:val="BodyText"/>
    <w:rsid w:val="00001000"/>
    <w:pPr>
      <w:spacing w:before="60" w:after="60"/>
    </w:pPr>
  </w:style>
  <w:style w:type="paragraph" w:styleId="ListContinue">
    <w:name w:val="List Continue"/>
    <w:basedOn w:val="List"/>
    <w:rsid w:val="00001000"/>
    <w:pPr>
      <w:ind w:firstLine="0"/>
    </w:pPr>
  </w:style>
  <w:style w:type="paragraph" w:customStyle="1" w:styleId="ListNote">
    <w:name w:val="List Note"/>
    <w:basedOn w:val="List"/>
    <w:rsid w:val="00001000"/>
    <w:pPr>
      <w:pBdr>
        <w:top w:val="single" w:sz="6" w:space="2" w:color="918585"/>
        <w:bottom w:val="single" w:sz="6" w:space="2" w:color="918585"/>
      </w:pBdr>
      <w:tabs>
        <w:tab w:val="left" w:pos="1021"/>
      </w:tabs>
      <w:ind w:firstLine="0"/>
    </w:pPr>
  </w:style>
  <w:style w:type="paragraph" w:customStyle="1" w:styleId="Warning">
    <w:name w:val="Warning"/>
    <w:basedOn w:val="BodyText"/>
    <w:rsid w:val="00001000"/>
    <w:pPr>
      <w:shd w:val="clear" w:color="auto" w:fill="D9D9D9"/>
      <w:tabs>
        <w:tab w:val="left" w:pos="992"/>
      </w:tabs>
      <w:ind w:left="119" w:right="119"/>
    </w:pPr>
    <w:rPr>
      <w:sz w:val="20"/>
    </w:rPr>
  </w:style>
  <w:style w:type="paragraph" w:customStyle="1" w:styleId="MarginIcons">
    <w:name w:val="Margin Icons"/>
    <w:basedOn w:val="BodyText"/>
    <w:rsid w:val="00001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000"/>
    <w:rPr>
      <w:rFonts w:ascii="Courier New" w:hAnsi="Courier New"/>
    </w:rPr>
  </w:style>
  <w:style w:type="paragraph" w:customStyle="1" w:styleId="NoteBullet">
    <w:name w:val="Note Bullet"/>
    <w:basedOn w:val="Note"/>
    <w:rsid w:val="00001000"/>
    <w:pPr>
      <w:tabs>
        <w:tab w:val="clear" w:pos="680"/>
      </w:tabs>
      <w:spacing w:before="60" w:after="60"/>
    </w:pPr>
  </w:style>
  <w:style w:type="paragraph" w:customStyle="1" w:styleId="SubHeading2">
    <w:name w:val="SubHeading2"/>
    <w:basedOn w:val="HeadingBase"/>
    <w:rsid w:val="00001000"/>
    <w:pPr>
      <w:spacing w:before="240" w:after="60"/>
    </w:pPr>
    <w:rPr>
      <w:sz w:val="20"/>
    </w:rPr>
  </w:style>
  <w:style w:type="paragraph" w:customStyle="1" w:styleId="SubHeading1">
    <w:name w:val="SubHeading1"/>
    <w:basedOn w:val="HeadingBase"/>
    <w:rsid w:val="00001000"/>
    <w:pPr>
      <w:spacing w:before="240" w:after="60"/>
    </w:pPr>
    <w:rPr>
      <w:color w:val="918585"/>
      <w:sz w:val="22"/>
    </w:rPr>
  </w:style>
  <w:style w:type="paragraph" w:customStyle="1" w:styleId="SideHeading">
    <w:name w:val="Side Heading"/>
    <w:basedOn w:val="HeadingBase"/>
    <w:rsid w:val="00001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000"/>
    <w:pPr>
      <w:numPr>
        <w:numId w:val="12"/>
      </w:numPr>
    </w:pPr>
  </w:style>
  <w:style w:type="paragraph" w:styleId="PlainText">
    <w:name w:val="Plain Text"/>
    <w:basedOn w:val="Normal"/>
    <w:link w:val="PlainTextChar"/>
    <w:rsid w:val="00001000"/>
    <w:rPr>
      <w:sz w:val="20"/>
    </w:rPr>
  </w:style>
  <w:style w:type="character" w:customStyle="1" w:styleId="PlainTextChar">
    <w:name w:val="Plain Text Char"/>
    <w:basedOn w:val="DefaultParagraphFont"/>
    <w:link w:val="PlainText"/>
    <w:rsid w:val="00001000"/>
    <w:rPr>
      <w:rFonts w:ascii="Courier New" w:eastAsia="Times New Roman" w:hAnsi="Courier New" w:cs="Times New Roman"/>
      <w:sz w:val="20"/>
      <w:szCs w:val="20"/>
      <w:lang w:eastAsia="en-US"/>
    </w:rPr>
  </w:style>
  <w:style w:type="character" w:customStyle="1" w:styleId="MenuOption">
    <w:name w:val="Menu Option"/>
    <w:basedOn w:val="DefaultParagraphFont"/>
    <w:rsid w:val="00001000"/>
    <w:rPr>
      <w:b/>
      <w:smallCaps/>
    </w:rPr>
  </w:style>
  <w:style w:type="paragraph" w:customStyle="1" w:styleId="TableListNumber">
    <w:name w:val="Table List Number"/>
    <w:basedOn w:val="ListNumber"/>
    <w:rsid w:val="00001000"/>
    <w:pPr>
      <w:numPr>
        <w:numId w:val="0"/>
      </w:numPr>
    </w:pPr>
  </w:style>
  <w:style w:type="paragraph" w:styleId="TOC4">
    <w:name w:val="toc 4"/>
    <w:basedOn w:val="TOCBase"/>
    <w:next w:val="Normal"/>
    <w:semiHidden/>
    <w:rsid w:val="00001000"/>
    <w:pPr>
      <w:tabs>
        <w:tab w:val="right" w:leader="dot" w:pos="9071"/>
      </w:tabs>
      <w:ind w:left="1701"/>
    </w:pPr>
  </w:style>
  <w:style w:type="paragraph" w:customStyle="1" w:styleId="ListAlpha">
    <w:name w:val="List Alpha"/>
    <w:basedOn w:val="List"/>
    <w:rsid w:val="00001000"/>
    <w:pPr>
      <w:numPr>
        <w:numId w:val="9"/>
      </w:numPr>
    </w:pPr>
  </w:style>
  <w:style w:type="paragraph" w:customStyle="1" w:styleId="ListAlpha2">
    <w:name w:val="List Alpha 2"/>
    <w:basedOn w:val="List2"/>
    <w:rsid w:val="00001000"/>
    <w:pPr>
      <w:numPr>
        <w:numId w:val="8"/>
      </w:numPr>
    </w:pPr>
  </w:style>
  <w:style w:type="paragraph" w:styleId="List2">
    <w:name w:val="List 2"/>
    <w:basedOn w:val="BodyText"/>
    <w:rsid w:val="00001000"/>
    <w:pPr>
      <w:tabs>
        <w:tab w:val="left" w:pos="680"/>
      </w:tabs>
      <w:spacing w:before="60" w:after="60"/>
      <w:ind w:left="680" w:hanging="340"/>
    </w:pPr>
  </w:style>
  <w:style w:type="paragraph" w:styleId="List3">
    <w:name w:val="List 3"/>
    <w:basedOn w:val="BodyText"/>
    <w:rsid w:val="00001000"/>
    <w:pPr>
      <w:tabs>
        <w:tab w:val="left" w:pos="1021"/>
      </w:tabs>
      <w:spacing w:before="60" w:after="60"/>
      <w:ind w:left="1020" w:hanging="340"/>
    </w:pPr>
  </w:style>
  <w:style w:type="paragraph" w:styleId="List4">
    <w:name w:val="List 4"/>
    <w:basedOn w:val="BodyText"/>
    <w:rsid w:val="00001000"/>
    <w:pPr>
      <w:tabs>
        <w:tab w:val="left" w:pos="1361"/>
      </w:tabs>
      <w:spacing w:before="60" w:after="60"/>
      <w:ind w:left="1361" w:hanging="340"/>
    </w:pPr>
  </w:style>
  <w:style w:type="paragraph" w:styleId="List5">
    <w:name w:val="List 5"/>
    <w:basedOn w:val="BodyText"/>
    <w:rsid w:val="00001000"/>
    <w:pPr>
      <w:tabs>
        <w:tab w:val="left" w:pos="1701"/>
      </w:tabs>
      <w:spacing w:before="60" w:after="60"/>
      <w:ind w:left="1701" w:hanging="340"/>
    </w:pPr>
  </w:style>
  <w:style w:type="paragraph" w:styleId="ListBullet3">
    <w:name w:val="List Bullet 3"/>
    <w:basedOn w:val="List3"/>
    <w:rsid w:val="00001000"/>
    <w:pPr>
      <w:numPr>
        <w:numId w:val="15"/>
      </w:numPr>
      <w:tabs>
        <w:tab w:val="clear" w:pos="1021"/>
      </w:tabs>
      <w:ind w:left="1037" w:hanging="357"/>
    </w:pPr>
  </w:style>
  <w:style w:type="paragraph" w:styleId="ListBullet4">
    <w:name w:val="List Bullet 4"/>
    <w:basedOn w:val="List4"/>
    <w:rsid w:val="00001000"/>
    <w:pPr>
      <w:numPr>
        <w:numId w:val="3"/>
      </w:numPr>
    </w:pPr>
  </w:style>
  <w:style w:type="paragraph" w:styleId="ListBullet5">
    <w:name w:val="List Bullet 5"/>
    <w:basedOn w:val="List5"/>
    <w:rsid w:val="00001000"/>
    <w:pPr>
      <w:numPr>
        <w:numId w:val="4"/>
      </w:numPr>
    </w:pPr>
  </w:style>
  <w:style w:type="paragraph" w:styleId="ListContinue2">
    <w:name w:val="List Continue 2"/>
    <w:basedOn w:val="List2"/>
    <w:rsid w:val="00001000"/>
    <w:pPr>
      <w:ind w:firstLine="0"/>
    </w:pPr>
  </w:style>
  <w:style w:type="paragraph" w:styleId="ListContinue3">
    <w:name w:val="List Continue 3"/>
    <w:basedOn w:val="List3"/>
    <w:rsid w:val="00001000"/>
    <w:pPr>
      <w:ind w:left="1021" w:firstLine="0"/>
    </w:pPr>
  </w:style>
  <w:style w:type="paragraph" w:styleId="ListContinue4">
    <w:name w:val="List Continue 4"/>
    <w:basedOn w:val="List4"/>
    <w:rsid w:val="00001000"/>
    <w:pPr>
      <w:ind w:firstLine="0"/>
    </w:pPr>
  </w:style>
  <w:style w:type="paragraph" w:styleId="ListContinue5">
    <w:name w:val="List Continue 5"/>
    <w:basedOn w:val="List5"/>
    <w:rsid w:val="00001000"/>
    <w:pPr>
      <w:ind w:firstLine="0"/>
    </w:pPr>
  </w:style>
  <w:style w:type="paragraph" w:styleId="ListNumber3">
    <w:name w:val="List Number 3"/>
    <w:basedOn w:val="List3"/>
    <w:rsid w:val="00001000"/>
    <w:pPr>
      <w:numPr>
        <w:numId w:val="5"/>
      </w:numPr>
    </w:pPr>
  </w:style>
  <w:style w:type="paragraph" w:styleId="ListNumber4">
    <w:name w:val="List Number 4"/>
    <w:basedOn w:val="List4"/>
    <w:rsid w:val="00001000"/>
    <w:pPr>
      <w:numPr>
        <w:numId w:val="6"/>
      </w:numPr>
    </w:pPr>
  </w:style>
  <w:style w:type="paragraph" w:styleId="ListNumber5">
    <w:name w:val="List Number 5"/>
    <w:basedOn w:val="List5"/>
    <w:rsid w:val="00001000"/>
    <w:pPr>
      <w:numPr>
        <w:numId w:val="7"/>
      </w:numPr>
    </w:pPr>
  </w:style>
  <w:style w:type="paragraph" w:styleId="BlockText">
    <w:name w:val="Block Text"/>
    <w:basedOn w:val="Normal"/>
    <w:rsid w:val="00001000"/>
    <w:pPr>
      <w:spacing w:after="120"/>
      <w:ind w:left="1440" w:right="1440"/>
    </w:pPr>
  </w:style>
  <w:style w:type="character" w:customStyle="1" w:styleId="Subscript">
    <w:name w:val="Subscript"/>
    <w:basedOn w:val="DefaultParagraphFont"/>
    <w:rsid w:val="00001000"/>
    <w:rPr>
      <w:sz w:val="16"/>
      <w:vertAlign w:val="subscript"/>
    </w:rPr>
  </w:style>
  <w:style w:type="character" w:customStyle="1" w:styleId="Superscript">
    <w:name w:val="Superscript"/>
    <w:basedOn w:val="DefaultParagraphFont"/>
    <w:rsid w:val="00001000"/>
    <w:rPr>
      <w:sz w:val="16"/>
      <w:vertAlign w:val="superscript"/>
    </w:rPr>
  </w:style>
  <w:style w:type="character" w:customStyle="1" w:styleId="Symbols">
    <w:name w:val="Symbols"/>
    <w:basedOn w:val="DefaultParagraphFont"/>
    <w:rsid w:val="00001000"/>
    <w:rPr>
      <w:rFonts w:ascii="Symbol" w:hAnsi="Symbol"/>
    </w:rPr>
  </w:style>
  <w:style w:type="character" w:customStyle="1" w:styleId="MenuOptions">
    <w:name w:val="Menu Options"/>
    <w:basedOn w:val="DefaultParagraphFont"/>
    <w:rsid w:val="00001000"/>
    <w:rPr>
      <w:rFonts w:ascii="Arial Narrow" w:hAnsi="Arial Narrow"/>
      <w:smallCaps/>
    </w:rPr>
  </w:style>
  <w:style w:type="character" w:customStyle="1" w:styleId="Buttons">
    <w:name w:val="Buttons"/>
    <w:basedOn w:val="DefaultParagraphFont"/>
    <w:rsid w:val="00001000"/>
    <w:rPr>
      <w:b/>
    </w:rPr>
  </w:style>
  <w:style w:type="character" w:customStyle="1" w:styleId="Underlined">
    <w:name w:val="Underlined"/>
    <w:basedOn w:val="DefaultParagraphFont"/>
    <w:rsid w:val="00001000"/>
    <w:rPr>
      <w:u w:val="single"/>
    </w:rPr>
  </w:style>
  <w:style w:type="paragraph" w:customStyle="1" w:styleId="TableBodyTextRight">
    <w:name w:val="Table Body Text Right"/>
    <w:basedOn w:val="TableBodyText"/>
    <w:rsid w:val="00001000"/>
    <w:pPr>
      <w:widowControl w:val="0"/>
      <w:autoSpaceDE w:val="0"/>
      <w:autoSpaceDN w:val="0"/>
      <w:adjustRightInd w:val="0"/>
      <w:jc w:val="right"/>
    </w:pPr>
    <w:rPr>
      <w:rFonts w:cs="Arial"/>
      <w:szCs w:val="18"/>
    </w:rPr>
  </w:style>
  <w:style w:type="paragraph" w:customStyle="1" w:styleId="CopyrightText">
    <w:name w:val="Copyright Text"/>
    <w:basedOn w:val="BodyText"/>
    <w:rsid w:val="00001000"/>
    <w:rPr>
      <w:sz w:val="18"/>
    </w:rPr>
  </w:style>
  <w:style w:type="paragraph" w:customStyle="1" w:styleId="BodySmallRight">
    <w:name w:val="Body Small Right"/>
    <w:basedOn w:val="BodyTextRight"/>
    <w:rsid w:val="00001000"/>
    <w:rPr>
      <w:sz w:val="18"/>
      <w:szCs w:val="18"/>
    </w:rPr>
  </w:style>
  <w:style w:type="paragraph" w:customStyle="1" w:styleId="MarginEdition">
    <w:name w:val="Margin Edition"/>
    <w:basedOn w:val="MarginNote"/>
    <w:rsid w:val="00001000"/>
    <w:pPr>
      <w:spacing w:before="0" w:after="0"/>
    </w:pPr>
    <w:rPr>
      <w:rFonts w:ascii="Times New Roman" w:hAnsi="Times New Roman"/>
      <w:color w:val="999999"/>
    </w:rPr>
  </w:style>
  <w:style w:type="paragraph" w:customStyle="1" w:styleId="Spacer">
    <w:name w:val="Spacer"/>
    <w:basedOn w:val="Normal"/>
    <w:rsid w:val="00001000"/>
    <w:rPr>
      <w:sz w:val="2"/>
      <w:szCs w:val="2"/>
    </w:rPr>
  </w:style>
  <w:style w:type="character" w:customStyle="1" w:styleId="Small">
    <w:name w:val="Small"/>
    <w:basedOn w:val="DefaultParagraphFont"/>
    <w:rsid w:val="00001000"/>
    <w:rPr>
      <w:sz w:val="16"/>
    </w:rPr>
  </w:style>
  <w:style w:type="paragraph" w:customStyle="1" w:styleId="WideTable">
    <w:name w:val="Wide Table"/>
    <w:basedOn w:val="Normal"/>
    <w:rsid w:val="00001000"/>
    <w:pPr>
      <w:ind w:left="-1418"/>
    </w:pPr>
    <w:rPr>
      <w:sz w:val="2"/>
      <w:szCs w:val="2"/>
    </w:rPr>
  </w:style>
  <w:style w:type="character" w:styleId="PageNumber">
    <w:name w:val="page number"/>
    <w:basedOn w:val="DefaultParagraphFont"/>
    <w:rsid w:val="00001000"/>
  </w:style>
  <w:style w:type="paragraph" w:styleId="Quote">
    <w:name w:val="Quote"/>
    <w:basedOn w:val="Heading1"/>
    <w:link w:val="QuoteChar"/>
    <w:qFormat/>
    <w:rsid w:val="00001000"/>
    <w:rPr>
      <w:b w:val="0"/>
      <w:sz w:val="72"/>
      <w:szCs w:val="72"/>
      <w:lang w:val="en-NZ"/>
    </w:rPr>
  </w:style>
  <w:style w:type="character" w:customStyle="1" w:styleId="QuoteChar">
    <w:name w:val="Quote Char"/>
    <w:basedOn w:val="DefaultParagraphFont"/>
    <w:link w:val="Quote"/>
    <w:rsid w:val="00001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000"/>
    <w:pPr>
      <w:pageBreakBefore/>
    </w:pPr>
  </w:style>
  <w:style w:type="paragraph" w:customStyle="1" w:styleId="Border">
    <w:name w:val="Border"/>
    <w:basedOn w:val="Normal"/>
    <w:qFormat/>
    <w:rsid w:val="00001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000"/>
    <w:rPr>
      <w:b/>
      <w:bCs/>
      <w:i/>
      <w:iCs/>
      <w:color w:val="auto"/>
    </w:rPr>
  </w:style>
  <w:style w:type="paragraph" w:styleId="IntenseQuote">
    <w:name w:val="Intense Quote"/>
    <w:basedOn w:val="Normal"/>
    <w:next w:val="Normal"/>
    <w:link w:val="IntenseQuoteChar"/>
    <w:uiPriority w:val="30"/>
    <w:qFormat/>
    <w:rsid w:val="00001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000"/>
    <w:rPr>
      <w:smallCaps/>
      <w:color w:val="auto"/>
      <w:u w:val="single"/>
    </w:rPr>
  </w:style>
  <w:style w:type="character" w:styleId="IntenseReference">
    <w:name w:val="Intense Reference"/>
    <w:basedOn w:val="DefaultParagraphFont"/>
    <w:uiPriority w:val="32"/>
    <w:qFormat/>
    <w:rsid w:val="00001000"/>
    <w:rPr>
      <w:b/>
      <w:bCs/>
      <w:smallCaps/>
      <w:color w:val="auto"/>
      <w:spacing w:val="5"/>
      <w:u w:val="single"/>
    </w:rPr>
  </w:style>
  <w:style w:type="paragraph" w:customStyle="1" w:styleId="2ColumnHeading">
    <w:name w:val="2Column Heading"/>
    <w:basedOn w:val="BodyText"/>
    <w:qFormat/>
    <w:rsid w:val="00001000"/>
    <w:pPr>
      <w:spacing w:after="60"/>
      <w:ind w:left="-2268"/>
    </w:pPr>
    <w:rPr>
      <w:b/>
    </w:rPr>
  </w:style>
  <w:style w:type="paragraph" w:customStyle="1" w:styleId="Heading1TOC">
    <w:name w:val="Heading1 TOC"/>
    <w:basedOn w:val="Normal"/>
    <w:qFormat/>
    <w:rsid w:val="00001000"/>
    <w:pPr>
      <w:spacing w:before="240" w:after="120"/>
    </w:pPr>
    <w:rPr>
      <w:rFonts w:ascii="Times New Roman" w:hAnsi="Times New Roman"/>
      <w:b/>
      <w:sz w:val="32"/>
    </w:rPr>
  </w:style>
  <w:style w:type="paragraph" w:customStyle="1" w:styleId="Heading2TOC">
    <w:name w:val="Heading2 TOC"/>
    <w:basedOn w:val="Normal"/>
    <w:qFormat/>
    <w:rsid w:val="00001000"/>
    <w:pPr>
      <w:spacing w:before="240" w:after="60"/>
    </w:pPr>
    <w:rPr>
      <w:rFonts w:ascii="Times New Roman" w:hAnsi="Times New Roman"/>
      <w:b/>
      <w:sz w:val="28"/>
    </w:rPr>
  </w:style>
  <w:style w:type="character" w:customStyle="1" w:styleId="Underline">
    <w:name w:val="Underline"/>
    <w:basedOn w:val="DefaultParagraphFont"/>
    <w:qFormat/>
    <w:rsid w:val="00001000"/>
    <w:rPr>
      <w:u w:val="single"/>
    </w:rPr>
  </w:style>
  <w:style w:type="paragraph" w:styleId="BalloonText">
    <w:name w:val="Balloon Text"/>
    <w:basedOn w:val="Normal"/>
    <w:link w:val="BalloonTextChar"/>
    <w:rsid w:val="00001000"/>
    <w:rPr>
      <w:rFonts w:ascii="Tahoma" w:hAnsi="Tahoma" w:cs="Tahoma"/>
      <w:sz w:val="16"/>
      <w:szCs w:val="16"/>
    </w:rPr>
  </w:style>
  <w:style w:type="character" w:customStyle="1" w:styleId="BalloonTextChar">
    <w:name w:val="Balloon Text Char"/>
    <w:basedOn w:val="DefaultParagraphFont"/>
    <w:link w:val="BalloonText"/>
    <w:rsid w:val="00001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000"/>
    <w:rPr>
      <w:b/>
      <w:color w:val="660033"/>
      <w:spacing w:val="0"/>
    </w:rPr>
  </w:style>
  <w:style w:type="paragraph" w:customStyle="1" w:styleId="Nameditemlist">
    <w:name w:val="Named item list"/>
    <w:basedOn w:val="BodyText"/>
    <w:qFormat/>
    <w:rsid w:val="00001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1564</Words>
  <Characters>10233</Characters>
  <Application>Microsoft Office Word</Application>
  <DocSecurity>0</DocSecurity>
  <Lines>410</Lines>
  <Paragraphs>299</Paragraphs>
  <ScaleCrop>false</ScaleCrop>
  <Company>Author-it Software Corporation Ltd.</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PSPCRT501C Perform court duties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2012-11-01T18:36:00Z</dcterms:created>
  <dcterms:modified xsi:type="dcterms:W3CDTF">2012-11-01T18:36:00Z</dcterms:modified>
</cp:coreProperties>
</file>