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4B52" w:rsidP="00F64B52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PSPCRT415A Administer alternative dispute-resolution proceedings</w:t>
      </w:r>
      <w:r>
        <w:fldChar w:fldCharType="end"/>
      </w:r>
    </w:p>
    <w:p w:rsidR="00F64B52" w:rsidP="00F64B52">
      <w:pPr>
        <w:pStyle w:val="Version"/>
        <w:sectPr w:rsidSect="005441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3</w:t>
      </w:r>
      <w:r>
        <w:fldChar w:fldCharType="end"/>
      </w:r>
    </w:p>
    <w:p w:rsidR="00000000" w:rsidRPr="00544195" w:rsidP="00544195">
      <w:pPr>
        <w:pStyle w:val="SuperHeading"/>
      </w:pPr>
      <w:r w:rsidRPr="00544195">
        <w:t>PSPCRT415A Administer alternative dispute-resolution proceedings</w:t>
      </w:r>
    </w:p>
    <w:p w:rsidR="00000000" w:rsidRPr="00544195" w:rsidP="00544195">
      <w:pPr>
        <w:pStyle w:val="SuperHeading"/>
      </w:pPr>
    </w:p>
    <w:p w:rsidR="00000000" w:rsidRPr="00544195" w:rsidP="00544195">
      <w:pPr>
        <w:pStyle w:val="Heading1"/>
      </w:pPr>
      <w:bookmarkStart w:id="1" w:name="O_494783"/>
      <w:bookmarkEnd w:id="1"/>
      <w:r w:rsidRPr="0054419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52"/>
        <w:gridCol w:w="3052"/>
        <w:gridCol w:w="3052"/>
      </w:tblGrid>
      <w:tr w:rsidTr="00F64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rPr>
                <w:rStyle w:val="SpecialBold"/>
              </w:rPr>
              <w:t>Release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rPr>
                <w:rStyle w:val="SpecialBold"/>
              </w:rPr>
              <w:t>TP Version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Comments</w:t>
            </w:r>
          </w:p>
        </w:tc>
      </w:tr>
      <w:tr w:rsidTr="00F64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3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PSP12V1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Elements and performance</w:t>
            </w:r>
            <w:r w:rsidRPr="00544195">
              <w:t xml:space="preserve"> criteria pre-content edited. </w:t>
            </w:r>
          </w:p>
        </w:tc>
      </w:tr>
      <w:tr w:rsidTr="00F64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PSP04V4.2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Layout adjusted. No changes to content.</w:t>
            </w:r>
          </w:p>
        </w:tc>
      </w:tr>
      <w:tr w:rsidTr="00F64B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PSP04V4.1</w:t>
            </w:r>
          </w:p>
        </w:tc>
        <w:tc>
          <w:tcPr>
            <w:tcW w:w="30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t>Primary release.</w:t>
            </w:r>
          </w:p>
        </w:tc>
      </w:tr>
    </w:tbl>
    <w:p w:rsidR="00F64B52" w:rsidP="00544195">
      <w:pPr>
        <w:pStyle w:val="BodyText"/>
      </w:pPr>
    </w:p>
    <w:p w:rsidR="00F64B52" w:rsidP="00544195">
      <w:pPr>
        <w:pStyle w:val="BodyText"/>
      </w:pPr>
    </w:p>
    <w:p w:rsidR="00000000" w:rsidRPr="00544195" w:rsidP="00544195">
      <w:pPr>
        <w:pStyle w:val="Heading1"/>
      </w:pPr>
      <w:bookmarkStart w:id="2" w:name="O_494787"/>
      <w:bookmarkEnd w:id="2"/>
      <w:r w:rsidRPr="00544195">
        <w:t>Unit Descriptor</w:t>
      </w:r>
    </w:p>
    <w:p w:rsidR="00000000" w:rsidRPr="00544195" w:rsidP="00544195">
      <w:pPr>
        <w:pStyle w:val="BodyText"/>
      </w:pPr>
      <w:r w:rsidRPr="00544195">
        <w:t>This unit covers the competencies required to administer alternative dispute-resolution (ADR) proceed</w:t>
      </w:r>
      <w:r w:rsidRPr="00544195">
        <w:t xml:space="preserve">ings, including mandatory and voluntary proceedings within the court, or referral to other services. </w:t>
      </w:r>
    </w:p>
    <w:p w:rsidR="00000000" w:rsidRPr="00544195" w:rsidP="00544195">
      <w:pPr>
        <w:pStyle w:val="BodyText"/>
      </w:pPr>
      <w:r w:rsidRPr="00544195">
        <w:t>In the workplace, staff must be able to implement relevant procedures, protocols and policy relating to ADR proceedings. They must also be able to provide</w:t>
      </w:r>
      <w:r w:rsidRPr="00544195">
        <w:t xml:space="preserve"> constructive and effective assistance, information and referral to the parties undertaking the process.</w:t>
      </w:r>
    </w:p>
    <w:p w:rsidR="00000000" w:rsidRPr="00544195" w:rsidP="00544195">
      <w:pPr>
        <w:pStyle w:val="BodyText"/>
      </w:pPr>
      <w:r w:rsidRPr="00544195">
        <w:t>No licensing, legislative, regulatory or certification requirements apply to this unit at the time of endorsement.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3" w:name="O_494794"/>
      <w:bookmarkEnd w:id="3"/>
      <w:r w:rsidRPr="00544195">
        <w:t xml:space="preserve">Application of the </w:t>
      </w:r>
      <w:r w:rsidRPr="00544195">
        <w:t>Unit</w:t>
      </w:r>
    </w:p>
    <w:p w:rsidR="00000000" w:rsidRPr="00544195" w:rsidP="00544195">
      <w:pPr>
        <w:pStyle w:val="BodyText"/>
      </w:pPr>
      <w:r w:rsidRPr="00544195">
        <w:t>This unit applies to court staff involved in the administration of ADR proceedings, who need to follow procedures and practices to facilitate appropriate outcomes for those involved.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4" w:name="O_494781"/>
      <w:bookmarkEnd w:id="4"/>
      <w:r w:rsidRPr="00544195">
        <w:t>Licensing/Regulatory Information</w:t>
      </w:r>
    </w:p>
    <w:p w:rsidR="00000000" w:rsidRPr="00544195" w:rsidP="00544195">
      <w:pPr>
        <w:pStyle w:val="BodyText"/>
      </w:pPr>
      <w:r w:rsidRPr="00544195">
        <w:t>Not applicable.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5" w:name="O_494788"/>
      <w:bookmarkEnd w:id="5"/>
      <w:r w:rsidRPr="00544195">
        <w:t>Pre-Requisites</w:t>
      </w:r>
    </w:p>
    <w:p w:rsidR="00000000" w:rsidRPr="00544195" w:rsidP="00544195">
      <w:pPr>
        <w:pStyle w:val="BodyText"/>
      </w:pPr>
      <w:r w:rsidRPr="00544195">
        <w:t>Not applicable.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6" w:name="O_494789"/>
      <w:bookmarkEnd w:id="6"/>
      <w:r w:rsidRPr="00544195">
        <w:t>Employability Skills Information</w:t>
      </w:r>
    </w:p>
    <w:p w:rsidR="00000000" w:rsidRPr="00544195" w:rsidP="00544195">
      <w:pPr>
        <w:pStyle w:val="BodyText"/>
      </w:pPr>
      <w:r w:rsidRPr="00544195">
        <w:t>This unit contains employability skills.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7" w:name="O_494790"/>
      <w:bookmarkEnd w:id="7"/>
      <w:r w:rsidRPr="00544195">
        <w:t>Elements and Performance Criteria Pre-Content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762"/>
      </w:tblGrid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Elements describe the essential outcomes of a unit of c</w:t>
            </w:r>
            <w:r w:rsidRPr="00544195">
              <w:t>ompetency.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t xml:space="preserve">Performance criteria describe the performance needed to demonstrate achievement of the element. Where </w:t>
            </w:r>
            <w:r w:rsidRPr="00544195">
              <w:rPr>
                <w:rStyle w:val="BoldandItalics"/>
              </w:rPr>
              <w:t>bold italicised</w:t>
            </w:r>
            <w:r w:rsidRPr="00544195">
              <w:t xml:space="preserve"> text is used, further information is detailed in the range statement. Assessment of performance is to be consistent with the evidence guide.</w:t>
            </w:r>
          </w:p>
        </w:tc>
      </w:tr>
    </w:tbl>
    <w:p w:rsidR="00000000" w:rsidRPr="00544195" w:rsidP="00544195">
      <w:pPr>
        <w:pStyle w:val="BodyText"/>
      </w:pP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8" w:name="O_494791"/>
      <w:bookmarkEnd w:id="8"/>
      <w:r w:rsidRPr="00544195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762"/>
      </w:tblGrid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PERFORMANCE CRITERIA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List"/>
              <w:rPr>
                <w:lang w:val="en-NZ"/>
              </w:rPr>
            </w:pPr>
            <w:r w:rsidRPr="00544195">
              <w:rPr>
                <w:rStyle w:val="SpecialBold"/>
              </w:rPr>
              <w:t>1.</w:t>
            </w:r>
            <w:r w:rsidRPr="00544195">
              <w:rPr>
                <w:rStyle w:val="SpecialBold"/>
              </w:rPr>
              <w:tab/>
            </w:r>
            <w:r w:rsidRPr="00544195">
              <w:rPr>
                <w:rStyle w:val="SpecialBold"/>
              </w:rPr>
              <w:t>Arrange compliance with mandatory ADR procedures.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"/>
            </w:pPr>
            <w:r w:rsidRPr="00544195">
              <w:t>1.1.</w:t>
            </w:r>
            <w:r w:rsidRPr="00544195">
              <w:tab/>
              <w:t xml:space="preserve">Explain benefits of </w:t>
            </w:r>
            <w:r w:rsidRPr="00544195">
              <w:rPr>
                <w:rStyle w:val="BoldandItalics"/>
              </w:rPr>
              <w:t>ADR procedures</w:t>
            </w:r>
            <w:r w:rsidRPr="00544195">
              <w:t xml:space="preserve"> and answer client's questions according to organisational policy and procedures.</w:t>
            </w:r>
          </w:p>
          <w:p w:rsidR="00000000" w:rsidRPr="00544195" w:rsidP="00544195">
            <w:pPr>
              <w:pStyle w:val="List"/>
            </w:pPr>
            <w:r w:rsidRPr="00544195">
              <w:t>1.2.</w:t>
            </w:r>
            <w:r w:rsidRPr="00544195">
              <w:tab/>
              <w:t xml:space="preserve">Explain </w:t>
            </w:r>
            <w:r w:rsidRPr="00544195">
              <w:rPr>
                <w:rStyle w:val="BoldandItalics"/>
              </w:rPr>
              <w:t>procedural requirements</w:t>
            </w:r>
            <w:r w:rsidRPr="00544195">
              <w:t xml:space="preserve"> using communication appropriate to client needs.</w:t>
            </w:r>
          </w:p>
          <w:p w:rsidR="00000000" w:rsidRPr="00544195" w:rsidP="00544195">
            <w:pPr>
              <w:pStyle w:val="List"/>
            </w:pPr>
            <w:r w:rsidRPr="00544195">
              <w:t>1.3.</w:t>
            </w:r>
            <w:r w:rsidRPr="00544195">
              <w:tab/>
              <w:t xml:space="preserve">Identify and address </w:t>
            </w:r>
            <w:r w:rsidRPr="00544195">
              <w:rPr>
                <w:rStyle w:val="BoldandItalics"/>
              </w:rPr>
              <w:t>potential difficulties</w:t>
            </w:r>
            <w:r w:rsidRPr="00544195">
              <w:t xml:space="preserve"> in arranging delivery of services or refer them for action.</w:t>
            </w:r>
          </w:p>
          <w:p w:rsidR="00000000" w:rsidRPr="00544195" w:rsidP="00544195">
            <w:pPr>
              <w:pStyle w:val="List"/>
            </w:pPr>
            <w:r w:rsidRPr="00544195">
              <w:t>1.4.</w:t>
            </w:r>
            <w:r w:rsidRPr="00544195">
              <w:tab/>
              <w:t>Gain agreement to arrangements using negotiation and conflict-resolution skills.</w:t>
            </w:r>
          </w:p>
          <w:p w:rsidR="00000000" w:rsidP="00544195">
            <w:pPr>
              <w:pStyle w:val="List"/>
              <w:rPr>
                <w:lang w:val="en-NZ"/>
              </w:rPr>
            </w:pPr>
            <w:r w:rsidRPr="00544195">
              <w:t>1.5.</w:t>
            </w:r>
            <w:r w:rsidRPr="00544195">
              <w:tab/>
              <w:t>Complete documentation according to organisational poli</w:t>
            </w:r>
            <w:r w:rsidRPr="00544195">
              <w:t>cy and procedures.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List"/>
              <w:rPr>
                <w:lang w:val="en-NZ"/>
              </w:rPr>
            </w:pPr>
            <w:r w:rsidRPr="00544195">
              <w:rPr>
                <w:rStyle w:val="SpecialBold"/>
              </w:rPr>
              <w:t>2.</w:t>
            </w:r>
            <w:r w:rsidRPr="00544195">
              <w:rPr>
                <w:rStyle w:val="SpecialBold"/>
              </w:rPr>
              <w:tab/>
              <w:t>Refer parties to ADR procedures and services.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"/>
            </w:pPr>
            <w:r w:rsidRPr="00544195">
              <w:t>2.1.</w:t>
            </w:r>
            <w:r w:rsidRPr="00544195">
              <w:tab/>
              <w:t xml:space="preserve">Assess </w:t>
            </w:r>
            <w:r w:rsidRPr="00544195">
              <w:rPr>
                <w:rStyle w:val="BoldandItalics"/>
              </w:rPr>
              <w:t>eligibility for access</w:t>
            </w:r>
            <w:r w:rsidRPr="00544195">
              <w:t xml:space="preserve"> to ADR services.</w:t>
            </w:r>
          </w:p>
          <w:p w:rsidR="00000000" w:rsidRPr="00544195" w:rsidP="00544195">
            <w:pPr>
              <w:pStyle w:val="List"/>
            </w:pPr>
            <w:r w:rsidRPr="00544195">
              <w:t>2.2.</w:t>
            </w:r>
            <w:r w:rsidRPr="00544195">
              <w:tab/>
              <w:t>Identify legislative and other constraints and take into account when advising on appropriate dispute-resolution process.</w:t>
            </w:r>
          </w:p>
          <w:p w:rsidR="00000000" w:rsidRPr="00544195" w:rsidP="00544195">
            <w:pPr>
              <w:pStyle w:val="List"/>
            </w:pPr>
            <w:r w:rsidRPr="00544195">
              <w:t>2.3.</w:t>
            </w:r>
            <w:r w:rsidRPr="00544195">
              <w:tab/>
              <w:t>Ana</w:t>
            </w:r>
            <w:r w:rsidRPr="00544195">
              <w:t>lyse the issues and the parties' willingness and capability to assess the most suitable resolution process.</w:t>
            </w:r>
          </w:p>
          <w:p w:rsidR="00000000" w:rsidRPr="00544195" w:rsidP="00544195">
            <w:pPr>
              <w:pStyle w:val="List"/>
            </w:pPr>
            <w:r w:rsidRPr="00544195">
              <w:t>2.4.</w:t>
            </w:r>
            <w:r w:rsidRPr="00544195">
              <w:tab/>
              <w:t>Explain procedural requirements using communication appropriate to client needs.</w:t>
            </w:r>
          </w:p>
          <w:p w:rsidR="00000000" w:rsidP="00544195">
            <w:pPr>
              <w:pStyle w:val="List"/>
              <w:rPr>
                <w:lang w:val="en-NZ"/>
              </w:rPr>
            </w:pPr>
            <w:r w:rsidRPr="00544195">
              <w:t>2.5.</w:t>
            </w:r>
            <w:r w:rsidRPr="00544195">
              <w:tab/>
              <w:t>Explain impact of ADR proceedings on case management.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List"/>
              <w:rPr>
                <w:lang w:val="en-NZ"/>
              </w:rPr>
            </w:pPr>
            <w:r w:rsidRPr="00544195">
              <w:rPr>
                <w:rStyle w:val="SpecialBold"/>
              </w:rPr>
              <w:t>3.</w:t>
            </w:r>
            <w:r w:rsidRPr="00544195">
              <w:rPr>
                <w:rStyle w:val="SpecialBold"/>
              </w:rPr>
              <w:tab/>
              <w:t>Support ADR processes.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"/>
            </w:pPr>
            <w:r w:rsidRPr="00544195">
              <w:t>3.1.</w:t>
            </w:r>
            <w:r w:rsidRPr="00544195">
              <w:tab/>
              <w:t xml:space="preserve">Outline and implement processes to ensure respect for client's safety and needs. </w:t>
            </w:r>
          </w:p>
          <w:p w:rsidR="00000000" w:rsidRPr="00544195" w:rsidP="00544195">
            <w:pPr>
              <w:pStyle w:val="List"/>
            </w:pPr>
            <w:r w:rsidRPr="00544195">
              <w:t>3.2.</w:t>
            </w:r>
            <w:r w:rsidRPr="00544195">
              <w:tab/>
              <w:t xml:space="preserve">Explain </w:t>
            </w:r>
            <w:r w:rsidRPr="00544195">
              <w:rPr>
                <w:rStyle w:val="BoldandItalics"/>
              </w:rPr>
              <w:t>client responsibility and contribution</w:t>
            </w:r>
            <w:r w:rsidRPr="00544195">
              <w:t xml:space="preserve"> to outcomes.</w:t>
            </w:r>
          </w:p>
          <w:p w:rsidR="00000000" w:rsidRPr="00544195" w:rsidP="00544195">
            <w:pPr>
              <w:pStyle w:val="List"/>
            </w:pPr>
            <w:r w:rsidRPr="00544195">
              <w:t>3.3.</w:t>
            </w:r>
            <w:r w:rsidRPr="00544195">
              <w:tab/>
              <w:t>Assist client to prepare for problem solving and negotiation.</w:t>
            </w:r>
          </w:p>
          <w:p w:rsidR="00000000" w:rsidRPr="00544195" w:rsidP="00544195">
            <w:pPr>
              <w:pStyle w:val="List"/>
            </w:pPr>
            <w:r w:rsidRPr="00544195">
              <w:t>3.4.</w:t>
            </w:r>
            <w:r w:rsidRPr="00544195">
              <w:tab/>
              <w:t xml:space="preserve">Confirm </w:t>
            </w:r>
            <w:r w:rsidRPr="00544195">
              <w:t>client's understanding of the process.</w:t>
            </w:r>
          </w:p>
          <w:p w:rsidR="00000000" w:rsidRPr="00544195" w:rsidP="00544195">
            <w:pPr>
              <w:pStyle w:val="List"/>
            </w:pPr>
            <w:r w:rsidRPr="00544195">
              <w:t>3.5.</w:t>
            </w:r>
            <w:r w:rsidRPr="00544195">
              <w:tab/>
              <w:t xml:space="preserve">Explain </w:t>
            </w:r>
            <w:r w:rsidRPr="00544195">
              <w:rPr>
                <w:rStyle w:val="BoldandItalics"/>
              </w:rPr>
              <w:t>privacy and confidentiality requirements</w:t>
            </w:r>
            <w:r w:rsidRPr="00544195">
              <w:t xml:space="preserve"> of proceedings.</w:t>
            </w:r>
          </w:p>
        </w:tc>
      </w:tr>
    </w:tbl>
    <w:p w:rsidR="00000000" w:rsidRPr="00544195" w:rsidP="00544195">
      <w:pPr>
        <w:pStyle w:val="BodyText"/>
      </w:pP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9" w:name="O_494784"/>
      <w:bookmarkEnd w:id="9"/>
      <w:r w:rsidRPr="00544195">
        <w:t>Required Skills and Knowledge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70"/>
      </w:tblGrid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This section describes the skills and knowledge required for this unit.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Required skills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communication and interpersonal skills to:</w:t>
            </w:r>
          </w:p>
          <w:p w:rsidR="00000000" w:rsidRPr="00544195" w:rsidP="00544195">
            <w:pPr>
              <w:pStyle w:val="ListBullet2"/>
            </w:pPr>
            <w:r w:rsidRPr="00544195">
              <w:t>provide explanations to others</w:t>
            </w:r>
          </w:p>
          <w:p w:rsidR="00000000" w:rsidRPr="00544195" w:rsidP="00544195">
            <w:pPr>
              <w:pStyle w:val="ListBullet2"/>
            </w:pPr>
            <w:r w:rsidRPr="00544195">
              <w:t>promote understanding of legislation and regulations; and organisational procedures, policy and codes of practice in the context of ADR proceedings</w:t>
            </w:r>
          </w:p>
          <w:p w:rsidR="00000000" w:rsidRPr="00544195" w:rsidP="00544195">
            <w:pPr>
              <w:pStyle w:val="ListBullet"/>
            </w:pPr>
            <w:r w:rsidRPr="00544195">
              <w:t>analytical skills to:</w:t>
            </w:r>
          </w:p>
          <w:p w:rsidR="00000000" w:rsidRPr="00544195" w:rsidP="00544195">
            <w:pPr>
              <w:pStyle w:val="ListBullet2"/>
            </w:pPr>
            <w:r w:rsidRPr="00544195">
              <w:t>identify client needs and assess suitability for relevant services</w:t>
            </w:r>
          </w:p>
          <w:p w:rsidR="00000000" w:rsidRPr="00544195" w:rsidP="00544195">
            <w:pPr>
              <w:pStyle w:val="ListBullet2"/>
            </w:pPr>
            <w:r w:rsidRPr="00544195">
              <w:t>identify appropriate services and resources for referral</w:t>
            </w:r>
          </w:p>
          <w:p w:rsidR="00000000" w:rsidRPr="00544195" w:rsidP="00544195">
            <w:pPr>
              <w:pStyle w:val="ListBullet"/>
            </w:pPr>
            <w:r w:rsidRPr="00544195">
              <w:t>negotiation and conflict resolution skills in relation to ADR processes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facilitation skills in relation to ADR processes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 xml:space="preserve">Required </w:t>
            </w:r>
            <w:r w:rsidRPr="00544195">
              <w:rPr>
                <w:rStyle w:val="SpecialBold"/>
              </w:rPr>
              <w:t>knowledge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legislation, regulations, organisational procedures and codes of practice in the context of ADR proceedings and services</w:t>
            </w:r>
          </w:p>
          <w:p w:rsidR="00000000" w:rsidRPr="00544195" w:rsidP="00544195">
            <w:pPr>
              <w:pStyle w:val="ListBullet"/>
            </w:pPr>
            <w:r w:rsidRPr="00544195">
              <w:t>principles of effective mediation and dispute resolution</w:t>
            </w:r>
          </w:p>
          <w:p w:rsidR="00000000" w:rsidRPr="00544195" w:rsidP="00544195">
            <w:pPr>
              <w:pStyle w:val="ListBullet"/>
            </w:pPr>
            <w:r w:rsidRPr="00544195">
              <w:t>distinction between legal and procedural information</w:t>
            </w:r>
          </w:p>
          <w:p w:rsidR="00000000" w:rsidRPr="00544195" w:rsidP="00544195">
            <w:pPr>
              <w:pStyle w:val="ListBullet"/>
            </w:pPr>
            <w:r w:rsidRPr="00544195">
              <w:t>principles of effective client service delivery</w:t>
            </w:r>
          </w:p>
          <w:p w:rsidR="00000000" w:rsidRPr="00544195" w:rsidP="00544195">
            <w:pPr>
              <w:pStyle w:val="ListBullet"/>
            </w:pPr>
            <w:r w:rsidRPr="00544195">
              <w:t xml:space="preserve">public sector legislation, such as OHS, diversity and equal opportunity in the context of communication </w:t>
            </w:r>
          </w:p>
        </w:tc>
      </w:tr>
    </w:tbl>
    <w:p w:rsidR="00000000" w:rsidRPr="00544195" w:rsidP="00544195">
      <w:pPr>
        <w:pStyle w:val="BodyText"/>
      </w:pP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10" w:name="O_494786"/>
      <w:bookmarkEnd w:id="10"/>
      <w:r w:rsidRPr="00544195">
        <w:t>Evidence Guide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762"/>
      </w:tblGrid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 xml:space="preserve">The Evidence Guide provides advice on assessment and must be read in </w:t>
            </w:r>
            <w:r w:rsidRPr="00544195">
              <w:t>conjunction with the performance criteria, required skills and knowledge, range statement and the Assessment Guidelines for the Training Package.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Overview of assessment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Competency must be demonstrated in administering alt</w:t>
            </w:r>
            <w:r w:rsidRPr="00544195">
              <w:t>ernative dispute-resolution (ADR) proceedings, including mandatory and voluntary proceedings within the court, or referral to other services.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t>Assessment must conf</w:t>
            </w:r>
            <w:r w:rsidRPr="00544195">
              <w:t xml:space="preserve">irm the ability to: </w:t>
            </w:r>
          </w:p>
          <w:p w:rsidR="00000000" w:rsidRPr="00544195" w:rsidP="00544195">
            <w:pPr>
              <w:pStyle w:val="ListBullet"/>
            </w:pPr>
            <w:r w:rsidRPr="00544195">
              <w:t>explain options for ADR procedures</w:t>
            </w:r>
          </w:p>
          <w:p w:rsidR="00000000" w:rsidRPr="00544195" w:rsidP="00544195">
            <w:pPr>
              <w:pStyle w:val="ListBullet"/>
            </w:pPr>
            <w:r w:rsidRPr="00544195">
              <w:t xml:space="preserve">gain client approval to proceed to select and arrange ADR procedures </w:t>
            </w:r>
          </w:p>
          <w:p w:rsidR="00000000" w:rsidRPr="00544195" w:rsidP="00544195">
            <w:pPr>
              <w:pStyle w:val="ListBullet"/>
            </w:pPr>
            <w:r w:rsidRPr="00544195">
              <w:t>understand conditions and eligibility for ADR procedures</w:t>
            </w:r>
          </w:p>
          <w:p w:rsidR="00000000" w:rsidRPr="00544195" w:rsidP="00544195">
            <w:pPr>
              <w:pStyle w:val="ListBullet"/>
            </w:pPr>
            <w:r w:rsidRPr="00544195">
              <w:t>identify suitable procedures to match client needs</w:t>
            </w:r>
          </w:p>
          <w:p w:rsidR="00000000" w:rsidRPr="00544195" w:rsidP="00544195">
            <w:pPr>
              <w:pStyle w:val="ListBullet"/>
            </w:pPr>
            <w:r w:rsidRPr="00544195">
              <w:t>support client in preparation for ADR procedures</w:t>
            </w:r>
          </w:p>
          <w:p w:rsidR="00000000" w:rsidRPr="00544195" w:rsidP="00544195">
            <w:pPr>
              <w:pStyle w:val="ListBullet"/>
            </w:pPr>
            <w:r w:rsidRPr="00544195">
              <w:t xml:space="preserve">comply with information sharing and privacy protocols </w:t>
            </w:r>
          </w:p>
          <w:p w:rsidR="00000000" w:rsidRPr="00544195" w:rsidP="00544195">
            <w:pPr>
              <w:pStyle w:val="BodyText"/>
            </w:pPr>
            <w:r w:rsidRPr="00544195">
              <w:rPr>
                <w:rStyle w:val="SpecialBold"/>
              </w:rPr>
              <w:t>Consistency in performance</w:t>
            </w:r>
          </w:p>
          <w:p w:rsidR="00000000" w:rsidRPr="00544195" w:rsidP="00544195">
            <w:pPr>
              <w:pStyle w:val="BodyText"/>
            </w:pPr>
            <w:r w:rsidRPr="00544195">
              <w:t>Competency should be demonstrated by:</w:t>
            </w:r>
          </w:p>
          <w:p w:rsidR="00000000" w:rsidRPr="00544195" w:rsidP="00544195">
            <w:pPr>
              <w:pStyle w:val="ListBullet"/>
            </w:pPr>
            <w:r w:rsidRPr="00544195">
              <w:t>explaining a range of ADR procedures to diverse clients</w:t>
            </w:r>
          </w:p>
          <w:p w:rsidR="00000000" w:rsidRPr="00544195" w:rsidP="00544195">
            <w:pPr>
              <w:pStyle w:val="ListBullet"/>
            </w:pPr>
            <w:r w:rsidRPr="00544195">
              <w:t>referring clients in a range o</w:t>
            </w:r>
            <w:r w:rsidRPr="00544195">
              <w:t>f settings to appropriate services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supporting diverse clients in preparing for a range of ADR procedures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t>Assessment must comply with:</w:t>
            </w:r>
          </w:p>
          <w:p w:rsidR="00000000" w:rsidRPr="00544195" w:rsidP="00544195">
            <w:pPr>
              <w:pStyle w:val="ListBullet"/>
            </w:pPr>
            <w:r w:rsidRPr="00544195">
              <w:t>applicable regulations and codes</w:t>
            </w:r>
          </w:p>
          <w:p w:rsidR="00000000" w:rsidRPr="00544195" w:rsidP="00544195">
            <w:pPr>
              <w:pStyle w:val="ListBullet"/>
            </w:pPr>
            <w:r w:rsidRPr="00544195">
              <w:t xml:space="preserve">workplace procedures and protocols. </w:t>
            </w:r>
          </w:p>
          <w:p w:rsidR="00000000" w:rsidRPr="00544195" w:rsidP="00544195">
            <w:pPr>
              <w:pStyle w:val="BodyText"/>
            </w:pPr>
            <w:r w:rsidRPr="00544195">
              <w:t>A</w:t>
            </w:r>
            <w:r w:rsidRPr="00544195">
              <w:t>ccess may be required to:</w:t>
            </w:r>
          </w:p>
          <w:p w:rsidR="00000000" w:rsidRPr="00544195" w:rsidP="00544195">
            <w:pPr>
              <w:pStyle w:val="ListBullet"/>
            </w:pPr>
            <w:r w:rsidRPr="00544195">
              <w:t>a workplace environment or one that closely resembles normal work practices and replicates the range of conditions likely to be encountered when:</w:t>
            </w:r>
          </w:p>
          <w:p w:rsidR="00000000" w:rsidRPr="00544195" w:rsidP="00544195">
            <w:pPr>
              <w:pStyle w:val="ListBullet2"/>
            </w:pPr>
            <w:r w:rsidRPr="00544195">
              <w:t>administering mandatory ADR proceedings</w:t>
            </w:r>
          </w:p>
          <w:p w:rsidR="00000000" w:rsidRPr="00544195" w:rsidP="00544195">
            <w:pPr>
              <w:pStyle w:val="ListBullet2"/>
            </w:pPr>
            <w:r w:rsidRPr="00544195">
              <w:t>referring parties to ADR services</w:t>
            </w:r>
          </w:p>
          <w:p w:rsidR="00000000" w:rsidRPr="00544195" w:rsidP="00544195">
            <w:pPr>
              <w:pStyle w:val="ListBullet"/>
            </w:pPr>
            <w:r w:rsidRPr="00544195">
              <w:t>relevant legislation, procedures, policy and codes of practice for mandatory ADR proceedings</w:t>
            </w:r>
          </w:p>
          <w:p w:rsidR="00000000" w:rsidRPr="00544195" w:rsidP="00544195">
            <w:pPr>
              <w:pStyle w:val="ListBullet"/>
            </w:pPr>
            <w:r w:rsidRPr="00544195">
              <w:t>relevant legislation, procedures, policy, codes of practice and information for voluntary ADR services</w:t>
            </w:r>
          </w:p>
          <w:p w:rsidR="00000000" w:rsidRPr="00544195" w:rsidP="00544195">
            <w:pPr>
              <w:pStyle w:val="ListBullet"/>
            </w:pPr>
            <w:r w:rsidRPr="00544195">
              <w:t>scenarios and/or case studies to capture the range of situat</w:t>
            </w:r>
            <w:r w:rsidRPr="00544195">
              <w:t xml:space="preserve">ions and issues likely to be encountered 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access to relevant communication and reporting systems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SpecialBold"/>
              </w:rPr>
              <w:t>Guidance information for assessment</w:t>
            </w:r>
          </w:p>
        </w:tc>
        <w:tc>
          <w:tcPr>
            <w:tcW w:w="6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BodyText"/>
            </w:pPr>
            <w:r w:rsidRPr="00544195">
              <w:t>The following assessment methods are suggested:</w:t>
            </w:r>
          </w:p>
          <w:p w:rsidR="00000000" w:rsidRPr="00544195" w:rsidP="00544195">
            <w:pPr>
              <w:pStyle w:val="ListBullet"/>
            </w:pPr>
            <w:r w:rsidRPr="00544195">
              <w:t>oral questioning about types and benefits of ADR procedures and eligibility criteria</w:t>
            </w:r>
          </w:p>
          <w:p w:rsidR="00000000" w:rsidRPr="00544195" w:rsidP="00544195">
            <w:pPr>
              <w:pStyle w:val="ListBullet"/>
            </w:pPr>
            <w:r w:rsidRPr="00544195">
              <w:t>observation of the candidate administering ADR procedures in a range of contexts to ensure achievement of the unit outcomes</w:t>
            </w:r>
          </w:p>
          <w:p w:rsidR="00000000" w:rsidRPr="00544195" w:rsidP="00544195">
            <w:pPr>
              <w:pStyle w:val="ListBullet"/>
            </w:pPr>
            <w:r w:rsidRPr="00544195">
              <w:t xml:space="preserve">feedback from peers and/or supervisor that the </w:t>
            </w:r>
            <w:r w:rsidRPr="00544195">
              <w:t>candidate consistently applies relevant workplace procedures</w:t>
            </w:r>
          </w:p>
          <w:p w:rsidR="00000000" w:rsidRPr="00544195" w:rsidP="00544195">
            <w:pPr>
              <w:pStyle w:val="ListBullet"/>
            </w:pPr>
            <w:r w:rsidRPr="00544195">
              <w:t>review of records completed by candidate or reports of performance</w:t>
            </w:r>
          </w:p>
          <w:p w:rsidR="00000000" w:rsidRPr="00544195" w:rsidP="00544195">
            <w:pPr>
              <w:pStyle w:val="BodyText"/>
            </w:pPr>
            <w:r w:rsidRPr="00544195">
              <w:t>In all cases, practical assessment should be supported by questions to assess underpinning knowledge and those aspects of compet</w:t>
            </w:r>
            <w:r w:rsidRPr="00544195">
              <w:t>ency that are difficult to assess directly. Questioning techniques should suit the language and literacy levels of the candidate.</w:t>
            </w:r>
          </w:p>
        </w:tc>
      </w:tr>
    </w:tbl>
    <w:p w:rsidR="00000000" w:rsidRPr="00544195" w:rsidP="00544195">
      <w:pPr>
        <w:pStyle w:val="BodyText"/>
      </w:pP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11" w:name="O_494785"/>
      <w:bookmarkEnd w:id="11"/>
      <w:r w:rsidRPr="00544195">
        <w:t>Range Statement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08"/>
        <w:gridCol w:w="6762"/>
      </w:tblGrid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t>The range statement relates to the unit of competency as a whole. It allows for different w</w:t>
            </w:r>
            <w:r w:rsidRPr="00544195">
              <w:t xml:space="preserve">ork environments and situations that may affect performance. </w:t>
            </w:r>
            <w:r w:rsidRPr="00544195">
              <w:rPr>
                <w:rStyle w:val="BoldandItalics"/>
              </w:rPr>
              <w:t>Bold italicised</w:t>
            </w:r>
            <w:r w:rsidRPr="00544195">
              <w:t xml:space="preserve"> wording, if used in the performance criteria, is detailed below. Essential operating conditions that may be present with training and assessment (depending on the work situation, </w:t>
            </w:r>
            <w:r w:rsidRPr="00544195">
              <w:t>needs of the candidate, accessibility of the item, and local industry and regional contexts) may also be included.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ADR</w:t>
            </w:r>
            <w:r w:rsidRPr="00544195">
              <w:t xml:space="preserve"> </w:t>
            </w:r>
            <w:r w:rsidRPr="00544195">
              <w:rPr>
                <w:rStyle w:val="BoldandItalics"/>
              </w:rPr>
              <w:t>procedures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mediation</w:t>
            </w:r>
          </w:p>
          <w:p w:rsidR="00000000" w:rsidRPr="00544195" w:rsidP="00544195">
            <w:pPr>
              <w:pStyle w:val="ListBullet"/>
            </w:pPr>
            <w:r w:rsidRPr="00544195">
              <w:t>registrar conference</w:t>
            </w:r>
          </w:p>
          <w:p w:rsidR="00000000" w:rsidRPr="00544195" w:rsidP="00544195">
            <w:pPr>
              <w:pStyle w:val="ListBullet"/>
            </w:pPr>
            <w:r w:rsidRPr="00544195">
              <w:t>counselling</w:t>
            </w:r>
          </w:p>
          <w:p w:rsidR="00000000" w:rsidRPr="00544195" w:rsidP="00544195">
            <w:pPr>
              <w:pStyle w:val="ListBullet"/>
            </w:pPr>
            <w:r w:rsidRPr="00544195">
              <w:t>arbitration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conference before an appointed presiding officer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Procedural requirements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attendance of self and others</w:t>
            </w:r>
          </w:p>
          <w:p w:rsidR="00000000" w:rsidRPr="00544195" w:rsidP="00544195">
            <w:pPr>
              <w:pStyle w:val="ListBullet"/>
            </w:pPr>
            <w:r w:rsidRPr="00544195">
              <w:t>collection and delivery of information</w:t>
            </w:r>
          </w:p>
          <w:p w:rsidR="00000000" w:rsidRPr="00544195" w:rsidP="00544195">
            <w:pPr>
              <w:pStyle w:val="ListBullet"/>
            </w:pPr>
            <w:r w:rsidRPr="00544195">
              <w:t>order of events</w:t>
            </w:r>
          </w:p>
          <w:p w:rsidR="00000000" w:rsidRPr="00544195" w:rsidP="00544195">
            <w:pPr>
              <w:pStyle w:val="ListBullet"/>
            </w:pPr>
            <w:r w:rsidRPr="00544195">
              <w:t>role of presiding officer</w:t>
            </w:r>
          </w:p>
          <w:p w:rsidR="00000000" w:rsidRPr="00544195" w:rsidP="00544195">
            <w:pPr>
              <w:pStyle w:val="ListBullet"/>
            </w:pPr>
            <w:r w:rsidRPr="00544195">
              <w:t>possible outcomes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documentation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Potential difficulties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language</w:t>
            </w:r>
          </w:p>
          <w:p w:rsidR="00000000" w:rsidRPr="00544195" w:rsidP="00544195">
            <w:pPr>
              <w:pStyle w:val="ListBullet"/>
            </w:pPr>
            <w:r w:rsidRPr="00544195">
              <w:t>financial</w:t>
            </w:r>
          </w:p>
          <w:p w:rsidR="00000000" w:rsidRPr="00544195" w:rsidP="00544195">
            <w:pPr>
              <w:pStyle w:val="ListBullet"/>
            </w:pPr>
            <w:r w:rsidRPr="00544195">
              <w:t>security</w:t>
            </w:r>
          </w:p>
          <w:p w:rsidR="00000000" w:rsidRPr="00544195" w:rsidP="00544195">
            <w:pPr>
              <w:pStyle w:val="ListBullet"/>
            </w:pPr>
            <w:r w:rsidRPr="00544195">
              <w:t>emotional state of parties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travel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Eligibility for access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financial resources</w:t>
            </w:r>
          </w:p>
          <w:p w:rsidR="00000000" w:rsidRPr="00544195" w:rsidP="00544195">
            <w:pPr>
              <w:pStyle w:val="ListBullet"/>
            </w:pPr>
            <w:r w:rsidRPr="00544195">
              <w:t>agreement of parties</w:t>
            </w:r>
          </w:p>
          <w:p w:rsidR="00000000" w:rsidRPr="00544195" w:rsidP="00544195">
            <w:pPr>
              <w:pStyle w:val="ListBullet"/>
            </w:pPr>
            <w:r w:rsidRPr="00544195">
              <w:t>jurisdiction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nature of dispute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Client responsibility and contribution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active listening</w:t>
            </w:r>
          </w:p>
          <w:p w:rsidR="00000000" w:rsidRPr="00544195" w:rsidP="00544195">
            <w:pPr>
              <w:pStyle w:val="ListBullet"/>
            </w:pPr>
            <w:r w:rsidRPr="00544195">
              <w:t>respect for procedures</w:t>
            </w:r>
          </w:p>
          <w:p w:rsidR="00000000" w:rsidRPr="00544195" w:rsidP="00544195">
            <w:pPr>
              <w:pStyle w:val="ListBullet"/>
            </w:pPr>
            <w:r w:rsidRPr="00544195">
              <w:t>respect for the presiding official</w:t>
            </w:r>
          </w:p>
          <w:p w:rsidR="00000000" w:rsidP="00544195">
            <w:pPr>
              <w:pStyle w:val="ListBullet"/>
              <w:rPr>
                <w:lang w:val="en-NZ"/>
              </w:rPr>
            </w:pPr>
            <w:r w:rsidRPr="00544195">
              <w:t>commitment to reduction of issues</w:t>
            </w:r>
          </w:p>
        </w:tc>
      </w:tr>
      <w:tr w:rsidTr="00F64B52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4195">
            <w:pPr>
              <w:pStyle w:val="BodyText"/>
              <w:rPr>
                <w:lang w:val="en-NZ"/>
              </w:rPr>
            </w:pPr>
            <w:r w:rsidRPr="00544195">
              <w:rPr>
                <w:rStyle w:val="BoldandItalics"/>
              </w:rPr>
              <w:t>Privacy and confidentiality requirements</w:t>
            </w:r>
            <w:r w:rsidRPr="00544195">
              <w:t xml:space="preserve"> may include:</w:t>
            </w:r>
          </w:p>
        </w:tc>
        <w:tc>
          <w:tcPr>
            <w:tcW w:w="6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4195" w:rsidP="00544195">
            <w:pPr>
              <w:pStyle w:val="ListBullet"/>
            </w:pPr>
            <w:r w:rsidRPr="00544195">
              <w:t>legislative</w:t>
            </w:r>
          </w:p>
          <w:p w:rsidR="00000000" w:rsidRPr="00544195" w:rsidP="00544195">
            <w:pPr>
              <w:pStyle w:val="ListBullet"/>
            </w:pPr>
            <w:r w:rsidRPr="00544195">
              <w:t>organisational policy and procedures</w:t>
            </w:r>
          </w:p>
          <w:p w:rsidR="00000000" w:rsidRPr="00544195" w:rsidP="00544195">
            <w:pPr>
              <w:pStyle w:val="ListBullet"/>
            </w:pPr>
            <w:r w:rsidRPr="00544195">
              <w:t>attendee agreements</w:t>
            </w:r>
          </w:p>
        </w:tc>
      </w:tr>
    </w:tbl>
    <w:p w:rsidR="00F64B52" w:rsidP="00544195">
      <w:pPr>
        <w:pStyle w:val="BodyText"/>
      </w:pPr>
    </w:p>
    <w:p w:rsidR="00F64B52" w:rsidP="00544195">
      <w:pPr>
        <w:pStyle w:val="BodyText"/>
      </w:pPr>
    </w:p>
    <w:p w:rsidR="00000000" w:rsidRPr="00544195" w:rsidP="00544195">
      <w:pPr>
        <w:pStyle w:val="Heading1"/>
      </w:pPr>
      <w:bookmarkStart w:id="12" w:name="O_494780"/>
      <w:bookmarkEnd w:id="12"/>
      <w:r w:rsidRPr="00544195">
        <w:t>Unit Sector(s)</w:t>
      </w:r>
    </w:p>
    <w:p w:rsidR="00000000" w:rsidRPr="00544195" w:rsidP="00544195">
      <w:pPr>
        <w:pStyle w:val="BodyText"/>
      </w:pPr>
      <w:r w:rsidRPr="00544195">
        <w:t>Not applicable.</w:t>
      </w:r>
    </w:p>
    <w:p w:rsidR="00000000" w:rsidRPr="00544195" w:rsidP="00544195">
      <w:pPr>
        <w:pStyle w:val="AllowPageBreak"/>
      </w:pPr>
    </w:p>
    <w:p w:rsidR="00000000" w:rsidRPr="00544195" w:rsidP="00544195">
      <w:pPr>
        <w:pStyle w:val="Heading1"/>
      </w:pPr>
      <w:bookmarkStart w:id="13" w:name="O_494793"/>
      <w:bookmarkEnd w:id="13"/>
      <w:r w:rsidRPr="00544195">
        <w:t>Competency field</w:t>
      </w:r>
    </w:p>
    <w:p w:rsidR="00000000" w:rsidRPr="00544195" w:rsidP="00544195">
      <w:pPr>
        <w:pStyle w:val="BodyText"/>
      </w:pPr>
      <w:r w:rsidRPr="00544195">
        <w:t>Courts.</w:t>
      </w:r>
    </w:p>
    <w:p w:rsidR="00000000" w:rsidRPr="00544195" w:rsidP="00544195"/>
    <w:sectPr w:rsidSect="0054419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F64B52" w:rsidP="00F64B52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52" w:rsidP="005441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64B52" w:rsidP="005441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F64B52" w:rsidP="0054419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95" w:rsidRPr="00F64B52" w:rsidP="00F64B52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41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4B52" w:rsidRPr="002D2AF8" w:rsidP="005441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PSPCRT415A Administer alternative dispute-resolution proceedings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November 2012</w:t>
    </w:r>
    <w:r>
      <w:fldChar w:fldCharType="end"/>
    </w:r>
  </w:p>
  <w:p w:rsidR="00F64B52" w:rsidP="005441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B1E38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426F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B21CF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41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441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41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41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41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41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41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41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41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41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41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4195"/>
  </w:style>
  <w:style w:type="character" w:customStyle="1" w:styleId="Heading1Char">
    <w:name w:val="Heading 1 Char"/>
    <w:basedOn w:val="DefaultParagraphFont"/>
    <w:link w:val="Heading1"/>
    <w:rsid w:val="005441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419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419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5441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419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5441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419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44195"/>
    <w:rPr>
      <w:b/>
      <w:spacing w:val="0"/>
    </w:rPr>
  </w:style>
  <w:style w:type="paragraph" w:styleId="ListBullet2">
    <w:name w:val="List Bullet 2"/>
    <w:basedOn w:val="List2"/>
    <w:rsid w:val="0054419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4419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41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4419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441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41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41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41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441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441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441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41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41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41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41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41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41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41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441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41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41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41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441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41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441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41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441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41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41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41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419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4195"/>
    <w:rPr>
      <w:i/>
    </w:rPr>
  </w:style>
  <w:style w:type="paragraph" w:styleId="Caption">
    <w:name w:val="caption"/>
    <w:basedOn w:val="BodyText"/>
    <w:next w:val="Normal"/>
    <w:qFormat/>
    <w:rsid w:val="005441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41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41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4195"/>
  </w:style>
  <w:style w:type="paragraph" w:styleId="TableofFigures">
    <w:name w:val="table of figures"/>
    <w:basedOn w:val="Normal"/>
    <w:next w:val="Normal"/>
    <w:semiHidden/>
    <w:rsid w:val="005441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4195"/>
    <w:pPr>
      <w:numPr>
        <w:numId w:val="11"/>
      </w:numPr>
    </w:pPr>
  </w:style>
  <w:style w:type="character" w:customStyle="1" w:styleId="WingdingSymbols">
    <w:name w:val="Wingding Symbols"/>
    <w:rsid w:val="00544195"/>
    <w:rPr>
      <w:rFonts w:ascii="Wingdings" w:hAnsi="Wingdings"/>
    </w:rPr>
  </w:style>
  <w:style w:type="paragraph" w:customStyle="1" w:styleId="TableHeading">
    <w:name w:val="Table Heading"/>
    <w:basedOn w:val="HeadingBase"/>
    <w:rsid w:val="005441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4195"/>
    <w:rPr>
      <w:color w:val="0033CC"/>
      <w:u w:val="none"/>
    </w:rPr>
  </w:style>
  <w:style w:type="paragraph" w:customStyle="1" w:styleId="BodyTextRight">
    <w:name w:val="Body Text Right"/>
    <w:basedOn w:val="BodyText"/>
    <w:rsid w:val="005441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41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419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41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41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41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44195"/>
    <w:rPr>
      <w:sz w:val="32"/>
    </w:rPr>
  </w:style>
  <w:style w:type="paragraph" w:customStyle="1" w:styleId="HeadingProcedure">
    <w:name w:val="Heading Procedure"/>
    <w:basedOn w:val="HeadingBase"/>
    <w:next w:val="Normal"/>
    <w:rsid w:val="005441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4195"/>
    <w:pPr>
      <w:spacing w:before="60" w:after="60"/>
    </w:pPr>
  </w:style>
  <w:style w:type="paragraph" w:styleId="ListContinue">
    <w:name w:val="List Continue"/>
    <w:basedOn w:val="List"/>
    <w:rsid w:val="00544195"/>
    <w:pPr>
      <w:ind w:firstLine="0"/>
    </w:pPr>
  </w:style>
  <w:style w:type="paragraph" w:customStyle="1" w:styleId="ListNote">
    <w:name w:val="List Note"/>
    <w:basedOn w:val="List"/>
    <w:rsid w:val="005441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41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41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4195"/>
    <w:rPr>
      <w:rFonts w:ascii="Courier New" w:hAnsi="Courier New"/>
    </w:rPr>
  </w:style>
  <w:style w:type="paragraph" w:customStyle="1" w:styleId="NoteBullet">
    <w:name w:val="Note Bullet"/>
    <w:basedOn w:val="Note"/>
    <w:rsid w:val="005441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41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41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41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419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441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41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44195"/>
    <w:rPr>
      <w:b/>
      <w:smallCaps/>
    </w:rPr>
  </w:style>
  <w:style w:type="paragraph" w:customStyle="1" w:styleId="TableListNumber">
    <w:name w:val="Table List Number"/>
    <w:basedOn w:val="ListNumber"/>
    <w:rsid w:val="005441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41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4195"/>
    <w:pPr>
      <w:numPr>
        <w:numId w:val="9"/>
      </w:numPr>
    </w:pPr>
  </w:style>
  <w:style w:type="paragraph" w:customStyle="1" w:styleId="ListAlpha2">
    <w:name w:val="List Alpha 2"/>
    <w:basedOn w:val="List2"/>
    <w:rsid w:val="00544195"/>
    <w:pPr>
      <w:numPr>
        <w:numId w:val="8"/>
      </w:numPr>
    </w:pPr>
  </w:style>
  <w:style w:type="paragraph" w:styleId="List2">
    <w:name w:val="List 2"/>
    <w:basedOn w:val="BodyText"/>
    <w:rsid w:val="005441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41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41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41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4195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4195"/>
    <w:pPr>
      <w:numPr>
        <w:numId w:val="3"/>
      </w:numPr>
    </w:pPr>
  </w:style>
  <w:style w:type="paragraph" w:styleId="ListBullet5">
    <w:name w:val="List Bullet 5"/>
    <w:basedOn w:val="List5"/>
    <w:rsid w:val="00544195"/>
    <w:pPr>
      <w:numPr>
        <w:numId w:val="4"/>
      </w:numPr>
    </w:pPr>
  </w:style>
  <w:style w:type="paragraph" w:styleId="ListContinue2">
    <w:name w:val="List Continue 2"/>
    <w:basedOn w:val="List2"/>
    <w:rsid w:val="00544195"/>
    <w:pPr>
      <w:ind w:firstLine="0"/>
    </w:pPr>
  </w:style>
  <w:style w:type="paragraph" w:styleId="ListContinue3">
    <w:name w:val="List Continue 3"/>
    <w:basedOn w:val="List3"/>
    <w:rsid w:val="00544195"/>
    <w:pPr>
      <w:ind w:left="1021" w:firstLine="0"/>
    </w:pPr>
  </w:style>
  <w:style w:type="paragraph" w:styleId="ListContinue4">
    <w:name w:val="List Continue 4"/>
    <w:basedOn w:val="List4"/>
    <w:rsid w:val="00544195"/>
    <w:pPr>
      <w:ind w:firstLine="0"/>
    </w:pPr>
  </w:style>
  <w:style w:type="paragraph" w:styleId="ListContinue5">
    <w:name w:val="List Continue 5"/>
    <w:basedOn w:val="List5"/>
    <w:rsid w:val="00544195"/>
    <w:pPr>
      <w:ind w:firstLine="0"/>
    </w:pPr>
  </w:style>
  <w:style w:type="paragraph" w:styleId="ListNumber3">
    <w:name w:val="List Number 3"/>
    <w:basedOn w:val="List3"/>
    <w:rsid w:val="00544195"/>
    <w:pPr>
      <w:numPr>
        <w:numId w:val="5"/>
      </w:numPr>
    </w:pPr>
  </w:style>
  <w:style w:type="paragraph" w:styleId="ListNumber4">
    <w:name w:val="List Number 4"/>
    <w:basedOn w:val="List4"/>
    <w:rsid w:val="00544195"/>
    <w:pPr>
      <w:numPr>
        <w:numId w:val="6"/>
      </w:numPr>
    </w:pPr>
  </w:style>
  <w:style w:type="paragraph" w:styleId="ListNumber5">
    <w:name w:val="List Number 5"/>
    <w:basedOn w:val="List5"/>
    <w:rsid w:val="00544195"/>
    <w:pPr>
      <w:numPr>
        <w:numId w:val="7"/>
      </w:numPr>
    </w:pPr>
  </w:style>
  <w:style w:type="paragraph" w:styleId="BlockText">
    <w:name w:val="Block Text"/>
    <w:basedOn w:val="Normal"/>
    <w:rsid w:val="005441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41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4195"/>
    <w:rPr>
      <w:sz w:val="16"/>
      <w:vertAlign w:val="superscript"/>
    </w:rPr>
  </w:style>
  <w:style w:type="character" w:customStyle="1" w:styleId="Symbols">
    <w:name w:val="Symbols"/>
    <w:basedOn w:val="DefaultParagraphFont"/>
    <w:rsid w:val="00544195"/>
    <w:rPr>
      <w:rFonts w:ascii="Symbol" w:hAnsi="Symbol"/>
    </w:rPr>
  </w:style>
  <w:style w:type="character" w:customStyle="1" w:styleId="MenuOptions">
    <w:name w:val="Menu Options"/>
    <w:basedOn w:val="DefaultParagraphFont"/>
    <w:rsid w:val="005441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4195"/>
    <w:rPr>
      <w:b/>
    </w:rPr>
  </w:style>
  <w:style w:type="character" w:customStyle="1" w:styleId="Underlined">
    <w:name w:val="Underlined"/>
    <w:basedOn w:val="DefaultParagraphFont"/>
    <w:rsid w:val="00544195"/>
    <w:rPr>
      <w:u w:val="single"/>
    </w:rPr>
  </w:style>
  <w:style w:type="paragraph" w:customStyle="1" w:styleId="TableBodyTextRight">
    <w:name w:val="Table Body Text Right"/>
    <w:basedOn w:val="TableBodyText"/>
    <w:rsid w:val="005441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4195"/>
    <w:rPr>
      <w:sz w:val="18"/>
    </w:rPr>
  </w:style>
  <w:style w:type="paragraph" w:customStyle="1" w:styleId="BodySmallRight">
    <w:name w:val="Body Small Right"/>
    <w:basedOn w:val="BodyTextRight"/>
    <w:rsid w:val="00544195"/>
    <w:rPr>
      <w:sz w:val="18"/>
      <w:szCs w:val="18"/>
    </w:rPr>
  </w:style>
  <w:style w:type="paragraph" w:customStyle="1" w:styleId="MarginEdition">
    <w:name w:val="Margin Edition"/>
    <w:basedOn w:val="MarginNote"/>
    <w:rsid w:val="005441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4195"/>
    <w:rPr>
      <w:sz w:val="2"/>
      <w:szCs w:val="2"/>
    </w:rPr>
  </w:style>
  <w:style w:type="character" w:customStyle="1" w:styleId="Small">
    <w:name w:val="Small"/>
    <w:basedOn w:val="DefaultParagraphFont"/>
    <w:rsid w:val="00544195"/>
    <w:rPr>
      <w:sz w:val="16"/>
    </w:rPr>
  </w:style>
  <w:style w:type="paragraph" w:customStyle="1" w:styleId="WideTable">
    <w:name w:val="Wide Table"/>
    <w:basedOn w:val="Normal"/>
    <w:rsid w:val="005441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4195"/>
  </w:style>
  <w:style w:type="paragraph" w:styleId="Quote">
    <w:name w:val="Quote"/>
    <w:basedOn w:val="Heading1"/>
    <w:link w:val="QuoteChar"/>
    <w:qFormat/>
    <w:rsid w:val="005441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41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4195"/>
    <w:pPr>
      <w:pageBreakBefore/>
    </w:pPr>
  </w:style>
  <w:style w:type="paragraph" w:customStyle="1" w:styleId="Border">
    <w:name w:val="Border"/>
    <w:basedOn w:val="Normal"/>
    <w:qFormat/>
    <w:rsid w:val="005441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41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41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41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441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41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41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41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41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4195"/>
    <w:rPr>
      <w:u w:val="single"/>
    </w:rPr>
  </w:style>
  <w:style w:type="paragraph" w:styleId="BalloonText">
    <w:name w:val="Balloon Text"/>
    <w:basedOn w:val="Normal"/>
    <w:link w:val="BalloonTextChar"/>
    <w:rsid w:val="005441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41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4419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41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441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4419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1087</Words>
  <Characters>7062</Characters>
  <Application>Microsoft Office Word</Application>
  <DocSecurity>0</DocSecurity>
  <Lines>230</Lines>
  <Paragraphs>144</Paragraphs>
  <ScaleCrop>false</ScaleCrop>
  <Company>Author-it Software Corporation Ltd.</Company>
  <LinksUpToDate>false</LinksUpToDate>
  <CharactersWithSpaces>8075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PSPCRT415A Administer alternative dispute-resolution proceedings</dc:title>
  <dc:subject>Approved</dc:subject>
  <dc:creator>Government Skills Australia</dc:creator>
  <cp:keywords>Revision Number: 3</cp:keywords>
  <dc:description>Copyright © 1996-2007 Author-it Software Corporation Ltd., all rights reserved.</dc:description>
  <cp:lastModifiedBy>TPCMS</cp:lastModifiedBy>
  <cp:revision>3</cp:revision>
  <dcterms:created xsi:type="dcterms:W3CDTF">2012-11-01T18:04:00Z</dcterms:created>
  <dcterms:modified xsi:type="dcterms:W3CDTF">2012-11-01T18:04:00Z</dcterms:modified>
</cp:coreProperties>
</file>