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B15" w:rsidP="00733B15">
      <w:pPr>
        <w:pStyle w:val="Title"/>
      </w:pPr>
      <w:bookmarkStart w:id="0" w:name="_GoBack"/>
      <w:bookmarkEnd w:id="0"/>
      <w:r>
        <w:fldChar w:fldCharType="begin"/>
      </w:r>
      <w:r>
        <w:instrText xml:space="preserve"> TITLE   \* MERGEFORMAT </w:instrText>
      </w:r>
      <w:r>
        <w:fldChar w:fldCharType="separate"/>
      </w:r>
      <w:r>
        <w:t>PSPCOM501A Prepare for community engagement</w:t>
      </w:r>
      <w:r>
        <w:fldChar w:fldCharType="end"/>
      </w:r>
    </w:p>
    <w:p w:rsidR="00733B15" w:rsidP="00733B15">
      <w:pPr>
        <w:pStyle w:val="Version"/>
        <w:sectPr w:rsidSect="006A34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6A343D" w:rsidP="006A343D">
      <w:pPr>
        <w:pStyle w:val="SuperHeading"/>
      </w:pPr>
      <w:r w:rsidRPr="006A343D">
        <w:t>PSPCOM501A Prepare for community engagement</w:t>
      </w:r>
    </w:p>
    <w:p w:rsidR="00000000" w:rsidRPr="006A343D" w:rsidP="006A343D">
      <w:pPr>
        <w:pStyle w:val="SuperHeading"/>
      </w:pPr>
    </w:p>
    <w:p w:rsidR="00000000" w:rsidRPr="006A343D" w:rsidP="006A343D">
      <w:pPr>
        <w:pStyle w:val="Heading1"/>
      </w:pPr>
      <w:bookmarkStart w:id="1" w:name="O_494482"/>
      <w:bookmarkEnd w:id="1"/>
      <w:r w:rsidRPr="006A343D">
        <w:t>Modification History</w:t>
      </w:r>
    </w:p>
    <w:tbl>
      <w:tblPr>
        <w:tblW w:w="0" w:type="auto"/>
        <w:tblLayout w:type="fixed"/>
        <w:tblCellMar>
          <w:left w:w="62" w:type="dxa"/>
          <w:right w:w="62" w:type="dxa"/>
        </w:tblCellMar>
        <w:tblLook w:val="0000"/>
      </w:tblPr>
      <w:tblGrid>
        <w:gridCol w:w="3052"/>
        <w:gridCol w:w="3052"/>
        <w:gridCol w:w="3052"/>
      </w:tblGrid>
      <w:tr w:rsidTr="00733B1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43D" w:rsidP="006A343D">
            <w:pPr>
              <w:pStyle w:val="BodyText"/>
            </w:pPr>
            <w:r w:rsidRPr="006A343D">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43D" w:rsidP="006A343D">
            <w:pPr>
              <w:pStyle w:val="BodyText"/>
            </w:pPr>
            <w:r w:rsidRPr="006A343D">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43D">
            <w:pPr>
              <w:pStyle w:val="BodyText"/>
              <w:rPr>
                <w:lang w:val="en-NZ"/>
              </w:rPr>
            </w:pPr>
            <w:r w:rsidRPr="006A343D">
              <w:rPr>
                <w:rStyle w:val="SpecialBold"/>
              </w:rPr>
              <w:t>Comments</w:t>
            </w:r>
          </w:p>
        </w:tc>
      </w:tr>
      <w:tr w:rsidTr="00733B1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43D">
            <w:pPr>
              <w:pStyle w:val="BodyText"/>
              <w:rPr>
                <w:lang w:val="en-NZ"/>
              </w:rPr>
            </w:pPr>
            <w:r w:rsidRPr="006A343D">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43D">
            <w:pPr>
              <w:pStyle w:val="BodyText"/>
              <w:rPr>
                <w:lang w:val="en-NZ"/>
              </w:rPr>
            </w:pPr>
            <w:r w:rsidRPr="006A343D">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43D">
            <w:pPr>
              <w:pStyle w:val="BodyText"/>
              <w:rPr>
                <w:lang w:val="en-NZ"/>
              </w:rPr>
            </w:pPr>
            <w:r w:rsidRPr="006A343D">
              <w:t xml:space="preserve">Unit descriptor edited. </w:t>
            </w:r>
          </w:p>
        </w:tc>
      </w:tr>
      <w:tr w:rsidTr="00733B1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43D">
            <w:pPr>
              <w:pStyle w:val="BodyText"/>
              <w:rPr>
                <w:lang w:val="en-NZ"/>
              </w:rPr>
            </w:pPr>
            <w:r w:rsidRPr="006A343D">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43D">
            <w:pPr>
              <w:pStyle w:val="BodyText"/>
              <w:rPr>
                <w:lang w:val="en-NZ"/>
              </w:rPr>
            </w:pPr>
            <w:r w:rsidRPr="006A343D">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43D">
            <w:pPr>
              <w:pStyle w:val="BodyText"/>
              <w:rPr>
                <w:lang w:val="en-NZ"/>
              </w:rPr>
            </w:pPr>
            <w:r w:rsidRPr="006A343D">
              <w:t>Layout adjusted. No changes to content.</w:t>
            </w:r>
          </w:p>
        </w:tc>
      </w:tr>
      <w:tr w:rsidTr="00733B1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43D">
            <w:pPr>
              <w:pStyle w:val="BodyText"/>
              <w:rPr>
                <w:lang w:val="en-NZ"/>
              </w:rPr>
            </w:pPr>
            <w:r w:rsidRPr="006A343D">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43D">
            <w:pPr>
              <w:pStyle w:val="BodyText"/>
              <w:rPr>
                <w:lang w:val="en-NZ"/>
              </w:rPr>
            </w:pPr>
            <w:r w:rsidRPr="006A343D">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43D" w:rsidP="006A343D">
            <w:pPr>
              <w:pStyle w:val="BodyText"/>
            </w:pPr>
            <w:r w:rsidRPr="006A343D">
              <w:t>Primary release.</w:t>
            </w:r>
          </w:p>
        </w:tc>
      </w:tr>
    </w:tbl>
    <w:p w:rsidR="00733B15" w:rsidP="006A343D">
      <w:pPr>
        <w:pStyle w:val="BodyText"/>
      </w:pPr>
    </w:p>
    <w:p w:rsidR="00733B15" w:rsidP="006A343D">
      <w:pPr>
        <w:pStyle w:val="BodyText"/>
      </w:pPr>
    </w:p>
    <w:p w:rsidR="00000000" w:rsidRPr="006A343D" w:rsidP="006A343D">
      <w:pPr>
        <w:pStyle w:val="Heading1"/>
      </w:pPr>
      <w:bookmarkStart w:id="2" w:name="O_494486"/>
      <w:bookmarkEnd w:id="2"/>
      <w:r w:rsidRPr="006A343D">
        <w:t>Unit Descriptor</w:t>
      </w:r>
    </w:p>
    <w:p w:rsidR="00000000" w:rsidRPr="006A343D" w:rsidP="006A343D">
      <w:pPr>
        <w:pStyle w:val="BodyText"/>
      </w:pPr>
      <w:r w:rsidRPr="006A343D">
        <w:t>This unit covers effective approaches to identifying and understanding the various communities targeted to be involved in engagement activities o</w:t>
      </w:r>
      <w:r w:rsidRPr="006A343D">
        <w:t>r programs. It includes development of an analytical framework, defining and assessing the composition of the target community, identifying community cultural systems and protocols and building a community profile.</w:t>
      </w:r>
    </w:p>
    <w:p w:rsidR="00000000" w:rsidRPr="006A343D" w:rsidP="006A343D">
      <w:pPr>
        <w:pStyle w:val="BodyText"/>
      </w:pPr>
      <w:r w:rsidRPr="006A343D">
        <w:t>In practice, community engagement overlap</w:t>
      </w:r>
      <w:r w:rsidRPr="006A343D">
        <w:t xml:space="preserve">s with other generalist or specialist work activities such as acting ethically, providing leadership, developing client services, developing policy, undertaking research, facilitating change, etc. </w:t>
      </w:r>
    </w:p>
    <w:p w:rsidR="00000000" w:rsidRPr="006A343D" w:rsidP="006A343D">
      <w:pPr>
        <w:pStyle w:val="BodyText"/>
      </w:pPr>
      <w:r w:rsidRPr="006A343D">
        <w:t>No licensing, legislative, regulatory or certification req</w:t>
      </w:r>
      <w:r w:rsidRPr="006A343D">
        <w:t>uirements apply to this unit at the time of publication</w:t>
      </w:r>
    </w:p>
    <w:p w:rsidR="00000000" w:rsidRPr="006A343D" w:rsidP="006A343D">
      <w:pPr>
        <w:pStyle w:val="AllowPageBreak"/>
      </w:pPr>
    </w:p>
    <w:p w:rsidR="00000000" w:rsidRPr="006A343D" w:rsidP="006A343D">
      <w:pPr>
        <w:pStyle w:val="Heading1"/>
      </w:pPr>
      <w:bookmarkStart w:id="3" w:name="O_494492"/>
      <w:bookmarkEnd w:id="3"/>
      <w:r w:rsidRPr="006A343D">
        <w:t>Application of the Unit</w:t>
      </w:r>
    </w:p>
    <w:p w:rsidR="00000000" w:rsidRPr="006A343D" w:rsidP="006A343D">
      <w:pPr>
        <w:pStyle w:val="BodyText"/>
      </w:pPr>
      <w:r w:rsidRPr="006A343D">
        <w:t>Not applicable.</w:t>
      </w:r>
    </w:p>
    <w:p w:rsidR="00000000" w:rsidRPr="006A343D" w:rsidP="006A343D">
      <w:pPr>
        <w:pStyle w:val="AllowPageBreak"/>
      </w:pPr>
    </w:p>
    <w:p w:rsidR="00000000" w:rsidRPr="006A343D" w:rsidP="006A343D">
      <w:pPr>
        <w:pStyle w:val="Heading1"/>
      </w:pPr>
      <w:bookmarkStart w:id="4" w:name="O_494480"/>
      <w:bookmarkEnd w:id="4"/>
      <w:r w:rsidRPr="006A343D">
        <w:t>Licensing/Regulatory Information</w:t>
      </w:r>
    </w:p>
    <w:p w:rsidR="00000000" w:rsidRPr="006A343D" w:rsidP="006A343D">
      <w:pPr>
        <w:pStyle w:val="BodyText"/>
      </w:pPr>
      <w:r w:rsidRPr="006A343D">
        <w:t>Not applicable.</w:t>
      </w:r>
    </w:p>
    <w:p w:rsidR="00000000" w:rsidRPr="006A343D" w:rsidP="006A343D">
      <w:pPr>
        <w:pStyle w:val="AllowPageBreak"/>
      </w:pPr>
    </w:p>
    <w:p w:rsidR="00000000" w:rsidRPr="006A343D" w:rsidP="006A343D">
      <w:pPr>
        <w:pStyle w:val="Heading1"/>
      </w:pPr>
      <w:bookmarkStart w:id="5" w:name="O_494487"/>
      <w:bookmarkEnd w:id="5"/>
      <w:r w:rsidRPr="006A343D">
        <w:t>Pre-Requisites</w:t>
      </w:r>
    </w:p>
    <w:p w:rsidR="00000000" w:rsidRPr="006A343D" w:rsidP="006A343D">
      <w:pPr>
        <w:pStyle w:val="BodyText"/>
      </w:pPr>
      <w:r w:rsidRPr="006A343D">
        <w:t>Not applicable.</w:t>
      </w:r>
    </w:p>
    <w:p w:rsidR="00000000" w:rsidRPr="006A343D" w:rsidP="006A343D">
      <w:pPr>
        <w:pStyle w:val="AllowPageBreak"/>
      </w:pPr>
    </w:p>
    <w:p w:rsidR="00000000" w:rsidRPr="006A343D" w:rsidP="006A343D">
      <w:pPr>
        <w:pStyle w:val="Heading1"/>
      </w:pPr>
      <w:bookmarkStart w:id="6" w:name="O_494488"/>
      <w:bookmarkEnd w:id="6"/>
      <w:r w:rsidRPr="006A343D">
        <w:t>Employability Skills Information</w:t>
      </w:r>
    </w:p>
    <w:p w:rsidR="00000000" w:rsidRPr="006A343D" w:rsidP="006A343D">
      <w:pPr>
        <w:pStyle w:val="BodyText"/>
      </w:pPr>
      <w:r w:rsidRPr="006A343D">
        <w:t>This unit contains employability skills.</w:t>
      </w:r>
    </w:p>
    <w:p w:rsidR="00000000" w:rsidRPr="006A343D" w:rsidP="006A343D">
      <w:pPr>
        <w:pStyle w:val="AllowPageBreak"/>
      </w:pPr>
    </w:p>
    <w:p w:rsidR="00000000" w:rsidRPr="006A343D" w:rsidP="006A343D">
      <w:pPr>
        <w:pStyle w:val="Heading1"/>
      </w:pPr>
      <w:bookmarkStart w:id="7" w:name="O_494489"/>
      <w:bookmarkEnd w:id="7"/>
      <w:r w:rsidRPr="006A343D">
        <w:t>Elements and Performance Criteria Pre-Content</w:t>
      </w:r>
    </w:p>
    <w:tbl>
      <w:tblPr>
        <w:tblW w:w="9322" w:type="dxa"/>
        <w:tblLayout w:type="fixed"/>
        <w:tblCellMar>
          <w:left w:w="62" w:type="dxa"/>
          <w:right w:w="62" w:type="dxa"/>
        </w:tblCellMar>
        <w:tblLook w:val="0000"/>
      </w:tblPr>
      <w:tblGrid>
        <w:gridCol w:w="2660"/>
        <w:gridCol w:w="6662"/>
      </w:tblGrid>
      <w:tr w:rsidTr="00733B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A343D">
            <w:pPr>
              <w:pStyle w:val="BodyText"/>
              <w:rPr>
                <w:lang w:val="en-NZ"/>
              </w:rPr>
            </w:pPr>
            <w:r w:rsidRPr="006A343D">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6A343D" w:rsidP="006A343D">
            <w:pPr>
              <w:pStyle w:val="BodyText"/>
            </w:pPr>
            <w:r w:rsidRPr="006A343D">
              <w:t xml:space="preserve">Together, performance criteria specify the requirements </w:t>
            </w:r>
            <w:r w:rsidRPr="006A343D">
              <w:t xml:space="preserve">for competent performance. Text in </w:t>
            </w:r>
            <w:r w:rsidRPr="006A343D">
              <w:rPr>
                <w:rStyle w:val="BoldandItalics"/>
              </w:rPr>
              <w:t>bold italics</w:t>
            </w:r>
            <w:r w:rsidRPr="006A343D">
              <w:t xml:space="preserve">  is explained in the Range Statement following.</w:t>
            </w:r>
          </w:p>
        </w:tc>
      </w:tr>
    </w:tbl>
    <w:p w:rsidR="00000000" w:rsidRPr="006A343D" w:rsidP="006A343D">
      <w:pPr>
        <w:pStyle w:val="BodyText"/>
      </w:pPr>
    </w:p>
    <w:p w:rsidR="00000000" w:rsidRPr="006A343D" w:rsidP="006A343D">
      <w:pPr>
        <w:pStyle w:val="AllowPageBreak"/>
      </w:pPr>
    </w:p>
    <w:p w:rsidR="00000000" w:rsidRPr="006A343D" w:rsidP="006A343D">
      <w:pPr>
        <w:pStyle w:val="Heading1"/>
      </w:pPr>
      <w:bookmarkStart w:id="8" w:name="O_494491"/>
      <w:bookmarkEnd w:id="8"/>
      <w:r w:rsidRPr="006A343D">
        <w:t>Elements and Performance Criteria</w:t>
      </w:r>
    </w:p>
    <w:tbl>
      <w:tblPr>
        <w:tblW w:w="9322" w:type="dxa"/>
        <w:tblLayout w:type="fixed"/>
        <w:tblCellMar>
          <w:left w:w="62" w:type="dxa"/>
          <w:right w:w="62" w:type="dxa"/>
        </w:tblCellMar>
        <w:tblLook w:val="0000"/>
      </w:tblPr>
      <w:tblGrid>
        <w:gridCol w:w="2660"/>
        <w:gridCol w:w="6662"/>
      </w:tblGrid>
      <w:tr w:rsidTr="00733B15">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6A343D" w:rsidP="006A343D">
            <w:pPr>
              <w:pStyle w:val="BodyText"/>
            </w:pPr>
            <w:r w:rsidRPr="006A343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A343D">
            <w:pPr>
              <w:pStyle w:val="BodyText"/>
              <w:rPr>
                <w:lang w:val="en-NZ"/>
              </w:rPr>
            </w:pPr>
            <w:r w:rsidRPr="006A343D">
              <w:rPr>
                <w:rStyle w:val="SpecialBold"/>
              </w:rPr>
              <w:t>PERFORMANCE CRITERIA</w:t>
            </w:r>
          </w:p>
        </w:tc>
      </w:tr>
      <w:tr w:rsidTr="00733B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A343D">
            <w:pPr>
              <w:pStyle w:val="List"/>
              <w:rPr>
                <w:lang w:val="en-NZ"/>
              </w:rPr>
            </w:pPr>
            <w:r w:rsidRPr="006A343D">
              <w:rPr>
                <w:rStyle w:val="SpecialBold"/>
              </w:rPr>
              <w:t>1</w:t>
            </w:r>
            <w:r w:rsidRPr="006A343D">
              <w:t xml:space="preserve">.  </w:t>
            </w:r>
            <w:r w:rsidRPr="006A343D">
              <w:tab/>
            </w:r>
            <w:r w:rsidRPr="006A343D">
              <w:rPr>
                <w:rStyle w:val="SpecialBold"/>
              </w:rPr>
              <w:t>Develop an analytical framework</w:t>
            </w:r>
          </w:p>
        </w:tc>
        <w:tc>
          <w:tcPr>
            <w:tcW w:w="6662" w:type="dxa"/>
            <w:tcBorders>
              <w:top w:val="nil"/>
              <w:left w:val="nil"/>
              <w:bottom w:val="nil"/>
              <w:right w:val="nil"/>
            </w:tcBorders>
            <w:tcMar>
              <w:top w:w="0" w:type="dxa"/>
              <w:left w:w="62" w:type="dxa"/>
              <w:bottom w:w="0" w:type="dxa"/>
              <w:right w:w="62" w:type="dxa"/>
            </w:tcMar>
          </w:tcPr>
          <w:p w:rsidR="00000000" w:rsidRPr="006A343D" w:rsidP="006A343D">
            <w:pPr>
              <w:pStyle w:val="List"/>
            </w:pPr>
            <w:r w:rsidRPr="006A343D">
              <w:t>1.1</w:t>
            </w:r>
            <w:r w:rsidRPr="006A343D">
              <w:tab/>
            </w:r>
            <w:r w:rsidRPr="006A343D">
              <w:t>The context within which community engagement may ethically be undertaken and the underpinning policy drivers are identified.</w:t>
            </w:r>
          </w:p>
          <w:p w:rsidR="00000000" w:rsidRPr="006A343D" w:rsidP="006A343D">
            <w:pPr>
              <w:pStyle w:val="List"/>
            </w:pPr>
            <w:r w:rsidRPr="006A343D">
              <w:t>1.2</w:t>
            </w:r>
            <w:r w:rsidRPr="006A343D">
              <w:tab/>
              <w:t xml:space="preserve">Key stakeholders are identified and consulted to ensure the framework is culturally appropriate and addresses key </w:t>
            </w:r>
            <w:r w:rsidRPr="006A343D">
              <w:rPr>
                <w:rStyle w:val="BoldandItalics"/>
              </w:rPr>
              <w:t xml:space="preserve">community </w:t>
            </w:r>
            <w:r w:rsidRPr="006A343D">
              <w:t>ch</w:t>
            </w:r>
            <w:r w:rsidRPr="006A343D">
              <w:t>aracteristics.</w:t>
            </w:r>
          </w:p>
          <w:p w:rsidR="00000000" w:rsidRPr="006A343D" w:rsidP="006A343D">
            <w:pPr>
              <w:pStyle w:val="List"/>
            </w:pPr>
            <w:r w:rsidRPr="006A343D">
              <w:t>1.3</w:t>
            </w:r>
            <w:r w:rsidRPr="006A343D">
              <w:tab/>
              <w:t>The task and objectives are defined in accordance with organisational requirements for the engagement program.</w:t>
            </w:r>
          </w:p>
          <w:p w:rsidR="00000000" w:rsidRPr="006A343D" w:rsidP="006A343D">
            <w:pPr>
              <w:pStyle w:val="List"/>
            </w:pPr>
            <w:r w:rsidRPr="006A343D">
              <w:t>1.4</w:t>
            </w:r>
            <w:r w:rsidRPr="006A343D">
              <w:tab/>
              <w:t>Resources are allocated to implement the framework according to the requirements of the task and budgetary constraints.</w:t>
            </w:r>
          </w:p>
          <w:p w:rsidR="00000000" w:rsidP="006A343D">
            <w:pPr>
              <w:pStyle w:val="List"/>
              <w:rPr>
                <w:lang w:val="en-NZ"/>
              </w:rPr>
            </w:pPr>
            <w:r w:rsidRPr="006A343D">
              <w:t>1.</w:t>
            </w:r>
            <w:r w:rsidRPr="006A343D">
              <w:t>5</w:t>
            </w:r>
            <w:r w:rsidRPr="006A343D">
              <w:tab/>
              <w:t>The framework is developed to meet the requirement to assist in analysing and understanding the community.</w:t>
            </w:r>
          </w:p>
        </w:tc>
      </w:tr>
      <w:tr w:rsidTr="00733B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A343D">
            <w:pPr>
              <w:pStyle w:val="List"/>
              <w:rPr>
                <w:lang w:val="en-NZ"/>
              </w:rPr>
            </w:pPr>
            <w:r w:rsidRPr="006A343D">
              <w:rPr>
                <w:rStyle w:val="SpecialBold"/>
              </w:rPr>
              <w:t>2</w:t>
            </w:r>
            <w:r w:rsidRPr="006A343D">
              <w:t xml:space="preserve">.  </w:t>
            </w:r>
            <w:r w:rsidRPr="006A343D">
              <w:tab/>
            </w:r>
            <w:r w:rsidRPr="006A343D">
              <w:rPr>
                <w:rStyle w:val="SpecialBold"/>
              </w:rPr>
              <w:t>Define the target community</w:t>
            </w:r>
            <w:r w:rsidRPr="006A343D">
              <w:t xml:space="preserve"> </w:t>
            </w:r>
          </w:p>
        </w:tc>
        <w:tc>
          <w:tcPr>
            <w:tcW w:w="6662" w:type="dxa"/>
            <w:tcBorders>
              <w:top w:val="nil"/>
              <w:left w:val="nil"/>
              <w:bottom w:val="nil"/>
              <w:right w:val="nil"/>
            </w:tcBorders>
            <w:tcMar>
              <w:top w:w="0" w:type="dxa"/>
              <w:left w:w="62" w:type="dxa"/>
              <w:bottom w:w="0" w:type="dxa"/>
              <w:right w:w="62" w:type="dxa"/>
            </w:tcMar>
          </w:tcPr>
          <w:p w:rsidR="00000000" w:rsidRPr="006A343D" w:rsidP="006A343D">
            <w:pPr>
              <w:pStyle w:val="List"/>
            </w:pPr>
            <w:r w:rsidRPr="006A343D">
              <w:t>2.1</w:t>
            </w:r>
            <w:r w:rsidRPr="006A343D">
              <w:tab/>
            </w:r>
            <w:r w:rsidRPr="006A343D">
              <w:rPr>
                <w:rStyle w:val="BoldandItalics"/>
              </w:rPr>
              <w:t>Research techniques</w:t>
            </w:r>
            <w:r w:rsidRPr="006A343D">
              <w:t xml:space="preserve"> are identified in accordance with community engagement information requirements and comm</w:t>
            </w:r>
            <w:r w:rsidRPr="006A343D">
              <w:t>unity preferences.</w:t>
            </w:r>
          </w:p>
          <w:p w:rsidR="00000000" w:rsidRPr="006A343D" w:rsidP="006A343D">
            <w:pPr>
              <w:pStyle w:val="List"/>
            </w:pPr>
            <w:r w:rsidRPr="006A343D">
              <w:t>2.2</w:t>
            </w:r>
            <w:r w:rsidRPr="006A343D">
              <w:tab/>
              <w:t>Information is gathered and analysed according to the requirements of the research strategy, and the target community(s) is defined with sufficient breadth and depth to meet community engagement program requirements .</w:t>
            </w:r>
          </w:p>
          <w:p w:rsidR="00000000" w:rsidP="006A343D">
            <w:pPr>
              <w:pStyle w:val="List"/>
              <w:rPr>
                <w:lang w:val="en-NZ"/>
              </w:rPr>
            </w:pPr>
            <w:r w:rsidRPr="006A343D">
              <w:t>2.3</w:t>
            </w:r>
            <w:r w:rsidRPr="006A343D">
              <w:tab/>
              <w:t>Community r</w:t>
            </w:r>
            <w:r w:rsidRPr="006A343D">
              <w:t>esearch is conducted and the community(s) is defined in accordance with public sector ethical standards in order to build community trust and confidence.</w:t>
            </w:r>
          </w:p>
        </w:tc>
      </w:tr>
      <w:tr w:rsidTr="00733B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A343D">
            <w:pPr>
              <w:pStyle w:val="List"/>
              <w:rPr>
                <w:lang w:val="en-NZ"/>
              </w:rPr>
            </w:pPr>
            <w:r w:rsidRPr="006A343D">
              <w:rPr>
                <w:rStyle w:val="SpecialBold"/>
              </w:rPr>
              <w:t>3</w:t>
            </w:r>
            <w:r w:rsidRPr="006A343D">
              <w:t xml:space="preserve">.  </w:t>
            </w:r>
            <w:r w:rsidRPr="006A343D">
              <w:tab/>
            </w:r>
            <w:r w:rsidRPr="006A343D">
              <w:rPr>
                <w:rStyle w:val="SpecialBold"/>
              </w:rPr>
              <w:t>Assess community features</w:t>
            </w:r>
            <w:r w:rsidRPr="006A343D">
              <w:t xml:space="preserve"> </w:t>
            </w:r>
          </w:p>
        </w:tc>
        <w:tc>
          <w:tcPr>
            <w:tcW w:w="6662" w:type="dxa"/>
            <w:tcBorders>
              <w:top w:val="nil"/>
              <w:left w:val="nil"/>
              <w:bottom w:val="nil"/>
              <w:right w:val="nil"/>
            </w:tcBorders>
            <w:tcMar>
              <w:top w:w="0" w:type="dxa"/>
              <w:left w:w="62" w:type="dxa"/>
              <w:bottom w:w="0" w:type="dxa"/>
              <w:right w:w="62" w:type="dxa"/>
            </w:tcMar>
          </w:tcPr>
          <w:p w:rsidR="00000000" w:rsidRPr="006A343D" w:rsidP="006A343D">
            <w:pPr>
              <w:pStyle w:val="List"/>
            </w:pPr>
            <w:r w:rsidRPr="006A343D">
              <w:t>3.1</w:t>
            </w:r>
            <w:r w:rsidRPr="006A343D">
              <w:tab/>
              <w:t xml:space="preserve">Community </w:t>
            </w:r>
            <w:r w:rsidRPr="006A343D">
              <w:rPr>
                <w:rStyle w:val="BoldandItalics"/>
              </w:rPr>
              <w:t xml:space="preserve">diversity </w:t>
            </w:r>
            <w:r w:rsidRPr="006A343D">
              <w:t xml:space="preserve">is acknowledged and respected </w:t>
            </w:r>
            <w:r w:rsidRPr="006A343D">
              <w:t>in accordance with public sector diversity guidelines and/or codes of practice.</w:t>
            </w:r>
          </w:p>
          <w:p w:rsidR="00000000" w:rsidRPr="006A343D" w:rsidP="006A343D">
            <w:pPr>
              <w:pStyle w:val="List"/>
            </w:pPr>
            <w:r w:rsidRPr="006A343D">
              <w:t>3.2</w:t>
            </w:r>
            <w:r w:rsidRPr="006A343D">
              <w:tab/>
              <w:t xml:space="preserve">The community's formal and informal leadership structure is identified, and </w:t>
            </w:r>
            <w:r w:rsidRPr="006A343D">
              <w:rPr>
                <w:rStyle w:val="BoldandItalics"/>
              </w:rPr>
              <w:t xml:space="preserve">protocols </w:t>
            </w:r>
            <w:r w:rsidRPr="006A343D">
              <w:t>and cultural practices are acknowledged and adhered to.</w:t>
            </w:r>
          </w:p>
          <w:p w:rsidR="00000000" w:rsidRPr="006A343D" w:rsidP="006A343D">
            <w:pPr>
              <w:pStyle w:val="List"/>
            </w:pPr>
            <w:r w:rsidRPr="006A343D">
              <w:t>3.3</w:t>
            </w:r>
            <w:r w:rsidRPr="006A343D">
              <w:tab/>
              <w:t>Community makeup and struc</w:t>
            </w:r>
            <w:r w:rsidRPr="006A343D">
              <w:t>tures are detailed, and relationships are established through formal and informal community networks in accordance with organisational policy and procedures.</w:t>
            </w:r>
          </w:p>
          <w:p w:rsidR="00000000" w:rsidRPr="006A343D" w:rsidP="006A343D">
            <w:pPr>
              <w:pStyle w:val="List"/>
            </w:pPr>
            <w:r w:rsidRPr="006A343D">
              <w:t>3.4</w:t>
            </w:r>
            <w:r w:rsidRPr="006A343D">
              <w:tab/>
            </w:r>
            <w:r w:rsidRPr="006A343D">
              <w:rPr>
                <w:rStyle w:val="BoldandItalics"/>
              </w:rPr>
              <w:t xml:space="preserve">Barriers </w:t>
            </w:r>
            <w:r w:rsidRPr="006A343D">
              <w:t>to involvement by the community in the engagement process are identified, and strateg</w:t>
            </w:r>
            <w:r w:rsidRPr="006A343D">
              <w:t>ies to address them are developed in accordance with community engagement program requirements.</w:t>
            </w:r>
          </w:p>
          <w:p w:rsidR="00000000" w:rsidP="006A343D">
            <w:pPr>
              <w:pStyle w:val="List"/>
              <w:rPr>
                <w:lang w:val="en-NZ"/>
              </w:rPr>
            </w:pPr>
            <w:r w:rsidRPr="006A343D">
              <w:t>3.5</w:t>
            </w:r>
            <w:r w:rsidRPr="006A343D">
              <w:tab/>
              <w:t>Risks and issues in relation to engaging with the community are identified, and strategies are developed to address them in accordance with program requirem</w:t>
            </w:r>
            <w:r w:rsidRPr="006A343D">
              <w:t>ents.</w:t>
            </w:r>
          </w:p>
        </w:tc>
      </w:tr>
      <w:tr w:rsidTr="00733B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A343D">
            <w:pPr>
              <w:pStyle w:val="List"/>
              <w:rPr>
                <w:lang w:val="en-NZ"/>
              </w:rPr>
            </w:pPr>
            <w:r w:rsidRPr="006A343D">
              <w:rPr>
                <w:rStyle w:val="SpecialBold"/>
              </w:rPr>
              <w:t>4</w:t>
            </w:r>
            <w:r w:rsidRPr="006A343D">
              <w:t xml:space="preserve">.  </w:t>
            </w:r>
            <w:r w:rsidRPr="006A343D">
              <w:tab/>
            </w:r>
            <w:r w:rsidRPr="006A343D">
              <w:rPr>
                <w:rStyle w:val="SpecialBold"/>
              </w:rPr>
              <w:t>Build a community profile</w:t>
            </w:r>
          </w:p>
        </w:tc>
        <w:tc>
          <w:tcPr>
            <w:tcW w:w="6662" w:type="dxa"/>
            <w:tcBorders>
              <w:top w:val="nil"/>
              <w:left w:val="nil"/>
              <w:bottom w:val="nil"/>
              <w:right w:val="nil"/>
            </w:tcBorders>
            <w:tcMar>
              <w:top w:w="0" w:type="dxa"/>
              <w:left w:w="62" w:type="dxa"/>
              <w:bottom w:w="0" w:type="dxa"/>
              <w:right w:w="62" w:type="dxa"/>
            </w:tcMar>
          </w:tcPr>
          <w:p w:rsidR="00000000" w:rsidRPr="006A343D" w:rsidP="006A343D">
            <w:pPr>
              <w:pStyle w:val="List"/>
            </w:pPr>
            <w:r w:rsidRPr="006A343D">
              <w:t>4.1</w:t>
            </w:r>
            <w:r w:rsidRPr="006A343D">
              <w:tab/>
              <w:t>An environmental scan is conducted to examine</w:t>
            </w:r>
            <w:r w:rsidRPr="006A343D">
              <w:rPr>
                <w:rStyle w:val="BoldandItalics"/>
              </w:rPr>
              <w:t xml:space="preserve"> demographic, social or economic indicators </w:t>
            </w:r>
            <w:r w:rsidRPr="006A343D">
              <w:t>or trends that may impact on community engagement, and the results included in the profile.</w:t>
            </w:r>
          </w:p>
          <w:p w:rsidR="00000000" w:rsidRPr="006A343D" w:rsidP="006A343D">
            <w:pPr>
              <w:pStyle w:val="List"/>
            </w:pPr>
            <w:r w:rsidRPr="006A343D">
              <w:t>4.2</w:t>
            </w:r>
            <w:r w:rsidRPr="006A343D">
              <w:tab/>
              <w:t>The composition of the commun</w:t>
            </w:r>
            <w:r w:rsidRPr="006A343D">
              <w:t>ity and its leadership structures are detailed in the profile.</w:t>
            </w:r>
          </w:p>
          <w:p w:rsidR="00000000" w:rsidRPr="006A343D" w:rsidP="006A343D">
            <w:pPr>
              <w:pStyle w:val="List"/>
            </w:pPr>
            <w:r w:rsidRPr="006A343D">
              <w:t>4.3</w:t>
            </w:r>
            <w:r w:rsidRPr="006A343D">
              <w:tab/>
              <w:t>The community's formal and informal networks and its formal and informal cultural practices are identified in the profile.</w:t>
            </w:r>
          </w:p>
          <w:p w:rsidR="00000000" w:rsidRPr="006A343D" w:rsidP="006A343D">
            <w:pPr>
              <w:pStyle w:val="List"/>
            </w:pPr>
            <w:r w:rsidRPr="006A343D">
              <w:t>4.4</w:t>
            </w:r>
            <w:r w:rsidRPr="006A343D">
              <w:tab/>
              <w:t>Barriers to community engagement and risks/issues, including</w:t>
            </w:r>
            <w:r w:rsidRPr="006A343D">
              <w:rPr>
                <w:rStyle w:val="BoldandItalics"/>
              </w:rPr>
              <w:t xml:space="preserve"> p</w:t>
            </w:r>
            <w:r w:rsidRPr="006A343D">
              <w:rPr>
                <w:rStyle w:val="BoldandItalics"/>
              </w:rPr>
              <w:t xml:space="preserve">rior experiences </w:t>
            </w:r>
            <w:r w:rsidRPr="006A343D">
              <w:t>and recommendations for addressing them, are detailed in the profile.</w:t>
            </w:r>
          </w:p>
          <w:p w:rsidR="00000000" w:rsidRPr="006A343D" w:rsidP="006A343D">
            <w:pPr>
              <w:pStyle w:val="List"/>
            </w:pPr>
            <w:r w:rsidRPr="006A343D">
              <w:t>4.5</w:t>
            </w:r>
            <w:r w:rsidRPr="006A343D">
              <w:tab/>
              <w:t>The profile is validated with stakeholders in accordance with organisational policy and procedures.</w:t>
            </w:r>
          </w:p>
        </w:tc>
      </w:tr>
    </w:tbl>
    <w:p w:rsidR="00000000" w:rsidRPr="006A343D" w:rsidP="006A343D">
      <w:pPr>
        <w:pStyle w:val="BodyText"/>
      </w:pPr>
    </w:p>
    <w:p w:rsidR="00000000" w:rsidRPr="006A343D" w:rsidP="006A343D">
      <w:pPr>
        <w:pStyle w:val="AllowPageBreak"/>
      </w:pPr>
    </w:p>
    <w:p w:rsidR="00000000" w:rsidRPr="006A343D" w:rsidP="006A343D">
      <w:pPr>
        <w:pStyle w:val="Heading1"/>
      </w:pPr>
      <w:bookmarkStart w:id="9" w:name="O_494481"/>
      <w:bookmarkEnd w:id="9"/>
      <w:r w:rsidRPr="006A343D">
        <w:t>Required Skills and Knowledge</w:t>
      </w:r>
    </w:p>
    <w:tbl>
      <w:tblPr>
        <w:tblW w:w="9322" w:type="dxa"/>
        <w:tblLayout w:type="fixed"/>
        <w:tblCellMar>
          <w:left w:w="62" w:type="dxa"/>
          <w:right w:w="62" w:type="dxa"/>
        </w:tblCellMar>
        <w:tblLook w:val="0000"/>
      </w:tblPr>
      <w:tblGrid>
        <w:gridCol w:w="9322"/>
      </w:tblGrid>
      <w:tr w:rsidTr="00733B15">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P="006A343D">
            <w:pPr>
              <w:pStyle w:val="BodyText"/>
              <w:rPr>
                <w:lang w:val="en-NZ"/>
              </w:rPr>
            </w:pPr>
            <w:r w:rsidRPr="006A343D">
              <w:t>This section des</w:t>
            </w:r>
            <w:r w:rsidRPr="006A343D">
              <w:t>cribes the essential skills and knowledge and their level, required for this unit.</w:t>
            </w:r>
          </w:p>
        </w:tc>
      </w:tr>
      <w:tr w:rsidTr="00733B15">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RPr="006A343D" w:rsidP="006A343D">
            <w:pPr>
              <w:pStyle w:val="BodyText"/>
            </w:pPr>
            <w:r w:rsidRPr="006A343D">
              <w:rPr>
                <w:rStyle w:val="SpecialBold"/>
              </w:rPr>
              <w:t>Skill requirements</w:t>
            </w:r>
          </w:p>
          <w:p w:rsidR="00000000" w:rsidRPr="006A343D" w:rsidP="006A343D">
            <w:pPr>
              <w:pStyle w:val="BodyText"/>
            </w:pPr>
            <w:r w:rsidRPr="006A343D">
              <w:t>Look for evidence that confirms skills in:</w:t>
            </w:r>
          </w:p>
          <w:p w:rsidR="00000000" w:rsidRPr="006A343D" w:rsidP="006A343D">
            <w:pPr>
              <w:pStyle w:val="ListBullet2"/>
            </w:pPr>
            <w:r w:rsidRPr="006A343D">
              <w:t xml:space="preserve">facilitating, consulting and networking with diverse communities using a range of </w:t>
            </w:r>
            <w:r w:rsidRPr="006A343D">
              <w:t xml:space="preserve">communication styles to suit diverse audiences and purposes </w:t>
            </w:r>
          </w:p>
          <w:p w:rsidR="00000000" w:rsidRPr="006A343D" w:rsidP="006A343D">
            <w:pPr>
              <w:pStyle w:val="ListBullet2"/>
            </w:pPr>
            <w:r w:rsidRPr="006A343D">
              <w:t>explaining complex and formal policies and concepts to a variety of audiences</w:t>
            </w:r>
          </w:p>
          <w:p w:rsidR="00000000" w:rsidRPr="006A343D" w:rsidP="006A343D">
            <w:pPr>
              <w:pStyle w:val="ListBullet2"/>
            </w:pPr>
            <w:r w:rsidRPr="006A343D">
              <w:t>translating community engagement theory into practice</w:t>
            </w:r>
          </w:p>
          <w:p w:rsidR="00000000" w:rsidRPr="006A343D" w:rsidP="006A343D">
            <w:pPr>
              <w:pStyle w:val="ListBullet2"/>
            </w:pPr>
            <w:r w:rsidRPr="006A343D">
              <w:t>responding to diversity, including gender and disability</w:t>
            </w:r>
          </w:p>
          <w:p w:rsidR="00000000" w:rsidRPr="006A343D" w:rsidP="006A343D">
            <w:pPr>
              <w:pStyle w:val="ListBullet2"/>
            </w:pPr>
            <w:r w:rsidRPr="006A343D">
              <w:t>resear</w:t>
            </w:r>
            <w:r w:rsidRPr="006A343D">
              <w:t>ching and analysing community information</w:t>
            </w:r>
          </w:p>
          <w:p w:rsidR="00000000" w:rsidRPr="006A343D" w:rsidP="006A343D">
            <w:pPr>
              <w:pStyle w:val="ListBullet2"/>
            </w:pPr>
            <w:r w:rsidRPr="006A343D">
              <w:t xml:space="preserve">applying lateral thinking to provide solutions and overcome barriers to community engagement </w:t>
            </w:r>
          </w:p>
          <w:p w:rsidR="00000000" w:rsidRPr="006A343D" w:rsidP="006A343D">
            <w:pPr>
              <w:pStyle w:val="ListBullet2"/>
            </w:pPr>
            <w:r w:rsidRPr="006A343D">
              <w:t>applying workplace safety procedures to community consultation</w:t>
            </w:r>
          </w:p>
          <w:p w:rsidR="00000000" w:rsidP="006A343D">
            <w:pPr>
              <w:pStyle w:val="ListBullet2"/>
              <w:rPr>
                <w:lang w:val="en-NZ"/>
              </w:rPr>
            </w:pPr>
            <w:r w:rsidRPr="006A343D">
              <w:t>detailing requirements, writing recommendations and prepa</w:t>
            </w:r>
            <w:r w:rsidRPr="006A343D">
              <w:t>ring community profiles requiring complex language structures and precision of expression</w:t>
            </w:r>
          </w:p>
        </w:tc>
      </w:tr>
      <w:tr w:rsidTr="00733B15">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RPr="006A343D" w:rsidP="006A343D">
            <w:pPr>
              <w:pStyle w:val="BodyText"/>
            </w:pPr>
            <w:r w:rsidRPr="006A343D">
              <w:rPr>
                <w:rStyle w:val="SpecialBold"/>
              </w:rPr>
              <w:t>Knowledge requirements</w:t>
            </w:r>
          </w:p>
          <w:p w:rsidR="00000000" w:rsidRPr="006A343D" w:rsidP="006A343D">
            <w:pPr>
              <w:pStyle w:val="BodyText"/>
            </w:pPr>
            <w:r w:rsidRPr="006A343D">
              <w:t xml:space="preserve"> Look for evidence that confirms knowledge and understanding of:</w:t>
            </w:r>
          </w:p>
          <w:p w:rsidR="00000000" w:rsidRPr="006A343D" w:rsidP="006A343D">
            <w:pPr>
              <w:pStyle w:val="ListBullet2"/>
            </w:pPr>
            <w:r w:rsidRPr="006A343D">
              <w:t>legislation, regulations, policies, procedures and guidelines relating to co</w:t>
            </w:r>
            <w:r w:rsidRPr="006A343D">
              <w:t>mmunity engagement</w:t>
            </w:r>
          </w:p>
          <w:p w:rsidR="00000000" w:rsidRPr="006A343D" w:rsidP="006A343D">
            <w:pPr>
              <w:pStyle w:val="ListBullet2"/>
            </w:pPr>
            <w:r w:rsidRPr="006A343D">
              <w:t xml:space="preserve">community engagement theory, principles, practices and techniques </w:t>
            </w:r>
          </w:p>
          <w:p w:rsidR="00000000" w:rsidRPr="006A343D" w:rsidP="006A343D">
            <w:pPr>
              <w:pStyle w:val="ListBullet2"/>
            </w:pPr>
            <w:r w:rsidRPr="006A343D">
              <w:t xml:space="preserve">principles of leadership in the context of community engagement </w:t>
            </w:r>
          </w:p>
          <w:p w:rsidR="00000000" w:rsidRPr="006A343D" w:rsidP="006A343D">
            <w:pPr>
              <w:pStyle w:val="ListBullet2"/>
            </w:pPr>
            <w:r w:rsidRPr="006A343D">
              <w:t>principles of cultural awareness and cross-cultural communication</w:t>
            </w:r>
          </w:p>
          <w:p w:rsidR="00000000" w:rsidRPr="006A343D" w:rsidP="006A343D">
            <w:pPr>
              <w:pStyle w:val="ListBullet2"/>
            </w:pPr>
            <w:r w:rsidRPr="006A343D">
              <w:t>power relationships</w:t>
            </w:r>
          </w:p>
          <w:p w:rsidR="00000000" w:rsidRPr="006A343D" w:rsidP="006A343D">
            <w:pPr>
              <w:pStyle w:val="ListBullet2"/>
            </w:pPr>
            <w:r w:rsidRPr="006A343D">
              <w:t>community politics, dynamics eg stigma</w:t>
            </w:r>
          </w:p>
          <w:p w:rsidR="00000000" w:rsidRPr="006A343D" w:rsidP="006A343D">
            <w:pPr>
              <w:pStyle w:val="ListBullet2"/>
            </w:pPr>
            <w:r w:rsidRPr="006A343D">
              <w:t>barriers to community engagement</w:t>
            </w:r>
          </w:p>
          <w:p w:rsidR="00000000" w:rsidRPr="006A343D" w:rsidP="006A343D">
            <w:pPr>
              <w:pStyle w:val="ListBullet2"/>
            </w:pPr>
            <w:r w:rsidRPr="006A343D">
              <w:t>public sector values and codes of conduct</w:t>
            </w:r>
          </w:p>
          <w:p w:rsidR="00000000" w:rsidRPr="006A343D" w:rsidP="006A343D">
            <w:pPr>
              <w:pStyle w:val="ListBullet2"/>
            </w:pPr>
            <w:r w:rsidRPr="006A343D">
              <w:t>principles of ethical conduct</w:t>
            </w:r>
          </w:p>
          <w:p w:rsidR="00000000" w:rsidRPr="006A343D" w:rsidP="006A343D">
            <w:pPr>
              <w:pStyle w:val="ListBullet2"/>
            </w:pPr>
            <w:r w:rsidRPr="006A343D">
              <w:t>principles of social justice</w:t>
            </w:r>
          </w:p>
          <w:p w:rsidR="00000000" w:rsidRPr="006A343D" w:rsidP="006A343D">
            <w:pPr>
              <w:pStyle w:val="ListBullet2"/>
            </w:pPr>
            <w:r w:rsidRPr="006A343D">
              <w:t>equal employment opportunity, equity and diversity principles</w:t>
            </w:r>
          </w:p>
          <w:p w:rsidR="00000000" w:rsidRPr="006A343D" w:rsidP="006A343D">
            <w:pPr>
              <w:pStyle w:val="ListBullet2"/>
            </w:pPr>
            <w:r w:rsidRPr="006A343D">
              <w:t>workplace safety proc</w:t>
            </w:r>
            <w:r w:rsidRPr="006A343D">
              <w:t>edures relating to community consultation</w:t>
            </w:r>
          </w:p>
        </w:tc>
      </w:tr>
    </w:tbl>
    <w:p w:rsidR="00000000" w:rsidRPr="006A343D" w:rsidP="006A343D">
      <w:pPr>
        <w:pStyle w:val="BodyText"/>
      </w:pPr>
    </w:p>
    <w:p w:rsidR="00000000" w:rsidRPr="006A343D" w:rsidP="006A343D">
      <w:pPr>
        <w:pStyle w:val="AllowPageBreak"/>
      </w:pPr>
    </w:p>
    <w:p w:rsidR="00000000" w:rsidRPr="006A343D" w:rsidP="006A343D">
      <w:pPr>
        <w:pStyle w:val="Heading1"/>
      </w:pPr>
      <w:bookmarkStart w:id="10" w:name="O_494493"/>
      <w:bookmarkEnd w:id="10"/>
      <w:r w:rsidRPr="006A343D">
        <w:t>Evidence Guide</w:t>
      </w:r>
    </w:p>
    <w:tbl>
      <w:tblPr>
        <w:tblW w:w="0" w:type="auto"/>
        <w:tblLayout w:type="fixed"/>
        <w:tblCellMar>
          <w:left w:w="62" w:type="dxa"/>
          <w:right w:w="62" w:type="dxa"/>
        </w:tblCellMar>
        <w:tblLook w:val="0000"/>
      </w:tblPr>
      <w:tblGrid>
        <w:gridCol w:w="2584"/>
        <w:gridCol w:w="6029"/>
      </w:tblGrid>
      <w:tr w:rsidTr="00733B15">
        <w:tblPrEx>
          <w:tblW w:w="0" w:type="auto"/>
          <w:tblLayout w:type="fixed"/>
          <w:tblCellMar>
            <w:left w:w="62" w:type="dxa"/>
            <w:right w:w="62" w:type="dxa"/>
          </w:tblCellMar>
          <w:tblLook w:val="0000"/>
        </w:tblPrEx>
        <w:tc>
          <w:tcPr>
            <w:tcW w:w="8613" w:type="dxa"/>
            <w:gridSpan w:val="2"/>
            <w:tcBorders>
              <w:top w:val="nil"/>
              <w:left w:val="nil"/>
              <w:bottom w:val="nil"/>
              <w:right w:val="nil"/>
            </w:tcBorders>
            <w:tcMar>
              <w:top w:w="0" w:type="dxa"/>
              <w:left w:w="62" w:type="dxa"/>
              <w:bottom w:w="0" w:type="dxa"/>
              <w:right w:w="62" w:type="dxa"/>
            </w:tcMar>
          </w:tcPr>
          <w:p w:rsidR="00000000" w:rsidP="006A343D">
            <w:pPr>
              <w:pStyle w:val="BodyText"/>
              <w:rPr>
                <w:lang w:val="en-NZ"/>
              </w:rPr>
            </w:pPr>
            <w:r w:rsidRPr="006A343D">
              <w:t xml:space="preserve">The Evidence Guide specifies the evidence required to demonstrate achievement in the unit of competency as a whole. It must be read in </w:t>
            </w:r>
            <w:r w:rsidRPr="006A343D">
              <w:t>conjunction with the Unit descriptor, Performance Criteria, the Range Statement and the Assessment Guidelines for the Public Sector Training Package.</w:t>
            </w:r>
          </w:p>
        </w:tc>
      </w:tr>
      <w:tr w:rsidTr="00733B15">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6A343D">
            <w:pPr>
              <w:pStyle w:val="BodyText"/>
              <w:rPr>
                <w:lang w:val="en-NZ"/>
              </w:rPr>
            </w:pPr>
            <w:r w:rsidRPr="006A343D">
              <w:rPr>
                <w:rStyle w:val="SpecialBold"/>
              </w:rPr>
              <w:t xml:space="preserve">Units to be assessed together </w:t>
            </w:r>
          </w:p>
        </w:tc>
        <w:tc>
          <w:tcPr>
            <w:tcW w:w="6029" w:type="dxa"/>
            <w:tcBorders>
              <w:top w:val="nil"/>
              <w:left w:val="nil"/>
              <w:bottom w:val="nil"/>
              <w:right w:val="nil"/>
            </w:tcBorders>
            <w:tcMar>
              <w:top w:w="0" w:type="dxa"/>
              <w:left w:w="62" w:type="dxa"/>
              <w:bottom w:w="0" w:type="dxa"/>
              <w:right w:w="62" w:type="dxa"/>
            </w:tcMar>
          </w:tcPr>
          <w:p w:rsidR="00000000" w:rsidRPr="006A343D" w:rsidP="006A343D">
            <w:pPr>
              <w:pStyle w:val="ListBullet"/>
            </w:pPr>
            <w:r w:rsidRPr="006A343D">
              <w:t>Pre-requisite units that must be achieved prior to this unit: Nil</w:t>
            </w:r>
          </w:p>
          <w:p w:rsidR="00000000" w:rsidRPr="006A343D" w:rsidP="006A343D">
            <w:pPr>
              <w:pStyle w:val="ListBullet"/>
            </w:pPr>
            <w:r w:rsidRPr="006A343D">
              <w:t>Co</w:t>
            </w:r>
            <w:r w:rsidRPr="006A343D">
              <w:noBreakHyphen/>
              <w:t>req</w:t>
            </w:r>
            <w:r w:rsidRPr="006A343D">
              <w:t>uisite units that must be assessed with this unit: Nil</w:t>
            </w:r>
          </w:p>
          <w:p w:rsidR="00000000" w:rsidRPr="006A343D" w:rsidP="006A343D">
            <w:pPr>
              <w:pStyle w:val="ListBullet"/>
            </w:pPr>
            <w:r w:rsidRPr="006A343D">
              <w:t>Co</w:t>
            </w:r>
            <w:r w:rsidRPr="006A343D">
              <w:noBreakHyphen/>
              <w:t xml:space="preserve">assessed units that may be assessed with this unit to increase the efficiency and realism of the assessment process include, but are not limited to: </w:t>
            </w:r>
          </w:p>
          <w:p w:rsidR="00000000" w:rsidRPr="006A343D" w:rsidP="006A343D">
            <w:pPr>
              <w:pStyle w:val="ListBullet2"/>
            </w:pPr>
            <w:r w:rsidRPr="006A343D">
              <w:t>PSPCOM502A Develop and implement community enga</w:t>
            </w:r>
            <w:r w:rsidRPr="006A343D">
              <w:t>gement strategies</w:t>
            </w:r>
          </w:p>
          <w:p w:rsidR="00000000" w:rsidRPr="006A343D" w:rsidP="006A343D">
            <w:pPr>
              <w:pStyle w:val="ListBullet2"/>
            </w:pPr>
            <w:r w:rsidRPr="006A343D">
              <w:t xml:space="preserve">PSPCOM503A Build and maintain community relationships </w:t>
            </w:r>
          </w:p>
          <w:p w:rsidR="00000000" w:rsidRPr="006A343D" w:rsidP="006A343D">
            <w:pPr>
              <w:pStyle w:val="ListBullet2"/>
            </w:pPr>
            <w:r w:rsidRPr="006A343D">
              <w:t>PSPETHC501B Promote the values and ethos of public service</w:t>
            </w:r>
          </w:p>
          <w:p w:rsidR="00000000" w:rsidRPr="006A343D" w:rsidP="006A343D">
            <w:pPr>
              <w:pStyle w:val="ListBullet2"/>
            </w:pPr>
            <w:r w:rsidRPr="006A343D">
              <w:t>PSPGOV504B Undertake research and analysis</w:t>
            </w:r>
          </w:p>
          <w:p w:rsidR="00000000" w:rsidRPr="006A343D" w:rsidP="006A343D">
            <w:pPr>
              <w:pStyle w:val="ListBullet2"/>
            </w:pPr>
            <w:r w:rsidRPr="006A343D">
              <w:t>PSPGOV507A Undertake negotiations</w:t>
            </w:r>
          </w:p>
          <w:p w:rsidR="00000000" w:rsidRPr="006A343D" w:rsidP="006A343D">
            <w:pPr>
              <w:pStyle w:val="ListBullet2"/>
            </w:pPr>
            <w:r w:rsidRPr="006A343D">
              <w:t>PSPGOV508A Manage conflict</w:t>
            </w:r>
          </w:p>
          <w:p w:rsidR="00000000" w:rsidRPr="006A343D" w:rsidP="006A343D">
            <w:pPr>
              <w:pStyle w:val="ListBullet2"/>
            </w:pPr>
            <w:r w:rsidRPr="006A343D">
              <w:t>PSPGOV511A Provide leadership</w:t>
            </w:r>
          </w:p>
          <w:p w:rsidR="00000000" w:rsidRPr="006A343D" w:rsidP="006A343D">
            <w:pPr>
              <w:pStyle w:val="ListBullet2"/>
            </w:pPr>
            <w:r w:rsidRPr="006A343D">
              <w:t>PSPGOV512A Use complex workplace communication strategies</w:t>
            </w:r>
          </w:p>
          <w:p w:rsidR="00000000" w:rsidRPr="006A343D" w:rsidP="006A343D">
            <w:pPr>
              <w:pStyle w:val="ListBullet2"/>
            </w:pPr>
            <w:r w:rsidRPr="006A343D">
              <w:t>PSPGOV514A Facilitate change</w:t>
            </w:r>
          </w:p>
          <w:p w:rsidR="00000000" w:rsidRPr="006A343D" w:rsidP="006A343D">
            <w:pPr>
              <w:pStyle w:val="ListBullet2"/>
            </w:pPr>
            <w:r w:rsidRPr="006A343D">
              <w:t>PSPLEGN501B Promote compliance with legislation in the public sector</w:t>
            </w:r>
          </w:p>
          <w:p w:rsidR="00000000" w:rsidP="006A343D">
            <w:pPr>
              <w:pStyle w:val="ListBullet2"/>
              <w:rPr>
                <w:lang w:val="en-NZ"/>
              </w:rPr>
            </w:pPr>
            <w:r w:rsidRPr="006A343D">
              <w:t>PSPOHS501A Monitor and maintain workplace safety</w:t>
            </w:r>
          </w:p>
        </w:tc>
      </w:tr>
      <w:tr w:rsidTr="00733B15">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6A343D">
            <w:pPr>
              <w:pStyle w:val="BodyText"/>
              <w:rPr>
                <w:lang w:val="en-NZ"/>
              </w:rPr>
            </w:pPr>
            <w:r w:rsidRPr="006A343D">
              <w:rPr>
                <w:rStyle w:val="SpecialBold"/>
              </w:rPr>
              <w:t>Overview of evidence</w:t>
            </w:r>
            <w:r w:rsidRPr="006A343D">
              <w:rPr>
                <w:rStyle w:val="SpecialBold"/>
              </w:rPr>
              <w:t xml:space="preserve"> requirements</w:t>
            </w:r>
          </w:p>
        </w:tc>
        <w:tc>
          <w:tcPr>
            <w:tcW w:w="6029" w:type="dxa"/>
            <w:tcBorders>
              <w:top w:val="nil"/>
              <w:left w:val="nil"/>
              <w:bottom w:val="nil"/>
              <w:right w:val="nil"/>
            </w:tcBorders>
            <w:tcMar>
              <w:top w:w="0" w:type="dxa"/>
              <w:left w:w="62" w:type="dxa"/>
              <w:bottom w:w="0" w:type="dxa"/>
              <w:right w:w="62" w:type="dxa"/>
            </w:tcMar>
          </w:tcPr>
          <w:p w:rsidR="00000000" w:rsidRPr="006A343D" w:rsidP="006A343D">
            <w:pPr>
              <w:pStyle w:val="BodyText"/>
            </w:pPr>
            <w:r w:rsidRPr="006A343D">
              <w:t>In addition to integrated demonstration of the elements and their related performance criteria, look for evidence that confirms:</w:t>
            </w:r>
          </w:p>
          <w:p w:rsidR="00000000" w:rsidRPr="006A343D" w:rsidP="006A343D">
            <w:pPr>
              <w:pStyle w:val="ListBullet"/>
            </w:pPr>
            <w:r w:rsidRPr="006A343D">
              <w:t xml:space="preserve">the knowledge requirements of this unit </w:t>
            </w:r>
          </w:p>
          <w:p w:rsidR="00000000" w:rsidRPr="006A343D" w:rsidP="006A343D">
            <w:pPr>
              <w:pStyle w:val="ListBullet"/>
            </w:pPr>
            <w:r w:rsidRPr="006A343D">
              <w:t>the skill requirements of this unit</w:t>
            </w:r>
          </w:p>
          <w:p w:rsidR="00000000" w:rsidRPr="006A343D" w:rsidP="006A343D">
            <w:pPr>
              <w:pStyle w:val="ListBullet"/>
            </w:pPr>
            <w:r w:rsidRPr="006A343D">
              <w:t>application of the Employability Skills as they relate to this unit (see Employability Summaries in Qualifications Framework)</w:t>
            </w:r>
          </w:p>
          <w:p w:rsidR="00000000" w:rsidP="006A343D">
            <w:pPr>
              <w:pStyle w:val="ListBullet"/>
              <w:rPr>
                <w:lang w:val="en-NZ"/>
              </w:rPr>
            </w:pPr>
            <w:r w:rsidRPr="006A343D">
              <w:t>preparation for community engagement in a range of (3 or more) contexts (or occasions, over time)</w:t>
            </w:r>
          </w:p>
        </w:tc>
      </w:tr>
      <w:tr w:rsidTr="00733B15">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6A343D">
            <w:pPr>
              <w:pStyle w:val="BodyText"/>
              <w:rPr>
                <w:lang w:val="en-NZ"/>
              </w:rPr>
            </w:pPr>
            <w:r w:rsidRPr="006A343D">
              <w:rPr>
                <w:rStyle w:val="SpecialBold"/>
              </w:rPr>
              <w:t>Resources required to carry out</w:t>
            </w:r>
            <w:r w:rsidRPr="006A343D">
              <w:rPr>
                <w:rStyle w:val="SpecialBold"/>
              </w:rPr>
              <w:t xml:space="preserve"> assessment</w:t>
            </w:r>
          </w:p>
        </w:tc>
        <w:tc>
          <w:tcPr>
            <w:tcW w:w="6029" w:type="dxa"/>
            <w:tcBorders>
              <w:top w:val="nil"/>
              <w:left w:val="nil"/>
              <w:bottom w:val="nil"/>
              <w:right w:val="nil"/>
            </w:tcBorders>
            <w:tcMar>
              <w:top w:w="0" w:type="dxa"/>
              <w:left w:w="62" w:type="dxa"/>
              <w:bottom w:w="0" w:type="dxa"/>
              <w:right w:w="62" w:type="dxa"/>
            </w:tcMar>
          </w:tcPr>
          <w:p w:rsidR="00000000" w:rsidRPr="006A343D" w:rsidP="006A343D">
            <w:pPr>
              <w:pStyle w:val="BodyText"/>
            </w:pPr>
            <w:r w:rsidRPr="006A343D">
              <w:t>These resources include:</w:t>
            </w:r>
          </w:p>
          <w:p w:rsidR="00000000" w:rsidRPr="006A343D" w:rsidP="006A343D">
            <w:pPr>
              <w:pStyle w:val="ListBullet"/>
            </w:pPr>
            <w:r w:rsidRPr="006A343D">
              <w:t>community information, case studies or scenarios, including current journals, international case studies</w:t>
            </w:r>
          </w:p>
          <w:p w:rsidR="00000000" w:rsidRPr="006A343D" w:rsidP="006A343D">
            <w:pPr>
              <w:pStyle w:val="ListBullet"/>
            </w:pPr>
            <w:r w:rsidRPr="006A343D">
              <w:t>community engagement theory, principles, practices and techniques</w:t>
            </w:r>
          </w:p>
          <w:p w:rsidR="00000000" w:rsidRPr="006A343D" w:rsidP="006A343D">
            <w:pPr>
              <w:pStyle w:val="ListBullet"/>
            </w:pPr>
            <w:r w:rsidRPr="006A343D">
              <w:t>procedures and protocols for community engageme</w:t>
            </w:r>
            <w:r w:rsidRPr="006A343D">
              <w:t>nt, including occupational health and safety</w:t>
            </w:r>
          </w:p>
          <w:p w:rsidR="00000000" w:rsidRPr="006A343D" w:rsidP="006A343D">
            <w:pPr>
              <w:pStyle w:val="ListBullet"/>
            </w:pPr>
            <w:r w:rsidRPr="006A343D">
              <w:t>policy and legislation related to community engagement</w:t>
            </w:r>
          </w:p>
          <w:p w:rsidR="00000000" w:rsidP="006A343D">
            <w:pPr>
              <w:pStyle w:val="ListBullet"/>
              <w:rPr>
                <w:lang w:val="en-NZ"/>
              </w:rPr>
            </w:pPr>
            <w:r w:rsidRPr="006A343D">
              <w:t>public sector values and codes of conduct</w:t>
            </w:r>
          </w:p>
        </w:tc>
      </w:tr>
      <w:tr w:rsidTr="00733B15">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6A343D">
            <w:pPr>
              <w:pStyle w:val="BodyText"/>
              <w:rPr>
                <w:lang w:val="en-NZ"/>
              </w:rPr>
            </w:pPr>
            <w:r w:rsidRPr="006A343D">
              <w:rPr>
                <w:rStyle w:val="SpecialBold"/>
              </w:rPr>
              <w:t>Where and how to assess evidence</w:t>
            </w:r>
          </w:p>
        </w:tc>
        <w:tc>
          <w:tcPr>
            <w:tcW w:w="6029" w:type="dxa"/>
            <w:tcBorders>
              <w:top w:val="nil"/>
              <w:left w:val="nil"/>
              <w:bottom w:val="nil"/>
              <w:right w:val="nil"/>
            </w:tcBorders>
            <w:tcMar>
              <w:top w:w="0" w:type="dxa"/>
              <w:left w:w="62" w:type="dxa"/>
              <w:bottom w:w="0" w:type="dxa"/>
              <w:right w:w="62" w:type="dxa"/>
            </w:tcMar>
          </w:tcPr>
          <w:p w:rsidR="00000000" w:rsidRPr="006A343D" w:rsidP="006A343D">
            <w:pPr>
              <w:pStyle w:val="BodyText"/>
            </w:pPr>
            <w:r w:rsidRPr="006A343D">
              <w:t xml:space="preserve">Valid assessment of this unit requires: </w:t>
            </w:r>
          </w:p>
          <w:p w:rsidR="00000000" w:rsidRPr="006A343D" w:rsidP="006A343D">
            <w:pPr>
              <w:pStyle w:val="ListBullet"/>
            </w:pPr>
            <w:r w:rsidRPr="006A343D">
              <w:t>a workplace environment, or one that closely resembles normal work practice and replicates the range of conditions likely to be encountered when preparing for community engagement, including coping with difficulties, irregularities and breakdowns in routin</w:t>
            </w:r>
            <w:r w:rsidRPr="006A343D">
              <w:t>e</w:t>
            </w:r>
          </w:p>
          <w:p w:rsidR="00000000" w:rsidRPr="006A343D" w:rsidP="006A343D">
            <w:pPr>
              <w:pStyle w:val="ListBullet"/>
            </w:pPr>
            <w:r w:rsidRPr="006A343D">
              <w:t>preparation for community engagement in a range of (3 or more) contexts (or occasions, over time)</w:t>
            </w:r>
          </w:p>
          <w:p w:rsidR="00000000" w:rsidRPr="006A343D" w:rsidP="006A343D">
            <w:pPr>
              <w:pStyle w:val="BodyText"/>
            </w:pPr>
            <w:r w:rsidRPr="006A343D">
              <w:t>Assessment methods should reflect workplace demands, such as literacy, and the needs of particular groups, such as:</w:t>
            </w:r>
          </w:p>
          <w:p w:rsidR="00000000" w:rsidRPr="006A343D" w:rsidP="006A343D">
            <w:pPr>
              <w:pStyle w:val="ListBullet"/>
            </w:pPr>
            <w:r w:rsidRPr="006A343D">
              <w:t>people with disabilities</w:t>
            </w:r>
          </w:p>
          <w:p w:rsidR="00000000" w:rsidRPr="006A343D" w:rsidP="006A343D">
            <w:pPr>
              <w:pStyle w:val="ListBullet"/>
            </w:pPr>
            <w:r w:rsidRPr="006A343D">
              <w:t>people from cu</w:t>
            </w:r>
            <w:r w:rsidRPr="006A343D">
              <w:t>lturally and linguistically diverse backgrounds</w:t>
            </w:r>
          </w:p>
          <w:p w:rsidR="00000000" w:rsidRPr="006A343D" w:rsidP="006A343D">
            <w:pPr>
              <w:pStyle w:val="ListBullet"/>
            </w:pPr>
            <w:r w:rsidRPr="006A343D">
              <w:t>Aboriginal and Torres Strait Islander people</w:t>
            </w:r>
          </w:p>
          <w:p w:rsidR="00000000" w:rsidRPr="006A343D" w:rsidP="006A343D">
            <w:pPr>
              <w:pStyle w:val="ListBullet"/>
            </w:pPr>
            <w:r w:rsidRPr="006A343D">
              <w:t>women</w:t>
            </w:r>
          </w:p>
          <w:p w:rsidR="00000000" w:rsidRPr="006A343D" w:rsidP="006A343D">
            <w:pPr>
              <w:pStyle w:val="ListBullet"/>
            </w:pPr>
            <w:r w:rsidRPr="006A343D">
              <w:t>young people</w:t>
            </w:r>
          </w:p>
          <w:p w:rsidR="00000000" w:rsidRPr="006A343D" w:rsidP="006A343D">
            <w:pPr>
              <w:pStyle w:val="ListBullet"/>
            </w:pPr>
            <w:r w:rsidRPr="006A343D">
              <w:t>older people</w:t>
            </w:r>
          </w:p>
          <w:p w:rsidR="00000000" w:rsidRPr="006A343D" w:rsidP="006A343D">
            <w:pPr>
              <w:pStyle w:val="ListBullet"/>
            </w:pPr>
            <w:r w:rsidRPr="006A343D">
              <w:t>people in rural and remote locations</w:t>
            </w:r>
          </w:p>
          <w:p w:rsidR="00000000" w:rsidRPr="006A343D" w:rsidP="006A343D">
            <w:pPr>
              <w:pStyle w:val="BodyText"/>
            </w:pPr>
            <w:r w:rsidRPr="006A343D">
              <w:t xml:space="preserve">Assessment methods suitable for valid and reliable assessment of this competency may include, </w:t>
            </w:r>
            <w:r w:rsidRPr="006A343D">
              <w:t xml:space="preserve">but are not limited to, a combination of 2 or more of: </w:t>
            </w:r>
          </w:p>
          <w:p w:rsidR="00000000" w:rsidRPr="006A343D" w:rsidP="006A343D">
            <w:pPr>
              <w:pStyle w:val="ListBullet"/>
            </w:pPr>
            <w:r w:rsidRPr="006A343D">
              <w:t>case studies</w:t>
            </w:r>
          </w:p>
          <w:p w:rsidR="00000000" w:rsidRPr="006A343D" w:rsidP="006A343D">
            <w:pPr>
              <w:pStyle w:val="ListBullet"/>
            </w:pPr>
            <w:r w:rsidRPr="006A343D">
              <w:t xml:space="preserve">demonstration </w:t>
            </w:r>
          </w:p>
          <w:p w:rsidR="00000000" w:rsidRPr="006A343D" w:rsidP="006A343D">
            <w:pPr>
              <w:pStyle w:val="ListBullet"/>
            </w:pPr>
            <w:r w:rsidRPr="006A343D">
              <w:t xml:space="preserve">portfolios </w:t>
            </w:r>
          </w:p>
          <w:p w:rsidR="00000000" w:rsidRPr="006A343D" w:rsidP="006A343D">
            <w:pPr>
              <w:pStyle w:val="ListBullet"/>
            </w:pPr>
            <w:r w:rsidRPr="006A343D">
              <w:t>projects</w:t>
            </w:r>
          </w:p>
          <w:p w:rsidR="00000000" w:rsidRPr="006A343D" w:rsidP="006A343D">
            <w:pPr>
              <w:pStyle w:val="ListBullet"/>
            </w:pPr>
            <w:r w:rsidRPr="006A343D">
              <w:t>questioning</w:t>
            </w:r>
          </w:p>
          <w:p w:rsidR="00000000" w:rsidRPr="006A343D" w:rsidP="006A343D">
            <w:pPr>
              <w:pStyle w:val="ListBullet"/>
            </w:pPr>
            <w:r w:rsidRPr="006A343D">
              <w:t>scenarios</w:t>
            </w:r>
          </w:p>
          <w:p w:rsidR="00000000" w:rsidP="006A343D">
            <w:pPr>
              <w:pStyle w:val="ListBullet"/>
              <w:rPr>
                <w:lang w:val="en-NZ"/>
              </w:rPr>
            </w:pPr>
            <w:r w:rsidRPr="006A343D">
              <w:t>authenticated evidence from the workplace and/or training courses</w:t>
            </w:r>
            <w:r w:rsidRPr="006A343D">
              <w:br/>
            </w:r>
          </w:p>
        </w:tc>
      </w:tr>
      <w:tr w:rsidTr="00733B15">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6A343D">
            <w:pPr>
              <w:pStyle w:val="BodyText"/>
              <w:rPr>
                <w:lang w:val="en-NZ"/>
              </w:rPr>
            </w:pPr>
            <w:r w:rsidRPr="006A343D">
              <w:rPr>
                <w:rStyle w:val="SpecialBold"/>
              </w:rPr>
              <w:t>For consistency of assessment</w:t>
            </w:r>
          </w:p>
        </w:tc>
        <w:tc>
          <w:tcPr>
            <w:tcW w:w="6029" w:type="dxa"/>
            <w:tcBorders>
              <w:top w:val="nil"/>
              <w:left w:val="nil"/>
              <w:bottom w:val="nil"/>
              <w:right w:val="nil"/>
            </w:tcBorders>
            <w:tcMar>
              <w:top w:w="0" w:type="dxa"/>
              <w:left w:w="62" w:type="dxa"/>
              <w:bottom w:w="0" w:type="dxa"/>
              <w:right w:w="62" w:type="dxa"/>
            </w:tcMar>
          </w:tcPr>
          <w:p w:rsidR="00000000" w:rsidRPr="006A343D" w:rsidP="006A343D">
            <w:pPr>
              <w:pStyle w:val="BodyText"/>
            </w:pPr>
            <w:r w:rsidRPr="006A343D">
              <w:t>Evidence must be gathere</w:t>
            </w:r>
            <w:r w:rsidRPr="006A343D">
              <w:t>d over time in a range of contexts to ensure the person can achieve the unit outcome and apply the competency in different situations or environments</w:t>
            </w:r>
          </w:p>
        </w:tc>
      </w:tr>
    </w:tbl>
    <w:p w:rsidR="00000000" w:rsidRPr="006A343D" w:rsidP="006A343D">
      <w:pPr>
        <w:pStyle w:val="BodyText"/>
      </w:pPr>
    </w:p>
    <w:p w:rsidR="00000000" w:rsidRPr="006A343D" w:rsidP="006A343D">
      <w:pPr>
        <w:pStyle w:val="AllowPageBreak"/>
      </w:pPr>
    </w:p>
    <w:p w:rsidR="00000000" w:rsidRPr="006A343D" w:rsidP="006A343D">
      <w:pPr>
        <w:pStyle w:val="Heading1"/>
      </w:pPr>
      <w:bookmarkStart w:id="11" w:name="O_494483"/>
      <w:bookmarkEnd w:id="11"/>
      <w:r w:rsidRPr="006A343D">
        <w:t>Range Statement</w:t>
      </w:r>
    </w:p>
    <w:tbl>
      <w:tblPr>
        <w:tblW w:w="9322" w:type="dxa"/>
        <w:tblLayout w:type="fixed"/>
        <w:tblCellMar>
          <w:left w:w="62" w:type="dxa"/>
          <w:right w:w="62" w:type="dxa"/>
        </w:tblCellMar>
        <w:tblLook w:val="0000"/>
      </w:tblPr>
      <w:tblGrid>
        <w:gridCol w:w="2660"/>
        <w:gridCol w:w="6662"/>
      </w:tblGrid>
      <w:tr w:rsidTr="00733B15">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43D">
            <w:pPr>
              <w:pStyle w:val="BodyText"/>
              <w:rPr>
                <w:lang w:val="en-NZ"/>
              </w:rPr>
            </w:pPr>
            <w:r w:rsidRPr="006A343D">
              <w:t>The Range Statement provides information about the context in which the unit of competency is carried out. The variables cater for differences between States and Territories and the Commonwealth, and between organisations and workplaces. They allow for dif</w:t>
            </w:r>
            <w:r w:rsidRPr="006A343D">
              <w:t xml:space="preserve">ferent work requirements, work practices and knowledge. The Range Statement also provides a focus for assessment. It relates to the unit as a whole. Text in </w:t>
            </w:r>
            <w:r w:rsidRPr="006A343D">
              <w:rPr>
                <w:rStyle w:val="Emphasis"/>
              </w:rPr>
              <w:t>italics</w:t>
            </w:r>
            <w:r w:rsidRPr="006A343D">
              <w:t xml:space="preserve"> in the Performance Criteria is explained here.</w:t>
            </w:r>
          </w:p>
        </w:tc>
      </w:tr>
      <w:tr w:rsidTr="00733B1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43D">
            <w:pPr>
              <w:pStyle w:val="BodyText"/>
              <w:rPr>
                <w:lang w:val="en-NZ"/>
              </w:rPr>
            </w:pPr>
            <w:r w:rsidRPr="006A343D">
              <w:rPr>
                <w:rStyle w:val="SpecialBold"/>
              </w:rPr>
              <w:t>The community</w:t>
            </w:r>
            <w:r w:rsidRPr="006A343D">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43D" w:rsidP="006A343D">
            <w:pPr>
              <w:pStyle w:val="ListBullet"/>
            </w:pPr>
            <w:r w:rsidRPr="006A343D">
              <w:t>individuals</w:t>
            </w:r>
          </w:p>
          <w:p w:rsidR="00000000" w:rsidRPr="006A343D" w:rsidP="006A343D">
            <w:pPr>
              <w:pStyle w:val="ListBullet"/>
            </w:pPr>
            <w:r w:rsidRPr="006A343D">
              <w:t>communities of place</w:t>
            </w:r>
          </w:p>
          <w:p w:rsidR="00000000" w:rsidRPr="006A343D" w:rsidP="006A343D">
            <w:pPr>
              <w:pStyle w:val="ListBullet"/>
            </w:pPr>
            <w:r w:rsidRPr="006A343D">
              <w:t>communities of geographical interest</w:t>
            </w:r>
          </w:p>
          <w:p w:rsidR="00000000" w:rsidRPr="006A343D" w:rsidP="006A343D">
            <w:pPr>
              <w:pStyle w:val="ListBullet"/>
            </w:pPr>
            <w:r w:rsidRPr="006A343D">
              <w:t>communities of interest/interest groups</w:t>
            </w:r>
          </w:p>
          <w:p w:rsidR="00000000" w:rsidRPr="006A343D" w:rsidP="006A343D">
            <w:pPr>
              <w:pStyle w:val="ListBullet"/>
            </w:pPr>
            <w:r w:rsidRPr="006A343D">
              <w:t>residents' and community groups</w:t>
            </w:r>
          </w:p>
          <w:p w:rsidR="00000000" w:rsidRPr="006A343D" w:rsidP="006A343D">
            <w:pPr>
              <w:pStyle w:val="ListBullet"/>
            </w:pPr>
            <w:r w:rsidRPr="006A343D">
              <w:t>ethnic communities</w:t>
            </w:r>
          </w:p>
          <w:p w:rsidR="00000000" w:rsidRPr="006A343D" w:rsidP="006A343D">
            <w:pPr>
              <w:pStyle w:val="ListBullet"/>
            </w:pPr>
            <w:r w:rsidRPr="006A343D">
              <w:t>non-government organisations</w:t>
            </w:r>
          </w:p>
          <w:p w:rsidR="00000000" w:rsidRPr="006A343D" w:rsidP="006A343D">
            <w:pPr>
              <w:pStyle w:val="ListBullet"/>
            </w:pPr>
            <w:r w:rsidRPr="006A343D">
              <w:t>private sector organisations</w:t>
            </w:r>
          </w:p>
          <w:p w:rsidR="00000000" w:rsidRPr="006A343D" w:rsidP="006A343D">
            <w:pPr>
              <w:pStyle w:val="ListBullet"/>
            </w:pPr>
            <w:r w:rsidRPr="006A343D">
              <w:t>public sector agencies</w:t>
            </w:r>
          </w:p>
          <w:p w:rsidR="00000000" w:rsidRPr="006A343D" w:rsidP="006A343D">
            <w:pPr>
              <w:pStyle w:val="ListBullet"/>
            </w:pPr>
            <w:r w:rsidRPr="006A343D">
              <w:t>other levels of government</w:t>
            </w:r>
          </w:p>
          <w:p w:rsidR="00000000" w:rsidP="006A343D">
            <w:pPr>
              <w:pStyle w:val="ListBullet"/>
              <w:rPr>
                <w:lang w:val="en-NZ"/>
              </w:rPr>
            </w:pPr>
            <w:r w:rsidRPr="006A343D">
              <w:t>media organisations</w:t>
            </w:r>
          </w:p>
        </w:tc>
      </w:tr>
      <w:tr w:rsidTr="00733B1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43D">
            <w:pPr>
              <w:pStyle w:val="BodyText"/>
              <w:rPr>
                <w:lang w:val="en-NZ"/>
              </w:rPr>
            </w:pPr>
            <w:r w:rsidRPr="006A343D">
              <w:rPr>
                <w:rStyle w:val="SpecialBold"/>
              </w:rPr>
              <w:t>Research techniques</w:t>
            </w:r>
            <w:r w:rsidRPr="006A343D">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43D" w:rsidP="006A343D">
            <w:pPr>
              <w:pStyle w:val="ListBullet"/>
            </w:pPr>
            <w:r w:rsidRPr="006A343D">
              <w:t>analysis of demographic, social and economic indicators</w:t>
            </w:r>
          </w:p>
          <w:p w:rsidR="00000000" w:rsidRPr="006A343D" w:rsidP="006A343D">
            <w:pPr>
              <w:pStyle w:val="ListBullet"/>
            </w:pPr>
            <w:r w:rsidRPr="006A343D">
              <w:t>analysis of statistical data</w:t>
            </w:r>
          </w:p>
          <w:p w:rsidR="00000000" w:rsidRPr="006A343D" w:rsidP="006A343D">
            <w:pPr>
              <w:pStyle w:val="ListBullet"/>
            </w:pPr>
            <w:r w:rsidRPr="006A343D">
              <w:t>attitude surveys</w:t>
            </w:r>
          </w:p>
          <w:p w:rsidR="00000000" w:rsidRPr="006A343D" w:rsidP="006A343D">
            <w:pPr>
              <w:pStyle w:val="ListBullet"/>
            </w:pPr>
            <w:r w:rsidRPr="006A343D">
              <w:t>consultation sessions</w:t>
            </w:r>
          </w:p>
          <w:p w:rsidR="00000000" w:rsidRPr="006A343D" w:rsidP="006A343D">
            <w:pPr>
              <w:pStyle w:val="ListBullet"/>
            </w:pPr>
            <w:r w:rsidRPr="006A343D">
              <w:t>environmental scanning</w:t>
            </w:r>
          </w:p>
          <w:p w:rsidR="00000000" w:rsidRPr="006A343D" w:rsidP="006A343D">
            <w:pPr>
              <w:pStyle w:val="ListBullet"/>
            </w:pPr>
            <w:r w:rsidRPr="006A343D">
              <w:t xml:space="preserve">face-to-face interviews </w:t>
            </w:r>
          </w:p>
          <w:p w:rsidR="00000000" w:rsidRPr="006A343D" w:rsidP="006A343D">
            <w:pPr>
              <w:pStyle w:val="ListBullet"/>
            </w:pPr>
            <w:r w:rsidRPr="006A343D">
              <w:t>focus groups</w:t>
            </w:r>
          </w:p>
          <w:p w:rsidR="00000000" w:rsidRPr="006A343D" w:rsidP="006A343D">
            <w:pPr>
              <w:pStyle w:val="ListBullet"/>
            </w:pPr>
            <w:r w:rsidRPr="006A343D">
              <w:t xml:space="preserve">value creation </w:t>
            </w:r>
            <w:r w:rsidRPr="006A343D">
              <w:t>workshops</w:t>
            </w:r>
          </w:p>
          <w:p w:rsidR="00000000" w:rsidRPr="006A343D" w:rsidP="006A343D">
            <w:pPr>
              <w:pStyle w:val="ListBullet"/>
            </w:pPr>
            <w:r w:rsidRPr="006A343D">
              <w:t>observation</w:t>
            </w:r>
          </w:p>
          <w:p w:rsidR="00000000" w:rsidRPr="006A343D" w:rsidP="006A343D">
            <w:pPr>
              <w:pStyle w:val="ListBullet"/>
            </w:pPr>
            <w:r w:rsidRPr="006A343D">
              <w:t>panel research</w:t>
            </w:r>
          </w:p>
          <w:p w:rsidR="00000000" w:rsidRPr="006A343D" w:rsidP="006A343D">
            <w:pPr>
              <w:pStyle w:val="ListBullet"/>
            </w:pPr>
            <w:r w:rsidRPr="006A343D">
              <w:t>questionnaires</w:t>
            </w:r>
          </w:p>
          <w:p w:rsidR="00000000" w:rsidRPr="006A343D" w:rsidP="006A343D">
            <w:pPr>
              <w:pStyle w:val="ListBullet"/>
            </w:pPr>
            <w:r w:rsidRPr="006A343D">
              <w:t>sampling</w:t>
            </w:r>
          </w:p>
          <w:p w:rsidR="00000000" w:rsidRPr="006A343D" w:rsidP="006A343D">
            <w:pPr>
              <w:pStyle w:val="ListBullet"/>
            </w:pPr>
            <w:r w:rsidRPr="006A343D">
              <w:t xml:space="preserve">surveys </w:t>
            </w:r>
          </w:p>
          <w:p w:rsidR="00000000" w:rsidP="006A343D">
            <w:pPr>
              <w:pStyle w:val="ListBullet"/>
              <w:rPr>
                <w:lang w:val="en-NZ"/>
              </w:rPr>
            </w:pPr>
            <w:r w:rsidRPr="006A343D">
              <w:t>telephone interviews</w:t>
            </w:r>
          </w:p>
        </w:tc>
      </w:tr>
      <w:tr w:rsidTr="00733B1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43D">
            <w:pPr>
              <w:pStyle w:val="BodyText"/>
              <w:rPr>
                <w:lang w:val="en-NZ"/>
              </w:rPr>
            </w:pPr>
            <w:r w:rsidRPr="006A343D">
              <w:rPr>
                <w:rStyle w:val="SpecialBold"/>
              </w:rPr>
              <w:t>Community diversity</w:t>
            </w:r>
            <w:r w:rsidRPr="006A343D">
              <w:t xml:space="preserve"> may include differences in: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43D" w:rsidP="006A343D">
            <w:pPr>
              <w:pStyle w:val="ListBullet"/>
            </w:pPr>
            <w:r w:rsidRPr="006A343D">
              <w:t>age</w:t>
            </w:r>
          </w:p>
          <w:p w:rsidR="00000000" w:rsidRPr="006A343D" w:rsidP="006A343D">
            <w:pPr>
              <w:pStyle w:val="ListBullet"/>
            </w:pPr>
            <w:r w:rsidRPr="006A343D">
              <w:t>cultural background</w:t>
            </w:r>
          </w:p>
          <w:p w:rsidR="00000000" w:rsidRPr="006A343D" w:rsidP="006A343D">
            <w:pPr>
              <w:pStyle w:val="ListBullet"/>
            </w:pPr>
            <w:r w:rsidRPr="006A343D">
              <w:t>educational level</w:t>
            </w:r>
          </w:p>
          <w:p w:rsidR="00000000" w:rsidRPr="006A343D" w:rsidP="006A343D">
            <w:pPr>
              <w:pStyle w:val="ListBullet"/>
            </w:pPr>
            <w:r w:rsidRPr="006A343D">
              <w:t>English language proficiency</w:t>
            </w:r>
          </w:p>
          <w:p w:rsidR="00000000" w:rsidRPr="006A343D" w:rsidP="006A343D">
            <w:pPr>
              <w:pStyle w:val="ListBullet"/>
            </w:pPr>
            <w:r w:rsidRPr="006A343D">
              <w:t>ethnicity</w:t>
            </w:r>
          </w:p>
          <w:p w:rsidR="00000000" w:rsidRPr="006A343D" w:rsidP="006A343D">
            <w:pPr>
              <w:pStyle w:val="ListBullet"/>
            </w:pPr>
            <w:r w:rsidRPr="006A343D">
              <w:t>expertise</w:t>
            </w:r>
          </w:p>
          <w:p w:rsidR="00000000" w:rsidRPr="006A343D" w:rsidP="006A343D">
            <w:pPr>
              <w:pStyle w:val="ListBullet"/>
            </w:pPr>
            <w:r w:rsidRPr="006A343D">
              <w:t>family responsibilities</w:t>
            </w:r>
          </w:p>
          <w:p w:rsidR="00000000" w:rsidRPr="006A343D" w:rsidP="006A343D">
            <w:pPr>
              <w:pStyle w:val="ListBullet"/>
            </w:pPr>
            <w:r w:rsidRPr="006A343D">
              <w:t xml:space="preserve">gender </w:t>
            </w:r>
          </w:p>
          <w:p w:rsidR="00000000" w:rsidRPr="006A343D" w:rsidP="006A343D">
            <w:pPr>
              <w:pStyle w:val="ListBullet"/>
            </w:pPr>
            <w:r w:rsidRPr="006A343D">
              <w:t>interests</w:t>
            </w:r>
          </w:p>
          <w:p w:rsidR="00000000" w:rsidRPr="006A343D" w:rsidP="006A343D">
            <w:pPr>
              <w:pStyle w:val="ListBullet"/>
            </w:pPr>
            <w:r w:rsidRPr="006A343D">
              <w:t>interpersonal approach</w:t>
            </w:r>
          </w:p>
          <w:p w:rsidR="00000000" w:rsidRPr="006A343D" w:rsidP="006A343D">
            <w:pPr>
              <w:pStyle w:val="ListBullet"/>
            </w:pPr>
            <w:r w:rsidRPr="006A343D">
              <w:t>language</w:t>
            </w:r>
          </w:p>
          <w:p w:rsidR="00000000" w:rsidRPr="006A343D" w:rsidP="006A343D">
            <w:pPr>
              <w:pStyle w:val="ListBullet"/>
            </w:pPr>
            <w:r w:rsidRPr="006A343D">
              <w:t>length of residence</w:t>
            </w:r>
          </w:p>
          <w:p w:rsidR="00000000" w:rsidRPr="006A343D" w:rsidP="006A343D">
            <w:pPr>
              <w:pStyle w:val="ListBullet"/>
            </w:pPr>
            <w:r w:rsidRPr="006A343D">
              <w:t>life experience</w:t>
            </w:r>
          </w:p>
          <w:p w:rsidR="00000000" w:rsidRPr="006A343D" w:rsidP="006A343D">
            <w:pPr>
              <w:pStyle w:val="ListBullet"/>
            </w:pPr>
            <w:r w:rsidRPr="006A343D">
              <w:t>marital status</w:t>
            </w:r>
          </w:p>
          <w:p w:rsidR="00000000" w:rsidRPr="006A343D" w:rsidP="006A343D">
            <w:pPr>
              <w:pStyle w:val="ListBullet"/>
            </w:pPr>
            <w:r w:rsidRPr="006A343D">
              <w:t>mobility</w:t>
            </w:r>
          </w:p>
          <w:p w:rsidR="00000000" w:rsidRPr="006A343D" w:rsidP="006A343D">
            <w:pPr>
              <w:pStyle w:val="ListBullet"/>
            </w:pPr>
            <w:r w:rsidRPr="006A343D">
              <w:t xml:space="preserve">physical ability </w:t>
            </w:r>
          </w:p>
          <w:p w:rsidR="00000000" w:rsidRPr="006A343D" w:rsidP="006A343D">
            <w:pPr>
              <w:pStyle w:val="ListBullet"/>
            </w:pPr>
            <w:r w:rsidRPr="006A343D">
              <w:t>political orientation</w:t>
            </w:r>
          </w:p>
          <w:p w:rsidR="00000000" w:rsidRPr="006A343D" w:rsidP="006A343D">
            <w:pPr>
              <w:pStyle w:val="ListBullet"/>
            </w:pPr>
            <w:r w:rsidRPr="006A343D">
              <w:t>religious belief</w:t>
            </w:r>
          </w:p>
          <w:p w:rsidR="00000000" w:rsidRPr="006A343D" w:rsidP="006A343D">
            <w:pPr>
              <w:pStyle w:val="ListBullet"/>
            </w:pPr>
            <w:r w:rsidRPr="006A343D">
              <w:t>sexual orientation</w:t>
            </w:r>
          </w:p>
          <w:p w:rsidR="00000000" w:rsidRPr="006A343D" w:rsidP="006A343D">
            <w:pPr>
              <w:pStyle w:val="ListBullet"/>
            </w:pPr>
            <w:r w:rsidRPr="006A343D">
              <w:t>socio-economic background</w:t>
            </w:r>
          </w:p>
          <w:p w:rsidR="00000000" w:rsidRPr="006A343D" w:rsidP="006A343D">
            <w:pPr>
              <w:pStyle w:val="ListBullet"/>
            </w:pPr>
            <w:r w:rsidRPr="006A343D">
              <w:t>thinking/learning styles</w:t>
            </w:r>
          </w:p>
          <w:p w:rsidR="00000000" w:rsidP="006A343D">
            <w:pPr>
              <w:pStyle w:val="ListBullet"/>
              <w:rPr>
                <w:lang w:val="en-NZ"/>
              </w:rPr>
            </w:pPr>
            <w:r w:rsidRPr="006A343D">
              <w:t>work experiences</w:t>
            </w:r>
          </w:p>
        </w:tc>
      </w:tr>
      <w:tr w:rsidTr="00733B1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43D">
            <w:pPr>
              <w:pStyle w:val="BodyText"/>
              <w:rPr>
                <w:lang w:val="en-NZ"/>
              </w:rPr>
            </w:pPr>
            <w:r w:rsidRPr="006A343D">
              <w:rPr>
                <w:rStyle w:val="SpecialBold"/>
              </w:rPr>
              <w:t>Community protocols</w:t>
            </w:r>
            <w:r w:rsidRPr="006A343D">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43D" w:rsidP="006A343D">
            <w:pPr>
              <w:pStyle w:val="ListBullet"/>
            </w:pPr>
            <w:r w:rsidRPr="006A343D">
              <w:t>codes of conduct, both implicit and explicit</w:t>
            </w:r>
          </w:p>
          <w:p w:rsidR="00000000" w:rsidP="006A343D">
            <w:pPr>
              <w:pStyle w:val="ListBullet"/>
              <w:rPr>
                <w:lang w:val="en-NZ"/>
              </w:rPr>
            </w:pPr>
            <w:r w:rsidRPr="006A343D">
              <w:t>community structures, cultural norms and culturally appropriate conduct</w:t>
            </w:r>
          </w:p>
        </w:tc>
      </w:tr>
      <w:tr w:rsidTr="00733B1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43D">
            <w:pPr>
              <w:pStyle w:val="BodyText"/>
              <w:rPr>
                <w:lang w:val="en-NZ"/>
              </w:rPr>
            </w:pPr>
            <w:r w:rsidRPr="006A343D">
              <w:rPr>
                <w:rStyle w:val="SpecialBold"/>
              </w:rPr>
              <w:t>Barriers to community engagement</w:t>
            </w:r>
            <w:r w:rsidRPr="006A343D">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43D" w:rsidP="006A343D">
            <w:pPr>
              <w:pStyle w:val="ListBullet"/>
            </w:pPr>
            <w:r w:rsidRPr="006A343D">
              <w:t>access constraints</w:t>
            </w:r>
          </w:p>
          <w:p w:rsidR="00000000" w:rsidRPr="006A343D" w:rsidP="006A343D">
            <w:pPr>
              <w:pStyle w:val="ListBullet"/>
            </w:pPr>
            <w:r w:rsidRPr="006A343D">
              <w:t>community perception that nothing ever comes from engagement with government - 'talk fest'</w:t>
            </w:r>
          </w:p>
          <w:p w:rsidR="00000000" w:rsidRPr="006A343D" w:rsidP="006A343D">
            <w:pPr>
              <w:pStyle w:val="ListBullet"/>
            </w:pPr>
            <w:r w:rsidRPr="006A343D">
              <w:t>cultural barriers</w:t>
            </w:r>
          </w:p>
          <w:p w:rsidR="00000000" w:rsidRPr="006A343D" w:rsidP="006A343D">
            <w:pPr>
              <w:pStyle w:val="ListBullet"/>
            </w:pPr>
            <w:r w:rsidRPr="006A343D">
              <w:t>diversity variables listed previously</w:t>
            </w:r>
          </w:p>
          <w:p w:rsidR="00000000" w:rsidRPr="006A343D" w:rsidP="006A343D">
            <w:pPr>
              <w:pStyle w:val="ListBullet"/>
            </w:pPr>
            <w:r w:rsidRPr="006A343D">
              <w:t>geographical isolation</w:t>
            </w:r>
          </w:p>
          <w:p w:rsidR="00000000" w:rsidRPr="006A343D" w:rsidP="006A343D">
            <w:pPr>
              <w:pStyle w:val="ListBullet"/>
            </w:pPr>
            <w:r w:rsidRPr="006A343D">
              <w:t>inappropriate timing, venues and strategies</w:t>
            </w:r>
          </w:p>
          <w:p w:rsidR="00000000" w:rsidRPr="006A343D" w:rsidP="006A343D">
            <w:pPr>
              <w:pStyle w:val="ListBullet"/>
            </w:pPr>
            <w:r w:rsidRPr="006A343D">
              <w:t>lack of awareness of the full range of gov</w:t>
            </w:r>
            <w:r w:rsidRPr="006A343D">
              <w:t>ernment services</w:t>
            </w:r>
          </w:p>
          <w:p w:rsidR="00000000" w:rsidRPr="006A343D" w:rsidP="006A343D">
            <w:pPr>
              <w:pStyle w:val="ListBullet"/>
            </w:pPr>
            <w:r w:rsidRPr="006A343D">
              <w:t>lack of clear branding in government communications</w:t>
            </w:r>
          </w:p>
          <w:p w:rsidR="00000000" w:rsidRPr="006A343D" w:rsidP="006A343D">
            <w:pPr>
              <w:pStyle w:val="ListBullet"/>
            </w:pPr>
            <w:r w:rsidRPr="006A343D">
              <w:t>lack of confidence or trust in government</w:t>
            </w:r>
          </w:p>
          <w:p w:rsidR="00000000" w:rsidRPr="006A343D" w:rsidP="006A343D">
            <w:pPr>
              <w:pStyle w:val="ListBullet"/>
            </w:pPr>
            <w:r w:rsidRPr="006A343D">
              <w:t>lack of follow-up within community engagement strategies</w:t>
            </w:r>
          </w:p>
          <w:p w:rsidR="00000000" w:rsidRPr="006A343D" w:rsidP="006A343D">
            <w:pPr>
              <w:pStyle w:val="ListBullet"/>
            </w:pPr>
            <w:r w:rsidRPr="006A343D">
              <w:t>lack of information at the local level through local resources such as community newspap</w:t>
            </w:r>
            <w:r w:rsidRPr="006A343D">
              <w:t>ers</w:t>
            </w:r>
          </w:p>
          <w:p w:rsidR="00000000" w:rsidRPr="006A343D" w:rsidP="006A343D">
            <w:pPr>
              <w:pStyle w:val="ListBullet"/>
            </w:pPr>
            <w:r w:rsidRPr="006A343D">
              <w:t>lack of interest in or commitment to the issues</w:t>
            </w:r>
          </w:p>
          <w:p w:rsidR="00000000" w:rsidRPr="006A343D" w:rsidP="006A343D">
            <w:pPr>
              <w:pStyle w:val="ListBullet"/>
            </w:pPr>
            <w:r w:rsidRPr="006A343D">
              <w:t>lack of knowledge about the structure of government (at all three levels)</w:t>
            </w:r>
          </w:p>
          <w:p w:rsidR="00000000" w:rsidRPr="006A343D" w:rsidP="006A343D">
            <w:pPr>
              <w:pStyle w:val="ListBullet"/>
            </w:pPr>
            <w:r w:rsidRPr="006A343D">
              <w:t>lack of openness/transparency</w:t>
            </w:r>
          </w:p>
          <w:p w:rsidR="00000000" w:rsidRPr="006A343D" w:rsidP="006A343D">
            <w:pPr>
              <w:pStyle w:val="ListBullet"/>
            </w:pPr>
            <w:r w:rsidRPr="006A343D">
              <w:t>lack of understanding about an actual issue - building knowledge and literacy, knowing the scenarios</w:t>
            </w:r>
          </w:p>
          <w:p w:rsidR="00000000" w:rsidRPr="006A343D" w:rsidP="006A343D">
            <w:pPr>
              <w:pStyle w:val="ListBullet"/>
            </w:pPr>
            <w:r w:rsidRPr="006A343D">
              <w:t>lack of understanding or clarity about the engagement process</w:t>
            </w:r>
          </w:p>
          <w:p w:rsidR="00000000" w:rsidRPr="006A343D" w:rsidP="006A343D">
            <w:pPr>
              <w:pStyle w:val="ListBullet"/>
            </w:pPr>
            <w:r w:rsidRPr="006A343D">
              <w:t>language issues</w:t>
            </w:r>
          </w:p>
          <w:p w:rsidR="00000000" w:rsidRPr="006A343D" w:rsidP="006A343D">
            <w:pPr>
              <w:pStyle w:val="ListBullet"/>
            </w:pPr>
            <w:r w:rsidRPr="006A343D">
              <w:t>limited access to effective information in first language</w:t>
            </w:r>
          </w:p>
          <w:p w:rsidR="00000000" w:rsidRPr="006A343D" w:rsidP="006A343D">
            <w:pPr>
              <w:pStyle w:val="ListBullet"/>
            </w:pPr>
            <w:r w:rsidRPr="006A343D">
              <w:t>little access to traditional ethnic media channels such as print and radio or an integrated mix</w:t>
            </w:r>
          </w:p>
          <w:p w:rsidR="00000000" w:rsidRPr="006A343D" w:rsidP="006A343D">
            <w:pPr>
              <w:pStyle w:val="ListBullet"/>
            </w:pPr>
            <w:r w:rsidRPr="006A343D">
              <w:t>mobility issues</w:t>
            </w:r>
          </w:p>
          <w:p w:rsidR="00000000" w:rsidRPr="006A343D" w:rsidP="006A343D">
            <w:pPr>
              <w:pStyle w:val="ListBullet"/>
            </w:pPr>
            <w:r w:rsidRPr="006A343D">
              <w:t>over-re</w:t>
            </w:r>
            <w:r w:rsidRPr="006A343D">
              <w:t>liance on or sole use of electronic media and Internet</w:t>
            </w:r>
          </w:p>
          <w:p w:rsidR="00000000" w:rsidRPr="006A343D" w:rsidP="006A343D">
            <w:pPr>
              <w:pStyle w:val="ListBullet"/>
            </w:pPr>
            <w:r w:rsidRPr="006A343D">
              <w:t>poor integration of government information strategies</w:t>
            </w:r>
          </w:p>
          <w:p w:rsidR="00000000" w:rsidRPr="006A343D" w:rsidP="006A343D">
            <w:pPr>
              <w:pStyle w:val="ListBullet"/>
            </w:pPr>
            <w:r w:rsidRPr="006A343D">
              <w:t>poor monitoring and feedback loops</w:t>
            </w:r>
          </w:p>
          <w:p w:rsidR="00000000" w:rsidRPr="006A343D" w:rsidP="006A343D">
            <w:pPr>
              <w:pStyle w:val="ListBullet"/>
            </w:pPr>
            <w:r w:rsidRPr="006A343D">
              <w:t>poor past experiences with engagement processes</w:t>
            </w:r>
          </w:p>
          <w:p w:rsidR="00000000" w:rsidRPr="006A343D" w:rsidP="006A343D">
            <w:pPr>
              <w:pStyle w:val="ListBullet"/>
            </w:pPr>
            <w:r w:rsidRPr="006A343D">
              <w:t>previous over-consultation</w:t>
            </w:r>
          </w:p>
          <w:p w:rsidR="00000000" w:rsidRPr="006A343D" w:rsidP="006A343D">
            <w:pPr>
              <w:pStyle w:val="ListBullet"/>
            </w:pPr>
            <w:r w:rsidRPr="006A343D">
              <w:t>social capital gate keepers - residen</w:t>
            </w:r>
            <w:r w:rsidRPr="006A343D">
              <w:t>ts who block broad participation</w:t>
            </w:r>
          </w:p>
          <w:p w:rsidR="00000000" w:rsidRPr="006A343D" w:rsidP="006A343D">
            <w:pPr>
              <w:pStyle w:val="ListBullet"/>
            </w:pPr>
            <w:r w:rsidRPr="006A343D">
              <w:t>socio-economic levels</w:t>
            </w:r>
          </w:p>
          <w:p w:rsidR="00000000" w:rsidRPr="006A343D" w:rsidP="006A343D">
            <w:pPr>
              <w:pStyle w:val="ListBullet"/>
            </w:pPr>
            <w:r w:rsidRPr="006A343D">
              <w:t>the difficulty of contacting the right area of government first time (no 'one number for government')</w:t>
            </w:r>
          </w:p>
          <w:p w:rsidR="00000000" w:rsidRPr="006A343D" w:rsidP="006A343D">
            <w:pPr>
              <w:pStyle w:val="ListBullet"/>
            </w:pPr>
            <w:r w:rsidRPr="006A343D">
              <w:t>the terminology and style of copy used in government information</w:t>
            </w:r>
          </w:p>
          <w:p w:rsidR="00000000" w:rsidRPr="006A343D" w:rsidP="006A343D">
            <w:pPr>
              <w:pStyle w:val="ListBullet"/>
            </w:pPr>
            <w:r w:rsidRPr="006A343D">
              <w:t>time constraints</w:t>
            </w:r>
          </w:p>
          <w:p w:rsidR="00000000" w:rsidP="006A343D">
            <w:pPr>
              <w:pStyle w:val="ListBullet"/>
              <w:rPr>
                <w:lang w:val="en-NZ"/>
              </w:rPr>
            </w:pPr>
            <w:r w:rsidRPr="006A343D">
              <w:t>unequal access to</w:t>
            </w:r>
            <w:r w:rsidRPr="006A343D">
              <w:t xml:space="preserve"> information, participation, influence on decision making</w:t>
            </w:r>
          </w:p>
        </w:tc>
      </w:tr>
      <w:tr w:rsidTr="00733B1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43D">
            <w:pPr>
              <w:pStyle w:val="BodyText"/>
              <w:rPr>
                <w:lang w:val="en-NZ"/>
              </w:rPr>
            </w:pPr>
            <w:r w:rsidRPr="006A343D">
              <w:rPr>
                <w:rStyle w:val="SpecialBold"/>
              </w:rPr>
              <w:t>Demographic</w:t>
            </w:r>
            <w:r w:rsidRPr="006A343D">
              <w:t xml:space="preserve">, </w:t>
            </w:r>
            <w:r w:rsidRPr="006A343D">
              <w:rPr>
                <w:rStyle w:val="SpecialBold"/>
              </w:rPr>
              <w:t>social or economic indicators</w:t>
            </w:r>
            <w:r w:rsidRPr="006A343D">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43D" w:rsidP="006A343D">
            <w:pPr>
              <w:pStyle w:val="ListBullet"/>
            </w:pPr>
            <w:r w:rsidRPr="006A343D">
              <w:t>population</w:t>
            </w:r>
          </w:p>
          <w:p w:rsidR="00000000" w:rsidRPr="006A343D" w:rsidP="006A343D">
            <w:pPr>
              <w:pStyle w:val="ListBullet"/>
            </w:pPr>
            <w:r w:rsidRPr="006A343D">
              <w:t>gender</w:t>
            </w:r>
          </w:p>
          <w:p w:rsidR="00000000" w:rsidRPr="006A343D" w:rsidP="006A343D">
            <w:pPr>
              <w:pStyle w:val="ListBullet"/>
            </w:pPr>
            <w:r w:rsidRPr="006A343D">
              <w:t>age</w:t>
            </w:r>
          </w:p>
          <w:p w:rsidR="00000000" w:rsidRPr="006A343D" w:rsidP="006A343D">
            <w:pPr>
              <w:pStyle w:val="ListBullet"/>
            </w:pPr>
            <w:r w:rsidRPr="006A343D">
              <w:t>workforce</w:t>
            </w:r>
          </w:p>
          <w:p w:rsidR="00000000" w:rsidRPr="006A343D" w:rsidP="006A343D">
            <w:pPr>
              <w:pStyle w:val="ListBullet"/>
            </w:pPr>
            <w:r w:rsidRPr="006A343D">
              <w:t>income level</w:t>
            </w:r>
          </w:p>
          <w:p w:rsidR="00000000" w:rsidRPr="006A343D" w:rsidP="006A343D">
            <w:pPr>
              <w:pStyle w:val="ListBullet"/>
            </w:pPr>
            <w:r w:rsidRPr="006A343D">
              <w:t>education</w:t>
            </w:r>
          </w:p>
          <w:p w:rsidR="00000000" w:rsidRPr="006A343D" w:rsidP="006A343D">
            <w:pPr>
              <w:pStyle w:val="ListBullet"/>
            </w:pPr>
            <w:r w:rsidRPr="006A343D">
              <w:t>employment</w:t>
            </w:r>
          </w:p>
          <w:p w:rsidR="00000000" w:rsidRPr="006A343D" w:rsidP="006A343D">
            <w:pPr>
              <w:pStyle w:val="ListBullet"/>
            </w:pPr>
            <w:r w:rsidRPr="006A343D">
              <w:t>ethnicity or cultural backgrounds</w:t>
            </w:r>
          </w:p>
          <w:p w:rsidR="00000000" w:rsidRPr="006A343D" w:rsidP="006A343D">
            <w:pPr>
              <w:pStyle w:val="ListBullet"/>
            </w:pPr>
            <w:r w:rsidRPr="006A343D">
              <w:t>population mobility</w:t>
            </w:r>
          </w:p>
          <w:p w:rsidR="00000000" w:rsidRPr="006A343D" w:rsidP="006A343D">
            <w:pPr>
              <w:pStyle w:val="ListBullet"/>
            </w:pPr>
            <w:r w:rsidRPr="006A343D">
              <w:t>geographical isolation</w:t>
            </w:r>
          </w:p>
          <w:p w:rsidR="00000000" w:rsidP="006A343D">
            <w:pPr>
              <w:pStyle w:val="ListBullet"/>
              <w:rPr>
                <w:lang w:val="en-NZ"/>
              </w:rPr>
            </w:pPr>
            <w:r w:rsidRPr="006A343D">
              <w:t>spatial disadvantage</w:t>
            </w:r>
          </w:p>
        </w:tc>
      </w:tr>
      <w:tr w:rsidTr="00733B1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343D">
            <w:pPr>
              <w:pStyle w:val="BodyText"/>
              <w:rPr>
                <w:lang w:val="en-NZ"/>
              </w:rPr>
            </w:pPr>
            <w:r w:rsidRPr="006A343D">
              <w:rPr>
                <w:rStyle w:val="SpecialBold"/>
              </w:rPr>
              <w:t>Prior community engagement experiences</w:t>
            </w:r>
            <w:r w:rsidRPr="006A343D">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343D" w:rsidP="006A343D">
            <w:pPr>
              <w:pStyle w:val="ListBullet"/>
            </w:pPr>
            <w:r w:rsidRPr="006A343D">
              <w:t>over-consultation by a range of government and private sector representatives</w:t>
            </w:r>
          </w:p>
          <w:p w:rsidR="00000000" w:rsidRPr="006A343D" w:rsidP="006A343D">
            <w:pPr>
              <w:pStyle w:val="ListBullet"/>
            </w:pPr>
            <w:r w:rsidRPr="006A343D">
              <w:t>feelings of not being listened to or respected throughout the process</w:t>
            </w:r>
          </w:p>
          <w:p w:rsidR="00000000" w:rsidRPr="006A343D" w:rsidP="006A343D">
            <w:pPr>
              <w:pStyle w:val="ListBullet"/>
            </w:pPr>
            <w:r w:rsidRPr="006A343D">
              <w:t>not receiving appropriate or timely feedback</w:t>
            </w:r>
          </w:p>
          <w:p w:rsidR="00000000" w:rsidRPr="006A343D" w:rsidP="006A343D">
            <w:pPr>
              <w:pStyle w:val="ListBullet"/>
            </w:pPr>
            <w:r w:rsidRPr="006A343D">
              <w:t>past consultation bias</w:t>
            </w:r>
          </w:p>
          <w:p w:rsidR="00000000" w:rsidRPr="006A343D" w:rsidP="006A343D">
            <w:pPr>
              <w:pStyle w:val="ListBullet"/>
            </w:pPr>
            <w:r w:rsidRPr="006A343D">
              <w:t xml:space="preserve">lack of results/outcomes  </w:t>
            </w:r>
          </w:p>
        </w:tc>
      </w:tr>
    </w:tbl>
    <w:p w:rsidR="00733B15" w:rsidP="006A343D">
      <w:pPr>
        <w:pStyle w:val="BodyText"/>
      </w:pPr>
    </w:p>
    <w:p w:rsidR="00733B15" w:rsidP="006A343D">
      <w:pPr>
        <w:pStyle w:val="BodyText"/>
      </w:pPr>
    </w:p>
    <w:p w:rsidR="00000000" w:rsidRPr="006A343D" w:rsidP="006A343D">
      <w:pPr>
        <w:pStyle w:val="Heading1"/>
      </w:pPr>
      <w:bookmarkStart w:id="12" w:name="O_494484"/>
      <w:bookmarkEnd w:id="12"/>
      <w:r w:rsidRPr="006A343D">
        <w:t>Unit Sector(s)</w:t>
      </w:r>
    </w:p>
    <w:p w:rsidR="00000000" w:rsidRPr="006A343D" w:rsidP="006A343D">
      <w:pPr>
        <w:pStyle w:val="BodyText"/>
      </w:pPr>
      <w:r w:rsidRPr="006A343D">
        <w:t>Not applicable.</w:t>
      </w:r>
    </w:p>
    <w:p w:rsidR="00000000" w:rsidRPr="006A343D" w:rsidP="006A343D">
      <w:pPr>
        <w:pStyle w:val="AllowPageBreak"/>
      </w:pPr>
    </w:p>
    <w:p w:rsidR="00000000" w:rsidRPr="006A343D" w:rsidP="006A343D">
      <w:pPr>
        <w:pStyle w:val="Heading1"/>
      </w:pPr>
      <w:bookmarkStart w:id="13" w:name="O_494490"/>
      <w:bookmarkEnd w:id="13"/>
      <w:r w:rsidRPr="006A343D">
        <w:t>Competency field</w:t>
      </w:r>
    </w:p>
    <w:p w:rsidR="00000000" w:rsidRPr="006A343D" w:rsidP="006A343D">
      <w:pPr>
        <w:pStyle w:val="BodyText"/>
      </w:pPr>
      <w:r w:rsidRPr="006A343D">
        <w:t>Community Engagement.</w:t>
      </w:r>
    </w:p>
    <w:p w:rsidR="00000000" w:rsidRPr="006A343D" w:rsidP="006A343D"/>
    <w:sectPr w:rsidSect="006A34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4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3B15" w:rsidP="00733B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4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B15" w:rsidP="006A343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33B15" w:rsidP="006A34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33B15" w:rsidP="006A34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4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43D" w:rsidRPr="00733B15" w:rsidP="00733B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4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B15" w:rsidRPr="002D2AF8" w:rsidP="006A343D">
    <w:pPr>
      <w:pStyle w:val="Header"/>
      <w:framePr w:wrap="around"/>
    </w:pPr>
    <w:r>
      <w:fldChar w:fldCharType="begin"/>
    </w:r>
    <w:r>
      <w:instrText xml:space="preserve"> TITLE   \* MERGEFORMAT </w:instrText>
    </w:r>
    <w:r>
      <w:fldChar w:fldCharType="separate"/>
    </w:r>
    <w:r>
      <w:t>PSPCOM501A Prepare for community engagement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733B15" w:rsidP="006A34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8CD4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DE15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0E1E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4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343D"/>
    <w:pPr>
      <w:spacing w:before="360" w:after="60"/>
      <w:outlineLvl w:val="0"/>
    </w:pPr>
    <w:rPr>
      <w:sz w:val="32"/>
    </w:rPr>
  </w:style>
  <w:style w:type="paragraph" w:styleId="Heading2">
    <w:name w:val="heading 2"/>
    <w:basedOn w:val="HeadingBase"/>
    <w:next w:val="BodyText"/>
    <w:link w:val="Heading2Char"/>
    <w:qFormat/>
    <w:rsid w:val="006A343D"/>
    <w:pPr>
      <w:keepLines/>
      <w:spacing w:before="240" w:after="120"/>
      <w:outlineLvl w:val="1"/>
    </w:pPr>
    <w:rPr>
      <w:sz w:val="28"/>
      <w:szCs w:val="40"/>
    </w:rPr>
  </w:style>
  <w:style w:type="paragraph" w:styleId="Heading3">
    <w:name w:val="heading 3"/>
    <w:basedOn w:val="HeadingBase"/>
    <w:next w:val="BodyText"/>
    <w:link w:val="Heading3Char"/>
    <w:qFormat/>
    <w:rsid w:val="006A343D"/>
    <w:pPr>
      <w:spacing w:before="180" w:after="120"/>
      <w:outlineLvl w:val="2"/>
    </w:pPr>
    <w:rPr>
      <w:spacing w:val="-10"/>
      <w:kern w:val="32"/>
    </w:rPr>
  </w:style>
  <w:style w:type="paragraph" w:styleId="Heading4">
    <w:name w:val="heading 4"/>
    <w:basedOn w:val="HeadingBase"/>
    <w:next w:val="BodyText"/>
    <w:link w:val="Heading4Char"/>
    <w:qFormat/>
    <w:rsid w:val="006A343D"/>
    <w:pPr>
      <w:spacing w:before="160" w:after="120"/>
      <w:outlineLvl w:val="3"/>
    </w:pPr>
    <w:rPr>
      <w:sz w:val="22"/>
    </w:rPr>
  </w:style>
  <w:style w:type="paragraph" w:styleId="Heading5">
    <w:name w:val="heading 5"/>
    <w:basedOn w:val="HeadingBase"/>
    <w:next w:val="Normal"/>
    <w:link w:val="Heading5Char"/>
    <w:qFormat/>
    <w:rsid w:val="006A343D"/>
    <w:pPr>
      <w:spacing w:before="80"/>
      <w:outlineLvl w:val="4"/>
    </w:pPr>
    <w:rPr>
      <w:color w:val="918585"/>
      <w:sz w:val="20"/>
    </w:rPr>
  </w:style>
  <w:style w:type="paragraph" w:styleId="Heading6">
    <w:name w:val="heading 6"/>
    <w:basedOn w:val="HeadingBase"/>
    <w:next w:val="Normal"/>
    <w:link w:val="Heading6Char"/>
    <w:qFormat/>
    <w:rsid w:val="006A343D"/>
    <w:pPr>
      <w:spacing w:before="60"/>
      <w:outlineLvl w:val="5"/>
    </w:pPr>
    <w:rPr>
      <w:color w:val="918585"/>
      <w:sz w:val="20"/>
    </w:rPr>
  </w:style>
  <w:style w:type="paragraph" w:styleId="Heading7">
    <w:name w:val="heading 7"/>
    <w:basedOn w:val="Normal"/>
    <w:next w:val="Normal"/>
    <w:link w:val="Heading7Char"/>
    <w:qFormat/>
    <w:rsid w:val="006A343D"/>
    <w:pPr>
      <w:ind w:left="720"/>
      <w:outlineLvl w:val="6"/>
    </w:pPr>
    <w:rPr>
      <w:i/>
    </w:rPr>
  </w:style>
  <w:style w:type="paragraph" w:styleId="Heading8">
    <w:name w:val="heading 8"/>
    <w:basedOn w:val="Normal"/>
    <w:next w:val="Normal"/>
    <w:link w:val="Heading8Char"/>
    <w:qFormat/>
    <w:rsid w:val="006A343D"/>
    <w:pPr>
      <w:ind w:left="720"/>
      <w:outlineLvl w:val="7"/>
    </w:pPr>
    <w:rPr>
      <w:i/>
    </w:rPr>
  </w:style>
  <w:style w:type="paragraph" w:styleId="Heading9">
    <w:name w:val="heading 9"/>
    <w:basedOn w:val="Normal"/>
    <w:next w:val="Normal"/>
    <w:link w:val="Heading9Char"/>
    <w:qFormat/>
    <w:rsid w:val="006A343D"/>
    <w:pPr>
      <w:ind w:left="720"/>
      <w:outlineLvl w:val="8"/>
    </w:pPr>
    <w:rPr>
      <w:i/>
    </w:rPr>
  </w:style>
  <w:style w:type="character" w:default="1" w:styleId="DefaultParagraphFont">
    <w:name w:val="Default Paragraph Font"/>
    <w:uiPriority w:val="1"/>
    <w:unhideWhenUsed/>
    <w:rsid w:val="006A34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343D"/>
  </w:style>
  <w:style w:type="character" w:customStyle="1" w:styleId="Heading1Char">
    <w:name w:val="Heading 1 Char"/>
    <w:basedOn w:val="DefaultParagraphFont"/>
    <w:link w:val="Heading1"/>
    <w:rsid w:val="006A343D"/>
    <w:rPr>
      <w:rFonts w:ascii="Times New Roman" w:eastAsia="Times New Roman" w:hAnsi="Times New Roman" w:cs="Times New Roman"/>
      <w:b/>
      <w:sz w:val="32"/>
      <w:szCs w:val="20"/>
      <w:lang w:eastAsia="en-US"/>
    </w:rPr>
  </w:style>
  <w:style w:type="paragraph" w:styleId="BodyText">
    <w:name w:val="Body Text"/>
    <w:basedOn w:val="Normal"/>
    <w:link w:val="BodyTextChar"/>
    <w:rsid w:val="006A34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343D"/>
    <w:rPr>
      <w:rFonts w:ascii="Times New Roman" w:eastAsia="Times New Roman" w:hAnsi="Times New Roman" w:cs="Times New Roman"/>
      <w:sz w:val="24"/>
      <w:lang w:eastAsia="en-US"/>
    </w:rPr>
  </w:style>
  <w:style w:type="paragraph" w:styleId="Footer">
    <w:name w:val="footer"/>
    <w:basedOn w:val="Normal"/>
    <w:link w:val="FooterChar"/>
    <w:rsid w:val="006A34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343D"/>
    <w:rPr>
      <w:rFonts w:ascii="Times New Roman" w:eastAsia="Times New Roman" w:hAnsi="Times New Roman" w:cs="Times New Roman"/>
      <w:sz w:val="16"/>
      <w:lang w:eastAsia="en-US"/>
    </w:rPr>
  </w:style>
  <w:style w:type="paragraph" w:styleId="List">
    <w:name w:val="List"/>
    <w:basedOn w:val="BodyText"/>
    <w:next w:val="BodyText"/>
    <w:rsid w:val="006A343D"/>
    <w:pPr>
      <w:tabs>
        <w:tab w:val="left" w:pos="340"/>
      </w:tabs>
      <w:spacing w:before="60" w:after="60"/>
      <w:ind w:left="340" w:hanging="340"/>
    </w:pPr>
  </w:style>
  <w:style w:type="paragraph" w:styleId="ListBullet">
    <w:name w:val="List Bullet"/>
    <w:basedOn w:val="List"/>
    <w:rsid w:val="006A343D"/>
    <w:pPr>
      <w:numPr>
        <w:numId w:val="13"/>
      </w:numPr>
      <w:tabs>
        <w:tab w:val="clear" w:pos="340"/>
      </w:tabs>
      <w:spacing w:before="40" w:after="40"/>
    </w:pPr>
  </w:style>
  <w:style w:type="character" w:customStyle="1" w:styleId="SpecialBold">
    <w:name w:val="Special Bold"/>
    <w:basedOn w:val="DefaultParagraphFont"/>
    <w:rsid w:val="006A343D"/>
    <w:rPr>
      <w:b/>
      <w:spacing w:val="0"/>
    </w:rPr>
  </w:style>
  <w:style w:type="paragraph" w:styleId="ListBullet2">
    <w:name w:val="List Bullet 2"/>
    <w:basedOn w:val="List2"/>
    <w:rsid w:val="006A343D"/>
    <w:pPr>
      <w:numPr>
        <w:numId w:val="14"/>
      </w:numPr>
      <w:tabs>
        <w:tab w:val="clear" w:pos="680"/>
      </w:tabs>
    </w:pPr>
  </w:style>
  <w:style w:type="character" w:styleId="Emphasis">
    <w:name w:val="Emphasis"/>
    <w:basedOn w:val="DefaultParagraphFont"/>
    <w:qFormat/>
    <w:rsid w:val="006A343D"/>
    <w:rPr>
      <w:i/>
    </w:rPr>
  </w:style>
  <w:style w:type="paragraph" w:customStyle="1" w:styleId="SuperHeading">
    <w:name w:val="SuperHeading"/>
    <w:basedOn w:val="Normal"/>
    <w:rsid w:val="006A343D"/>
    <w:pPr>
      <w:spacing w:before="240" w:after="120"/>
      <w:outlineLvl w:val="0"/>
    </w:pPr>
    <w:rPr>
      <w:rFonts w:ascii="Times New Roman" w:hAnsi="Times New Roman"/>
      <w:b/>
      <w:sz w:val="28"/>
    </w:rPr>
  </w:style>
  <w:style w:type="paragraph" w:customStyle="1" w:styleId="AllowPageBreak">
    <w:name w:val="AllowPageBreak"/>
    <w:rsid w:val="006A34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343D"/>
    <w:rPr>
      <w:b/>
      <w:i/>
      <w:u w:val="none"/>
    </w:rPr>
  </w:style>
  <w:style w:type="character" w:customStyle="1" w:styleId="Heading2Char">
    <w:name w:val="Heading 2 Char"/>
    <w:basedOn w:val="DefaultParagraphFont"/>
    <w:link w:val="Heading2"/>
    <w:rsid w:val="006A34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34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34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34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34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34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34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343D"/>
    <w:rPr>
      <w:rFonts w:ascii="Courier New" w:eastAsia="Times New Roman" w:hAnsi="Courier New" w:cs="Times New Roman"/>
      <w:i/>
      <w:szCs w:val="20"/>
      <w:lang w:eastAsia="en-US"/>
    </w:rPr>
  </w:style>
  <w:style w:type="paragraph" w:customStyle="1" w:styleId="HeadingBase">
    <w:name w:val="Heading Base"/>
    <w:rsid w:val="006A34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343D"/>
    <w:pPr>
      <w:tabs>
        <w:tab w:val="right" w:leader="dot" w:pos="9072"/>
      </w:tabs>
      <w:ind w:left="567"/>
    </w:pPr>
    <w:rPr>
      <w:szCs w:val="22"/>
    </w:rPr>
  </w:style>
  <w:style w:type="paragraph" w:customStyle="1" w:styleId="TOCBase">
    <w:name w:val="TOC Base"/>
    <w:rsid w:val="006A34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343D"/>
    <w:pPr>
      <w:tabs>
        <w:tab w:val="right" w:leader="dot" w:pos="9072"/>
      </w:tabs>
      <w:spacing w:before="40" w:after="40"/>
      <w:ind w:left="284"/>
    </w:pPr>
    <w:rPr>
      <w:rFonts w:ascii="Times New Roman" w:hAnsi="Times New Roman"/>
    </w:rPr>
  </w:style>
  <w:style w:type="paragraph" w:styleId="TOC1">
    <w:name w:val="toc 1"/>
    <w:basedOn w:val="TOCBase"/>
    <w:next w:val="Normal"/>
    <w:rsid w:val="006A34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343D"/>
    <w:pPr>
      <w:spacing w:before="5040"/>
      <w:jc w:val="center"/>
    </w:pPr>
    <w:rPr>
      <w:sz w:val="48"/>
      <w:szCs w:val="72"/>
      <w:lang w:val="en-US"/>
    </w:rPr>
  </w:style>
  <w:style w:type="character" w:customStyle="1" w:styleId="TitleChar">
    <w:name w:val="Title Char"/>
    <w:basedOn w:val="DefaultParagraphFont"/>
    <w:link w:val="Title"/>
    <w:rsid w:val="006A34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343D"/>
    <w:pPr>
      <w:tabs>
        <w:tab w:val="left" w:pos="3600"/>
        <w:tab w:val="left" w:pos="3958"/>
      </w:tabs>
    </w:pPr>
  </w:style>
  <w:style w:type="paragraph" w:customStyle="1" w:styleId="Note">
    <w:name w:val="Note"/>
    <w:basedOn w:val="BodyText"/>
    <w:rsid w:val="006A34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343D"/>
    <w:pPr>
      <w:framePr w:wrap="auto" w:hAnchor="text" w:y="6049"/>
    </w:pPr>
    <w:rPr>
      <w:color w:val="000000"/>
      <w:sz w:val="40"/>
    </w:rPr>
  </w:style>
  <w:style w:type="paragraph" w:customStyle="1" w:styleId="TOCTitle">
    <w:name w:val="TOCTitle"/>
    <w:basedOn w:val="Heading1"/>
    <w:rsid w:val="006A343D"/>
    <w:pPr>
      <w:spacing w:after="240"/>
      <w:jc w:val="center"/>
      <w:outlineLvl w:val="9"/>
    </w:pPr>
    <w:rPr>
      <w:caps/>
    </w:rPr>
  </w:style>
  <w:style w:type="paragraph" w:customStyle="1" w:styleId="Version">
    <w:name w:val="Version"/>
    <w:rsid w:val="006A34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343D"/>
    <w:pPr>
      <w:keepNext w:val="0"/>
      <w:tabs>
        <w:tab w:val="right" w:pos="4176"/>
      </w:tabs>
      <w:ind w:left="198" w:hanging="198"/>
    </w:pPr>
    <w:rPr>
      <w:rFonts w:ascii="Garamond" w:hAnsi="Garamond"/>
    </w:rPr>
  </w:style>
  <w:style w:type="paragraph" w:styleId="IndexHeading">
    <w:name w:val="index heading"/>
    <w:basedOn w:val="Normal"/>
    <w:next w:val="Index1"/>
    <w:semiHidden/>
    <w:rsid w:val="006A343D"/>
    <w:pPr>
      <w:spacing w:before="120" w:after="120"/>
    </w:pPr>
    <w:rPr>
      <w:rFonts w:ascii="Arial" w:hAnsi="Arial"/>
      <w:b/>
      <w:color w:val="918585"/>
      <w:sz w:val="24"/>
    </w:rPr>
  </w:style>
  <w:style w:type="paragraph" w:styleId="Header">
    <w:name w:val="header"/>
    <w:basedOn w:val="Normal"/>
    <w:link w:val="HeaderChar"/>
    <w:rsid w:val="006A34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343D"/>
    <w:rPr>
      <w:rFonts w:ascii="Times New Roman" w:eastAsia="Times New Roman" w:hAnsi="Times New Roman" w:cs="Times New Roman"/>
      <w:sz w:val="16"/>
      <w:szCs w:val="20"/>
      <w:lang w:val="en-GB" w:eastAsia="en-US"/>
    </w:rPr>
  </w:style>
  <w:style w:type="paragraph" w:customStyle="1" w:styleId="Chapter">
    <w:name w:val="Chapter"/>
    <w:basedOn w:val="Normal"/>
    <w:rsid w:val="006A343D"/>
    <w:pPr>
      <w:spacing w:before="240"/>
    </w:pPr>
    <w:rPr>
      <w:rFonts w:ascii="Times New Roman" w:hAnsi="Times New Roman"/>
      <w:smallCaps/>
      <w:spacing w:val="80"/>
      <w:sz w:val="28"/>
    </w:rPr>
  </w:style>
  <w:style w:type="paragraph" w:customStyle="1" w:styleId="InChapter">
    <w:name w:val="InChapter"/>
    <w:basedOn w:val="Heading3"/>
    <w:rsid w:val="006A343D"/>
    <w:pPr>
      <w:spacing w:after="240"/>
      <w:outlineLvl w:val="9"/>
    </w:pPr>
    <w:rPr>
      <w:noProof/>
    </w:rPr>
  </w:style>
  <w:style w:type="paragraph" w:styleId="Index2">
    <w:name w:val="index 2"/>
    <w:basedOn w:val="Normal"/>
    <w:next w:val="Normal"/>
    <w:semiHidden/>
    <w:rsid w:val="006A343D"/>
    <w:pPr>
      <w:tabs>
        <w:tab w:val="right" w:pos="4176"/>
      </w:tabs>
      <w:ind w:left="568" w:hanging="284"/>
    </w:pPr>
    <w:rPr>
      <w:rFonts w:ascii="Garamond" w:hAnsi="Garamond"/>
    </w:rPr>
  </w:style>
  <w:style w:type="paragraph" w:customStyle="1" w:styleId="Byline">
    <w:name w:val="Byline"/>
    <w:rsid w:val="006A34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343D"/>
    <w:pPr>
      <w:tabs>
        <w:tab w:val="clear" w:pos="3600"/>
        <w:tab w:val="clear" w:pos="3958"/>
      </w:tabs>
      <w:jc w:val="right"/>
    </w:pPr>
  </w:style>
  <w:style w:type="paragraph" w:styleId="Caption">
    <w:name w:val="caption"/>
    <w:basedOn w:val="BodyText"/>
    <w:next w:val="Normal"/>
    <w:qFormat/>
    <w:rsid w:val="006A343D"/>
    <w:pPr>
      <w:framePr w:w="2268" w:hSpace="181" w:vSpace="181" w:wrap="around" w:vAnchor="text" w:hAnchor="page" w:x="1135" w:y="285" w:anchorLock="1"/>
    </w:pPr>
    <w:rPr>
      <w:i/>
    </w:rPr>
  </w:style>
  <w:style w:type="paragraph" w:customStyle="1" w:styleId="MiniTOCTitle">
    <w:name w:val="MiniTOCTitle"/>
    <w:basedOn w:val="Heading4"/>
    <w:rsid w:val="006A343D"/>
    <w:pPr>
      <w:spacing w:before="240"/>
      <w:outlineLvl w:val="9"/>
    </w:pPr>
    <w:rPr>
      <w:noProof/>
      <w:sz w:val="24"/>
    </w:rPr>
  </w:style>
  <w:style w:type="paragraph" w:customStyle="1" w:styleId="MiniTOCItem">
    <w:name w:val="MiniTOCItem"/>
    <w:basedOn w:val="ListBullet"/>
    <w:rsid w:val="006A343D"/>
    <w:pPr>
      <w:numPr>
        <w:numId w:val="0"/>
      </w:numPr>
      <w:tabs>
        <w:tab w:val="right" w:leader="dot" w:pos="6521"/>
      </w:tabs>
      <w:spacing w:before="0" w:after="0"/>
    </w:pPr>
  </w:style>
  <w:style w:type="paragraph" w:customStyle="1" w:styleId="TOFTitle">
    <w:name w:val="TOFTitle"/>
    <w:basedOn w:val="TOCTitle"/>
    <w:rsid w:val="006A343D"/>
  </w:style>
  <w:style w:type="paragraph" w:styleId="TableofFigures">
    <w:name w:val="table of figures"/>
    <w:basedOn w:val="Normal"/>
    <w:next w:val="Normal"/>
    <w:semiHidden/>
    <w:rsid w:val="006A343D"/>
    <w:pPr>
      <w:tabs>
        <w:tab w:val="right" w:leader="dot" w:pos="9072"/>
      </w:tabs>
      <w:ind w:left="970" w:hanging="403"/>
    </w:pPr>
    <w:rPr>
      <w:rFonts w:ascii="Times New Roman" w:hAnsi="Times New Roman"/>
      <w:b/>
    </w:rPr>
  </w:style>
  <w:style w:type="paragraph" w:styleId="ListNumber">
    <w:name w:val="List Number"/>
    <w:basedOn w:val="List"/>
    <w:rsid w:val="006A343D"/>
    <w:pPr>
      <w:numPr>
        <w:numId w:val="11"/>
      </w:numPr>
    </w:pPr>
  </w:style>
  <w:style w:type="character" w:customStyle="1" w:styleId="WingdingSymbols">
    <w:name w:val="Wingding Symbols"/>
    <w:rsid w:val="006A343D"/>
    <w:rPr>
      <w:rFonts w:ascii="Wingdings" w:hAnsi="Wingdings"/>
    </w:rPr>
  </w:style>
  <w:style w:type="paragraph" w:customStyle="1" w:styleId="TableHeading">
    <w:name w:val="Table Heading"/>
    <w:basedOn w:val="HeadingBase"/>
    <w:rsid w:val="006A343D"/>
    <w:pPr>
      <w:keepLines/>
      <w:pBdr>
        <w:bottom w:val="single" w:sz="6" w:space="1" w:color="918585"/>
      </w:pBdr>
      <w:spacing w:before="240"/>
    </w:pPr>
  </w:style>
  <w:style w:type="character" w:customStyle="1" w:styleId="HotSpot">
    <w:name w:val="HotSpot"/>
    <w:rsid w:val="006A343D"/>
    <w:rPr>
      <w:color w:val="0033CC"/>
      <w:u w:val="none"/>
    </w:rPr>
  </w:style>
  <w:style w:type="paragraph" w:customStyle="1" w:styleId="BodyTextRight">
    <w:name w:val="Body Text Right"/>
    <w:basedOn w:val="BodyText"/>
    <w:rsid w:val="006A343D"/>
    <w:pPr>
      <w:spacing w:before="0" w:after="0"/>
      <w:jc w:val="right"/>
    </w:pPr>
  </w:style>
  <w:style w:type="paragraph" w:styleId="Index3">
    <w:name w:val="index 3"/>
    <w:basedOn w:val="ListNumber2"/>
    <w:next w:val="Normal"/>
    <w:semiHidden/>
    <w:rsid w:val="006A343D"/>
    <w:pPr>
      <w:numPr>
        <w:numId w:val="0"/>
      </w:numPr>
      <w:tabs>
        <w:tab w:val="right" w:leader="dot" w:pos="4176"/>
      </w:tabs>
    </w:pPr>
  </w:style>
  <w:style w:type="paragraph" w:styleId="ListNumber2">
    <w:name w:val="List Number 2"/>
    <w:basedOn w:val="List2"/>
    <w:rsid w:val="006A343D"/>
    <w:pPr>
      <w:numPr>
        <w:numId w:val="10"/>
      </w:numPr>
      <w:tabs>
        <w:tab w:val="clear" w:pos="1060"/>
      </w:tabs>
    </w:pPr>
  </w:style>
  <w:style w:type="paragraph" w:customStyle="1" w:styleId="MarginNote">
    <w:name w:val="Margin Note"/>
    <w:basedOn w:val="BodyText"/>
    <w:rsid w:val="006A34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34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34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343D"/>
    <w:rPr>
      <w:sz w:val="32"/>
    </w:rPr>
  </w:style>
  <w:style w:type="paragraph" w:customStyle="1" w:styleId="HeadingProcedure">
    <w:name w:val="Heading Procedure"/>
    <w:basedOn w:val="HeadingBase"/>
    <w:next w:val="Normal"/>
    <w:rsid w:val="006A343D"/>
    <w:pPr>
      <w:tabs>
        <w:tab w:val="left" w:pos="0"/>
      </w:tabs>
      <w:spacing w:before="120" w:after="60"/>
    </w:pPr>
    <w:rPr>
      <w:i/>
      <w:color w:val="918585"/>
      <w:sz w:val="22"/>
    </w:rPr>
  </w:style>
  <w:style w:type="paragraph" w:customStyle="1" w:styleId="TableBodyText">
    <w:name w:val="Table Body Text"/>
    <w:basedOn w:val="BodyText"/>
    <w:rsid w:val="006A343D"/>
    <w:pPr>
      <w:spacing w:before="60" w:after="60"/>
    </w:pPr>
  </w:style>
  <w:style w:type="paragraph" w:styleId="ListContinue">
    <w:name w:val="List Continue"/>
    <w:basedOn w:val="List"/>
    <w:rsid w:val="006A343D"/>
    <w:pPr>
      <w:ind w:firstLine="0"/>
    </w:pPr>
  </w:style>
  <w:style w:type="paragraph" w:customStyle="1" w:styleId="ListNote">
    <w:name w:val="List Note"/>
    <w:basedOn w:val="List"/>
    <w:rsid w:val="006A343D"/>
    <w:pPr>
      <w:pBdr>
        <w:top w:val="single" w:sz="6" w:space="2" w:color="918585"/>
        <w:bottom w:val="single" w:sz="6" w:space="2" w:color="918585"/>
      </w:pBdr>
      <w:tabs>
        <w:tab w:val="left" w:pos="1021"/>
      </w:tabs>
      <w:ind w:firstLine="0"/>
    </w:pPr>
  </w:style>
  <w:style w:type="paragraph" w:customStyle="1" w:styleId="Warning">
    <w:name w:val="Warning"/>
    <w:basedOn w:val="BodyText"/>
    <w:rsid w:val="006A343D"/>
    <w:pPr>
      <w:shd w:val="clear" w:color="auto" w:fill="D9D9D9"/>
      <w:tabs>
        <w:tab w:val="left" w:pos="992"/>
      </w:tabs>
      <w:ind w:left="119" w:right="119"/>
    </w:pPr>
    <w:rPr>
      <w:sz w:val="20"/>
    </w:rPr>
  </w:style>
  <w:style w:type="paragraph" w:customStyle="1" w:styleId="MarginIcons">
    <w:name w:val="Margin Icons"/>
    <w:basedOn w:val="BodyText"/>
    <w:rsid w:val="006A34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343D"/>
    <w:rPr>
      <w:rFonts w:ascii="Courier New" w:hAnsi="Courier New"/>
    </w:rPr>
  </w:style>
  <w:style w:type="paragraph" w:customStyle="1" w:styleId="NoteBullet">
    <w:name w:val="Note Bullet"/>
    <w:basedOn w:val="Note"/>
    <w:rsid w:val="006A343D"/>
    <w:pPr>
      <w:tabs>
        <w:tab w:val="clear" w:pos="680"/>
      </w:tabs>
      <w:spacing w:before="60" w:after="60"/>
    </w:pPr>
  </w:style>
  <w:style w:type="paragraph" w:customStyle="1" w:styleId="SubHeading2">
    <w:name w:val="SubHeading2"/>
    <w:basedOn w:val="HeadingBase"/>
    <w:rsid w:val="006A343D"/>
    <w:pPr>
      <w:spacing w:before="240" w:after="60"/>
    </w:pPr>
    <w:rPr>
      <w:sz w:val="20"/>
    </w:rPr>
  </w:style>
  <w:style w:type="paragraph" w:customStyle="1" w:styleId="SubHeading1">
    <w:name w:val="SubHeading1"/>
    <w:basedOn w:val="HeadingBase"/>
    <w:rsid w:val="006A343D"/>
    <w:pPr>
      <w:spacing w:before="240" w:after="60"/>
    </w:pPr>
    <w:rPr>
      <w:color w:val="918585"/>
      <w:sz w:val="22"/>
    </w:rPr>
  </w:style>
  <w:style w:type="paragraph" w:customStyle="1" w:styleId="SideHeading">
    <w:name w:val="Side Heading"/>
    <w:basedOn w:val="HeadingBase"/>
    <w:rsid w:val="006A34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343D"/>
    <w:pPr>
      <w:numPr>
        <w:numId w:val="12"/>
      </w:numPr>
    </w:pPr>
  </w:style>
  <w:style w:type="paragraph" w:styleId="PlainText">
    <w:name w:val="Plain Text"/>
    <w:basedOn w:val="Normal"/>
    <w:link w:val="PlainTextChar"/>
    <w:rsid w:val="006A343D"/>
    <w:rPr>
      <w:sz w:val="20"/>
    </w:rPr>
  </w:style>
  <w:style w:type="character" w:customStyle="1" w:styleId="PlainTextChar">
    <w:name w:val="Plain Text Char"/>
    <w:basedOn w:val="DefaultParagraphFont"/>
    <w:link w:val="PlainText"/>
    <w:rsid w:val="006A343D"/>
    <w:rPr>
      <w:rFonts w:ascii="Courier New" w:eastAsia="Times New Roman" w:hAnsi="Courier New" w:cs="Times New Roman"/>
      <w:sz w:val="20"/>
      <w:szCs w:val="20"/>
      <w:lang w:eastAsia="en-US"/>
    </w:rPr>
  </w:style>
  <w:style w:type="character" w:customStyle="1" w:styleId="MenuOption">
    <w:name w:val="Menu Option"/>
    <w:basedOn w:val="DefaultParagraphFont"/>
    <w:rsid w:val="006A343D"/>
    <w:rPr>
      <w:b/>
      <w:smallCaps/>
    </w:rPr>
  </w:style>
  <w:style w:type="paragraph" w:customStyle="1" w:styleId="TableListNumber">
    <w:name w:val="Table List Number"/>
    <w:basedOn w:val="ListNumber"/>
    <w:rsid w:val="006A343D"/>
    <w:pPr>
      <w:numPr>
        <w:numId w:val="0"/>
      </w:numPr>
    </w:pPr>
  </w:style>
  <w:style w:type="paragraph" w:styleId="TOC4">
    <w:name w:val="toc 4"/>
    <w:basedOn w:val="TOCBase"/>
    <w:next w:val="Normal"/>
    <w:semiHidden/>
    <w:rsid w:val="006A343D"/>
    <w:pPr>
      <w:tabs>
        <w:tab w:val="right" w:leader="dot" w:pos="9071"/>
      </w:tabs>
      <w:ind w:left="1701"/>
    </w:pPr>
  </w:style>
  <w:style w:type="paragraph" w:customStyle="1" w:styleId="ListAlpha">
    <w:name w:val="List Alpha"/>
    <w:basedOn w:val="List"/>
    <w:rsid w:val="006A343D"/>
    <w:pPr>
      <w:numPr>
        <w:numId w:val="9"/>
      </w:numPr>
    </w:pPr>
  </w:style>
  <w:style w:type="paragraph" w:customStyle="1" w:styleId="ListAlpha2">
    <w:name w:val="List Alpha 2"/>
    <w:basedOn w:val="List2"/>
    <w:rsid w:val="006A343D"/>
    <w:pPr>
      <w:numPr>
        <w:numId w:val="8"/>
      </w:numPr>
    </w:pPr>
  </w:style>
  <w:style w:type="paragraph" w:styleId="List2">
    <w:name w:val="List 2"/>
    <w:basedOn w:val="BodyText"/>
    <w:rsid w:val="006A343D"/>
    <w:pPr>
      <w:tabs>
        <w:tab w:val="left" w:pos="680"/>
      </w:tabs>
      <w:spacing w:before="60" w:after="60"/>
      <w:ind w:left="680" w:hanging="340"/>
    </w:pPr>
  </w:style>
  <w:style w:type="paragraph" w:styleId="List3">
    <w:name w:val="List 3"/>
    <w:basedOn w:val="BodyText"/>
    <w:rsid w:val="006A343D"/>
    <w:pPr>
      <w:tabs>
        <w:tab w:val="left" w:pos="1021"/>
      </w:tabs>
      <w:spacing w:before="60" w:after="60"/>
      <w:ind w:left="1020" w:hanging="340"/>
    </w:pPr>
  </w:style>
  <w:style w:type="paragraph" w:styleId="List4">
    <w:name w:val="List 4"/>
    <w:basedOn w:val="BodyText"/>
    <w:rsid w:val="006A343D"/>
    <w:pPr>
      <w:tabs>
        <w:tab w:val="left" w:pos="1361"/>
      </w:tabs>
      <w:spacing w:before="60" w:after="60"/>
      <w:ind w:left="1361" w:hanging="340"/>
    </w:pPr>
  </w:style>
  <w:style w:type="paragraph" w:styleId="List5">
    <w:name w:val="List 5"/>
    <w:basedOn w:val="BodyText"/>
    <w:rsid w:val="006A343D"/>
    <w:pPr>
      <w:tabs>
        <w:tab w:val="left" w:pos="1701"/>
      </w:tabs>
      <w:spacing w:before="60" w:after="60"/>
      <w:ind w:left="1701" w:hanging="340"/>
    </w:pPr>
  </w:style>
  <w:style w:type="paragraph" w:styleId="ListBullet3">
    <w:name w:val="List Bullet 3"/>
    <w:basedOn w:val="List3"/>
    <w:rsid w:val="006A343D"/>
    <w:pPr>
      <w:numPr>
        <w:numId w:val="15"/>
      </w:numPr>
      <w:tabs>
        <w:tab w:val="clear" w:pos="1021"/>
      </w:tabs>
      <w:ind w:left="1037" w:hanging="357"/>
    </w:pPr>
  </w:style>
  <w:style w:type="paragraph" w:styleId="ListBullet4">
    <w:name w:val="List Bullet 4"/>
    <w:basedOn w:val="List4"/>
    <w:rsid w:val="006A343D"/>
    <w:pPr>
      <w:numPr>
        <w:numId w:val="3"/>
      </w:numPr>
    </w:pPr>
  </w:style>
  <w:style w:type="paragraph" w:styleId="ListBullet5">
    <w:name w:val="List Bullet 5"/>
    <w:basedOn w:val="List5"/>
    <w:rsid w:val="006A343D"/>
    <w:pPr>
      <w:numPr>
        <w:numId w:val="4"/>
      </w:numPr>
    </w:pPr>
  </w:style>
  <w:style w:type="paragraph" w:styleId="ListContinue2">
    <w:name w:val="List Continue 2"/>
    <w:basedOn w:val="List2"/>
    <w:rsid w:val="006A343D"/>
    <w:pPr>
      <w:ind w:firstLine="0"/>
    </w:pPr>
  </w:style>
  <w:style w:type="paragraph" w:styleId="ListContinue3">
    <w:name w:val="List Continue 3"/>
    <w:basedOn w:val="List3"/>
    <w:rsid w:val="006A343D"/>
    <w:pPr>
      <w:ind w:left="1021" w:firstLine="0"/>
    </w:pPr>
  </w:style>
  <w:style w:type="paragraph" w:styleId="ListContinue4">
    <w:name w:val="List Continue 4"/>
    <w:basedOn w:val="List4"/>
    <w:rsid w:val="006A343D"/>
    <w:pPr>
      <w:ind w:firstLine="0"/>
    </w:pPr>
  </w:style>
  <w:style w:type="paragraph" w:styleId="ListContinue5">
    <w:name w:val="List Continue 5"/>
    <w:basedOn w:val="List5"/>
    <w:rsid w:val="006A343D"/>
    <w:pPr>
      <w:ind w:firstLine="0"/>
    </w:pPr>
  </w:style>
  <w:style w:type="paragraph" w:styleId="ListNumber3">
    <w:name w:val="List Number 3"/>
    <w:basedOn w:val="List3"/>
    <w:rsid w:val="006A343D"/>
    <w:pPr>
      <w:numPr>
        <w:numId w:val="5"/>
      </w:numPr>
    </w:pPr>
  </w:style>
  <w:style w:type="paragraph" w:styleId="ListNumber4">
    <w:name w:val="List Number 4"/>
    <w:basedOn w:val="List4"/>
    <w:rsid w:val="006A343D"/>
    <w:pPr>
      <w:numPr>
        <w:numId w:val="6"/>
      </w:numPr>
    </w:pPr>
  </w:style>
  <w:style w:type="paragraph" w:styleId="ListNumber5">
    <w:name w:val="List Number 5"/>
    <w:basedOn w:val="List5"/>
    <w:rsid w:val="006A343D"/>
    <w:pPr>
      <w:numPr>
        <w:numId w:val="7"/>
      </w:numPr>
    </w:pPr>
  </w:style>
  <w:style w:type="paragraph" w:styleId="BlockText">
    <w:name w:val="Block Text"/>
    <w:basedOn w:val="Normal"/>
    <w:rsid w:val="006A343D"/>
    <w:pPr>
      <w:spacing w:after="120"/>
      <w:ind w:left="1440" w:right="1440"/>
    </w:pPr>
  </w:style>
  <w:style w:type="character" w:customStyle="1" w:styleId="Subscript">
    <w:name w:val="Subscript"/>
    <w:basedOn w:val="DefaultParagraphFont"/>
    <w:rsid w:val="006A343D"/>
    <w:rPr>
      <w:sz w:val="16"/>
      <w:vertAlign w:val="subscript"/>
    </w:rPr>
  </w:style>
  <w:style w:type="character" w:customStyle="1" w:styleId="Superscript">
    <w:name w:val="Superscript"/>
    <w:basedOn w:val="DefaultParagraphFont"/>
    <w:rsid w:val="006A343D"/>
    <w:rPr>
      <w:sz w:val="16"/>
      <w:vertAlign w:val="superscript"/>
    </w:rPr>
  </w:style>
  <w:style w:type="character" w:customStyle="1" w:styleId="Symbols">
    <w:name w:val="Symbols"/>
    <w:basedOn w:val="DefaultParagraphFont"/>
    <w:rsid w:val="006A343D"/>
    <w:rPr>
      <w:rFonts w:ascii="Symbol" w:hAnsi="Symbol"/>
    </w:rPr>
  </w:style>
  <w:style w:type="character" w:customStyle="1" w:styleId="MenuOptions">
    <w:name w:val="Menu Options"/>
    <w:basedOn w:val="DefaultParagraphFont"/>
    <w:rsid w:val="006A343D"/>
    <w:rPr>
      <w:rFonts w:ascii="Arial Narrow" w:hAnsi="Arial Narrow"/>
      <w:smallCaps/>
    </w:rPr>
  </w:style>
  <w:style w:type="character" w:customStyle="1" w:styleId="Buttons">
    <w:name w:val="Buttons"/>
    <w:basedOn w:val="DefaultParagraphFont"/>
    <w:rsid w:val="006A343D"/>
    <w:rPr>
      <w:b/>
    </w:rPr>
  </w:style>
  <w:style w:type="character" w:customStyle="1" w:styleId="Underlined">
    <w:name w:val="Underlined"/>
    <w:basedOn w:val="DefaultParagraphFont"/>
    <w:rsid w:val="006A343D"/>
    <w:rPr>
      <w:u w:val="single"/>
    </w:rPr>
  </w:style>
  <w:style w:type="paragraph" w:customStyle="1" w:styleId="TableBodyTextRight">
    <w:name w:val="Table Body Text Right"/>
    <w:basedOn w:val="TableBodyText"/>
    <w:rsid w:val="006A343D"/>
    <w:pPr>
      <w:widowControl w:val="0"/>
      <w:autoSpaceDE w:val="0"/>
      <w:autoSpaceDN w:val="0"/>
      <w:adjustRightInd w:val="0"/>
      <w:jc w:val="right"/>
    </w:pPr>
    <w:rPr>
      <w:rFonts w:cs="Arial"/>
      <w:szCs w:val="18"/>
    </w:rPr>
  </w:style>
  <w:style w:type="paragraph" w:customStyle="1" w:styleId="CopyrightText">
    <w:name w:val="Copyright Text"/>
    <w:basedOn w:val="BodyText"/>
    <w:rsid w:val="006A343D"/>
    <w:rPr>
      <w:sz w:val="18"/>
    </w:rPr>
  </w:style>
  <w:style w:type="paragraph" w:customStyle="1" w:styleId="BodySmallRight">
    <w:name w:val="Body Small Right"/>
    <w:basedOn w:val="BodyTextRight"/>
    <w:rsid w:val="006A343D"/>
    <w:rPr>
      <w:sz w:val="18"/>
      <w:szCs w:val="18"/>
    </w:rPr>
  </w:style>
  <w:style w:type="paragraph" w:customStyle="1" w:styleId="MarginEdition">
    <w:name w:val="Margin Edition"/>
    <w:basedOn w:val="MarginNote"/>
    <w:rsid w:val="006A343D"/>
    <w:pPr>
      <w:spacing w:before="0" w:after="0"/>
    </w:pPr>
    <w:rPr>
      <w:rFonts w:ascii="Times New Roman" w:hAnsi="Times New Roman"/>
      <w:color w:val="999999"/>
    </w:rPr>
  </w:style>
  <w:style w:type="paragraph" w:customStyle="1" w:styleId="Spacer">
    <w:name w:val="Spacer"/>
    <w:basedOn w:val="Normal"/>
    <w:rsid w:val="006A343D"/>
    <w:rPr>
      <w:sz w:val="2"/>
      <w:szCs w:val="2"/>
    </w:rPr>
  </w:style>
  <w:style w:type="character" w:customStyle="1" w:styleId="Small">
    <w:name w:val="Small"/>
    <w:basedOn w:val="DefaultParagraphFont"/>
    <w:rsid w:val="006A343D"/>
    <w:rPr>
      <w:sz w:val="16"/>
    </w:rPr>
  </w:style>
  <w:style w:type="paragraph" w:customStyle="1" w:styleId="WideTable">
    <w:name w:val="Wide Table"/>
    <w:basedOn w:val="Normal"/>
    <w:rsid w:val="006A343D"/>
    <w:pPr>
      <w:ind w:left="-1418"/>
    </w:pPr>
    <w:rPr>
      <w:sz w:val="2"/>
      <w:szCs w:val="2"/>
    </w:rPr>
  </w:style>
  <w:style w:type="character" w:styleId="PageNumber">
    <w:name w:val="page number"/>
    <w:basedOn w:val="DefaultParagraphFont"/>
    <w:rsid w:val="006A343D"/>
  </w:style>
  <w:style w:type="paragraph" w:styleId="Quote">
    <w:name w:val="Quote"/>
    <w:basedOn w:val="Heading1"/>
    <w:link w:val="QuoteChar"/>
    <w:qFormat/>
    <w:rsid w:val="006A343D"/>
    <w:rPr>
      <w:b w:val="0"/>
      <w:sz w:val="72"/>
      <w:szCs w:val="72"/>
      <w:lang w:val="en-NZ"/>
    </w:rPr>
  </w:style>
  <w:style w:type="character" w:customStyle="1" w:styleId="QuoteChar">
    <w:name w:val="Quote Char"/>
    <w:basedOn w:val="DefaultParagraphFont"/>
    <w:link w:val="Quote"/>
    <w:rsid w:val="006A34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343D"/>
    <w:pPr>
      <w:pageBreakBefore/>
    </w:pPr>
  </w:style>
  <w:style w:type="paragraph" w:customStyle="1" w:styleId="Border">
    <w:name w:val="Border"/>
    <w:basedOn w:val="Normal"/>
    <w:qFormat/>
    <w:rsid w:val="006A34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343D"/>
    <w:rPr>
      <w:b/>
      <w:bCs/>
      <w:i/>
      <w:iCs/>
      <w:color w:val="auto"/>
    </w:rPr>
  </w:style>
  <w:style w:type="paragraph" w:styleId="IntenseQuote">
    <w:name w:val="Intense Quote"/>
    <w:basedOn w:val="Normal"/>
    <w:next w:val="Normal"/>
    <w:link w:val="IntenseQuoteChar"/>
    <w:uiPriority w:val="30"/>
    <w:qFormat/>
    <w:rsid w:val="006A34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34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343D"/>
    <w:rPr>
      <w:smallCaps/>
      <w:color w:val="auto"/>
      <w:u w:val="single"/>
    </w:rPr>
  </w:style>
  <w:style w:type="character" w:styleId="IntenseReference">
    <w:name w:val="Intense Reference"/>
    <w:basedOn w:val="DefaultParagraphFont"/>
    <w:uiPriority w:val="32"/>
    <w:qFormat/>
    <w:rsid w:val="006A343D"/>
    <w:rPr>
      <w:b/>
      <w:bCs/>
      <w:smallCaps/>
      <w:color w:val="auto"/>
      <w:spacing w:val="5"/>
      <w:u w:val="single"/>
    </w:rPr>
  </w:style>
  <w:style w:type="paragraph" w:customStyle="1" w:styleId="2ColumnHeading">
    <w:name w:val="2Column Heading"/>
    <w:basedOn w:val="BodyText"/>
    <w:qFormat/>
    <w:rsid w:val="006A343D"/>
    <w:pPr>
      <w:spacing w:after="60"/>
      <w:ind w:left="-2268"/>
    </w:pPr>
    <w:rPr>
      <w:b/>
    </w:rPr>
  </w:style>
  <w:style w:type="paragraph" w:customStyle="1" w:styleId="Heading1TOC">
    <w:name w:val="Heading1 TOC"/>
    <w:basedOn w:val="Normal"/>
    <w:qFormat/>
    <w:rsid w:val="006A343D"/>
    <w:pPr>
      <w:spacing w:before="240" w:after="120"/>
    </w:pPr>
    <w:rPr>
      <w:rFonts w:ascii="Times New Roman" w:hAnsi="Times New Roman"/>
      <w:b/>
      <w:sz w:val="32"/>
    </w:rPr>
  </w:style>
  <w:style w:type="paragraph" w:customStyle="1" w:styleId="Heading2TOC">
    <w:name w:val="Heading2 TOC"/>
    <w:basedOn w:val="Normal"/>
    <w:qFormat/>
    <w:rsid w:val="006A343D"/>
    <w:pPr>
      <w:spacing w:before="240" w:after="60"/>
    </w:pPr>
    <w:rPr>
      <w:rFonts w:ascii="Times New Roman" w:hAnsi="Times New Roman"/>
      <w:b/>
      <w:sz w:val="28"/>
    </w:rPr>
  </w:style>
  <w:style w:type="character" w:customStyle="1" w:styleId="Underline">
    <w:name w:val="Underline"/>
    <w:basedOn w:val="DefaultParagraphFont"/>
    <w:qFormat/>
    <w:rsid w:val="006A343D"/>
    <w:rPr>
      <w:u w:val="single"/>
    </w:rPr>
  </w:style>
  <w:style w:type="paragraph" w:styleId="BalloonText">
    <w:name w:val="Balloon Text"/>
    <w:basedOn w:val="Normal"/>
    <w:link w:val="BalloonTextChar"/>
    <w:rsid w:val="006A343D"/>
    <w:rPr>
      <w:rFonts w:ascii="Tahoma" w:hAnsi="Tahoma" w:cs="Tahoma"/>
      <w:sz w:val="16"/>
      <w:szCs w:val="16"/>
    </w:rPr>
  </w:style>
  <w:style w:type="character" w:customStyle="1" w:styleId="BalloonTextChar">
    <w:name w:val="Balloon Text Char"/>
    <w:basedOn w:val="DefaultParagraphFont"/>
    <w:link w:val="BalloonText"/>
    <w:rsid w:val="006A34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34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34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343D"/>
    <w:rPr>
      <w:b/>
      <w:color w:val="660033"/>
      <w:spacing w:val="0"/>
    </w:rPr>
  </w:style>
  <w:style w:type="paragraph" w:customStyle="1" w:styleId="Nameditemlist">
    <w:name w:val="Named item list"/>
    <w:basedOn w:val="BodyText"/>
    <w:qFormat/>
    <w:rsid w:val="006A34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1748</Words>
  <Characters>11436</Characters>
  <Application>Microsoft Office Word</Application>
  <DocSecurity>0</DocSecurity>
  <Lines>384</Lines>
  <Paragraphs>243</Paragraphs>
  <ScaleCrop>false</ScaleCrop>
  <Company>Author-it Software Corporation Ltd.</Company>
  <LinksUpToDate>false</LinksUpToDate>
  <CharactersWithSpaces>13128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PSPCOM501A Prepare for community engagement</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2012-11-01T17:19:00Z</dcterms:created>
  <dcterms:modified xsi:type="dcterms:W3CDTF">2012-11-01T17:19:00Z</dcterms:modified>
</cp:coreProperties>
</file>