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905" w:rsidP="000F6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PSPWPI015 Advise on work health and safety (WHS) legislative frameworks</w:t>
      </w:r>
      <w:r>
        <w:fldChar w:fldCharType="end"/>
      </w:r>
    </w:p>
    <w:p w:rsidR="000F6905" w:rsidP="000F6905">
      <w:pPr>
        <w:pStyle w:val="Version"/>
        <w:sectPr w:rsidSect="00C95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4B3" w:rsidP="00C954B3">
      <w:pPr>
        <w:pStyle w:val="SuperHeading"/>
      </w:pPr>
      <w:r w:rsidRPr="00C954B3">
        <w:t>Assessment Requirements for PSPWPI015 Advise on work health and safety (WHS) legislative frameworks</w:t>
      </w:r>
    </w:p>
    <w:p w:rsidR="00000000" w:rsidRPr="00C954B3" w:rsidP="00C954B3">
      <w:pPr>
        <w:pStyle w:val="Heading1"/>
      </w:pPr>
      <w:bookmarkStart w:id="1" w:name="O_1218803"/>
      <w:bookmarkEnd w:id="1"/>
      <w:r w:rsidRPr="00C954B3">
        <w:t>Modification History</w:t>
      </w:r>
    </w:p>
    <w:p w:rsidR="00000000" w:rsidRPr="00C954B3" w:rsidP="000F6905">
      <w:pPr>
        <w:pStyle w:val="BodyText"/>
      </w:pPr>
      <w:r w:rsidRPr="00C954B3">
        <w:t>No equivalent unit.</w:t>
      </w:r>
    </w:p>
    <w:p w:rsidR="00000000" w:rsidRPr="00C954B3" w:rsidP="00C954B3">
      <w:pPr>
        <w:pStyle w:val="Heading1"/>
      </w:pPr>
      <w:bookmarkStart w:id="2" w:name="O_1218804"/>
      <w:bookmarkEnd w:id="2"/>
      <w:r w:rsidRPr="00C954B3">
        <w:t>Performance Evidence</w:t>
      </w:r>
    </w:p>
    <w:p w:rsidR="00000000" w:rsidRPr="00C954B3" w:rsidP="000F6905">
      <w:pPr>
        <w:pStyle w:val="BodyText"/>
      </w:pPr>
      <w:r w:rsidRPr="00C954B3">
        <w:t>Evidence of the ability to complete tasks outlined in elements and performance criteria of this unit in the context of the job role, and on at least one occasion:</w:t>
      </w:r>
    </w:p>
    <w:p w:rsidR="00000000" w:rsidRPr="00C954B3" w:rsidP="00C954B3">
      <w:pPr>
        <w:pStyle w:val="ListBullet"/>
      </w:pPr>
      <w:r w:rsidRPr="00C954B3">
        <w:t xml:space="preserve">provide advice to an: </w:t>
      </w:r>
    </w:p>
    <w:p w:rsidR="00000000" w:rsidRPr="00C954B3" w:rsidP="00C954B3">
      <w:pPr>
        <w:pStyle w:val="ListBullet2"/>
      </w:pPr>
      <w:r w:rsidRPr="00C954B3">
        <w:t>internal stakeholder</w:t>
      </w:r>
    </w:p>
    <w:p w:rsidR="00000000" w:rsidRPr="00C954B3" w:rsidP="00C954B3">
      <w:pPr>
        <w:pStyle w:val="ListBullet2"/>
      </w:pPr>
      <w:r w:rsidRPr="00C954B3">
        <w:t>external workplace</w:t>
      </w:r>
    </w:p>
    <w:p w:rsidR="00000000" w:rsidRPr="00C954B3" w:rsidP="00C954B3">
      <w:pPr>
        <w:pStyle w:val="ListBullet"/>
      </w:pPr>
      <w:r w:rsidRPr="00C954B3">
        <w:t>refer an issue for legal ad</w:t>
      </w:r>
      <w:r w:rsidRPr="00C954B3">
        <w:t>vice and identify how that advice was used</w:t>
      </w:r>
    </w:p>
    <w:p w:rsidR="00000000" w:rsidRPr="00C954B3" w:rsidP="00C954B3">
      <w:pPr>
        <w:pStyle w:val="ListBullet"/>
      </w:pPr>
      <w:r w:rsidRPr="00C954B3">
        <w:t>provide a workplace inspection report.</w:t>
      </w:r>
    </w:p>
    <w:p w:rsidR="00000000" w:rsidRPr="00C954B3" w:rsidP="00C954B3">
      <w:pPr>
        <w:pStyle w:val="AllowPageBreak"/>
      </w:pPr>
    </w:p>
    <w:p w:rsidR="00000000" w:rsidRPr="00C954B3" w:rsidP="00C954B3">
      <w:pPr>
        <w:pStyle w:val="Heading1"/>
      </w:pPr>
      <w:bookmarkStart w:id="3" w:name="O_1218805"/>
      <w:bookmarkEnd w:id="3"/>
      <w:r w:rsidRPr="00C954B3">
        <w:t>Knowledge Evidence</w:t>
      </w:r>
    </w:p>
    <w:p w:rsidR="00000000" w:rsidRPr="00C954B3" w:rsidP="000F6905">
      <w:pPr>
        <w:pStyle w:val="BodyText"/>
      </w:pPr>
      <w:r w:rsidRPr="00C954B3">
        <w:t>Demonstrated knowledge required to complete the tasks outlined in elements and performance criteria of this unit:</w:t>
      </w:r>
    </w:p>
    <w:p w:rsidR="00000000" w:rsidRPr="00C954B3" w:rsidP="00C954B3">
      <w:pPr>
        <w:pStyle w:val="ListBullet"/>
      </w:pPr>
      <w:r w:rsidRPr="00C954B3">
        <w:t>sources of information about WHS and related legislation</w:t>
      </w:r>
    </w:p>
    <w:p w:rsidR="00000000" w:rsidRPr="00C954B3" w:rsidP="00C954B3">
      <w:pPr>
        <w:pStyle w:val="ListBullet"/>
      </w:pPr>
      <w:r w:rsidRPr="00C954B3">
        <w:t>objectives and principles underpinning WHS and related legislation</w:t>
      </w:r>
    </w:p>
    <w:p w:rsidR="00000000" w:rsidRPr="00C954B3" w:rsidP="00C954B3">
      <w:pPr>
        <w:pStyle w:val="ListBullet"/>
      </w:pPr>
      <w:r w:rsidRPr="00C954B3">
        <w:t xml:space="preserve">relevant sections of Commonwealth and State or Territory WHS Acts, regulations, codes of practice, standards, guidance material and </w:t>
      </w:r>
      <w:r w:rsidRPr="00C954B3">
        <w:t>other instruments including:</w:t>
      </w:r>
    </w:p>
    <w:p w:rsidR="00000000" w:rsidRPr="00C954B3" w:rsidP="00C954B3">
      <w:pPr>
        <w:pStyle w:val="ListBullet2"/>
      </w:pPr>
      <w:r w:rsidRPr="00C954B3">
        <w:t xml:space="preserve">duties, rights and obligations of individuals and parties </w:t>
      </w:r>
    </w:p>
    <w:p w:rsidR="00000000" w:rsidRPr="00C954B3" w:rsidP="00C954B3">
      <w:pPr>
        <w:pStyle w:val="ListBullet2"/>
      </w:pPr>
      <w:r w:rsidRPr="00C954B3">
        <w:t>functions and powers of the WHS regulator, and how they are exercised</w:t>
      </w:r>
    </w:p>
    <w:p w:rsidR="00000000" w:rsidRPr="00C954B3" w:rsidP="00C954B3">
      <w:pPr>
        <w:pStyle w:val="ListBullet"/>
      </w:pPr>
      <w:r w:rsidRPr="00C954B3">
        <w:t>relationship between:</w:t>
      </w:r>
    </w:p>
    <w:p w:rsidR="00000000" w:rsidRPr="00C954B3" w:rsidP="00C954B3">
      <w:pPr>
        <w:pStyle w:val="ListBullet2"/>
      </w:pPr>
      <w:r w:rsidRPr="00C954B3">
        <w:t>relevant WHS acts</w:t>
      </w:r>
    </w:p>
    <w:p w:rsidR="00000000" w:rsidRPr="00C954B3" w:rsidP="00C954B3">
      <w:pPr>
        <w:pStyle w:val="ListBullet2"/>
      </w:pPr>
      <w:r w:rsidRPr="00C954B3">
        <w:t xml:space="preserve">regulations </w:t>
      </w:r>
    </w:p>
    <w:p w:rsidR="00000000" w:rsidRPr="00C954B3" w:rsidP="00C954B3">
      <w:pPr>
        <w:pStyle w:val="ListBullet2"/>
      </w:pPr>
      <w:r w:rsidRPr="00C954B3">
        <w:t>codes of practice</w:t>
      </w:r>
    </w:p>
    <w:p w:rsidR="00000000" w:rsidRPr="00C954B3" w:rsidP="00C954B3">
      <w:pPr>
        <w:pStyle w:val="ListBullet2"/>
      </w:pPr>
      <w:r w:rsidRPr="00C954B3">
        <w:t xml:space="preserve">standards </w:t>
      </w:r>
    </w:p>
    <w:p w:rsidR="00000000" w:rsidRPr="00C954B3" w:rsidP="00C954B3">
      <w:pPr>
        <w:pStyle w:val="ListBullet2"/>
      </w:pPr>
      <w:r w:rsidRPr="00C954B3">
        <w:t>guidance mate</w:t>
      </w:r>
      <w:r w:rsidRPr="00C954B3">
        <w:t>rial</w:t>
      </w:r>
    </w:p>
    <w:p w:rsidR="00000000" w:rsidRPr="00C954B3" w:rsidP="00C954B3">
      <w:pPr>
        <w:pStyle w:val="ListBullet2"/>
      </w:pPr>
      <w:r w:rsidRPr="00C954B3">
        <w:t>other legislation relevant to WHS</w:t>
      </w:r>
    </w:p>
    <w:p w:rsidR="00000000" w:rsidRPr="00C954B3" w:rsidP="00C954B3">
      <w:pPr>
        <w:pStyle w:val="ListBullet"/>
      </w:pPr>
      <w:r w:rsidRPr="00C954B3">
        <w:t>organisational policies and procedures, and codes of conduct relating to:</w:t>
      </w:r>
    </w:p>
    <w:p w:rsidR="00000000" w:rsidRPr="00C954B3" w:rsidP="00C954B3">
      <w:pPr>
        <w:pStyle w:val="ListBullet2"/>
      </w:pPr>
      <w:r w:rsidRPr="00C954B3">
        <w:t>the role of an WHS inspector or adviser</w:t>
      </w:r>
    </w:p>
    <w:p w:rsidR="00000000" w:rsidRPr="00C954B3" w:rsidP="00C954B3">
      <w:pPr>
        <w:pStyle w:val="ListBullet2"/>
      </w:pPr>
      <w:r w:rsidRPr="00C954B3">
        <w:t>consultation and participation processes including record keeping and reporting requirements</w:t>
      </w:r>
    </w:p>
    <w:p w:rsidR="00000000" w:rsidRPr="00C954B3" w:rsidP="00C954B3">
      <w:pPr>
        <w:pStyle w:val="ListBullet"/>
      </w:pPr>
      <w:r w:rsidRPr="00C954B3">
        <w:t>work health and safety information systems (WHSIS) or other workplace information systems relating to the management and processes of WHS implementation in a workplace</w:t>
      </w:r>
    </w:p>
    <w:p w:rsidR="00000000" w:rsidRPr="00C954B3" w:rsidP="00C954B3">
      <w:pPr>
        <w:pStyle w:val="ListBullet"/>
      </w:pPr>
      <w:r w:rsidRPr="00C954B3">
        <w:t>workplace policies, procedures, activities, processes and systems to support and promote</w:t>
      </w:r>
      <w:r w:rsidRPr="00C954B3">
        <w:t xml:space="preserve"> compliance with WHS and related legislation.</w:t>
      </w:r>
    </w:p>
    <w:p w:rsidR="00000000" w:rsidRPr="00C954B3" w:rsidP="00C954B3">
      <w:pPr>
        <w:pStyle w:val="ListBullet"/>
      </w:pPr>
      <w:r w:rsidRPr="00C954B3">
        <w:t>systematic approaches to managing and complying with WHS legislation.</w:t>
      </w:r>
    </w:p>
    <w:p w:rsidR="00000000" w:rsidRPr="00C954B3" w:rsidP="00C954B3">
      <w:pPr>
        <w:pStyle w:val="AllowPageBreak"/>
      </w:pPr>
    </w:p>
    <w:p w:rsidR="00000000" w:rsidRPr="00C954B3" w:rsidP="00C954B3">
      <w:pPr>
        <w:pStyle w:val="Heading1"/>
      </w:pPr>
      <w:bookmarkStart w:id="4" w:name="O_1218806"/>
      <w:bookmarkEnd w:id="4"/>
      <w:r w:rsidRPr="00C954B3">
        <w:t>Assessment Conditions</w:t>
      </w:r>
    </w:p>
    <w:p w:rsidR="00000000" w:rsidRPr="00C954B3" w:rsidP="000F6905">
      <w:pPr>
        <w:pStyle w:val="BodyText"/>
      </w:pPr>
      <w:r w:rsidRPr="00C954B3">
        <w:t xml:space="preserve">Skills must be demonstrated in the workplace or in a simulated environment that reflects workplace </w:t>
      </w:r>
      <w:r w:rsidRPr="00C954B3">
        <w:t xml:space="preserve">conditions. </w:t>
      </w:r>
    </w:p>
    <w:p w:rsidR="00000000" w:rsidRPr="00C954B3" w:rsidP="000F6905">
      <w:pPr>
        <w:pStyle w:val="BodyText"/>
      </w:pPr>
      <w:r w:rsidRPr="00C954B3">
        <w:t>Assessment must ensure access to:</w:t>
      </w:r>
    </w:p>
    <w:p w:rsidR="00000000" w:rsidRPr="00C954B3" w:rsidP="00C954B3">
      <w:pPr>
        <w:pStyle w:val="ListBullet"/>
      </w:pPr>
      <w:r w:rsidRPr="00C954B3">
        <w:t>relevant sections of Commonwealth and State or Territory WHS Acts, regulations, codes of practice, standards, guidance material and other instruments</w:t>
      </w:r>
    </w:p>
    <w:p w:rsidR="00000000" w:rsidRPr="00C954B3" w:rsidP="00C954B3">
      <w:pPr>
        <w:pStyle w:val="ListBullet"/>
      </w:pPr>
      <w:r w:rsidRPr="00C954B3">
        <w:t>resources and equipment of the working environment.</w:t>
      </w:r>
    </w:p>
    <w:p w:rsidR="00000000" w:rsidRPr="00C954B3" w:rsidP="000F6905">
      <w:pPr>
        <w:pStyle w:val="BodyText"/>
      </w:pPr>
      <w:r w:rsidRPr="00C954B3">
        <w:t>Assess</w:t>
      </w:r>
      <w:r w:rsidRPr="00C954B3">
        <w:t>ors must satisfy the Standards for Registered Training Organisations’ requirements for assessors.</w:t>
      </w:r>
    </w:p>
    <w:p w:rsidR="00000000" w:rsidRPr="00C954B3" w:rsidP="00C954B3">
      <w:pPr>
        <w:pStyle w:val="Heading1"/>
      </w:pPr>
      <w:bookmarkStart w:id="5" w:name="O_1218809"/>
      <w:bookmarkEnd w:id="5"/>
      <w:r w:rsidRPr="00C954B3">
        <w:t>Links</w:t>
      </w:r>
    </w:p>
    <w:p w:rsidR="00000000" w:rsidRPr="00C954B3" w:rsidP="000F6905">
      <w:pPr>
        <w:pStyle w:val="BodyText"/>
      </w:pPr>
      <w:r w:rsidRPr="00C95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2F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54B3" w:rsidP="00C954B3"/>
    <w:sectPr w:rsidSect="00C95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B3" w:rsidRPr="000F6905" w:rsidP="000F6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05" w:rsidP="00C95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6905" w:rsidP="00C95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6905" w:rsidP="00C95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4B3" w:rsidRPr="000F6905" w:rsidP="000F6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905" w:rsidRPr="002D2AF8" w:rsidP="00C95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PSPWPI015 Advise on work health and safety (WHS) legislative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F6905" w:rsidP="00C95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621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828D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92E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4B3"/>
  </w:style>
  <w:style w:type="character" w:customStyle="1" w:styleId="Heading1Char">
    <w:name w:val="Heading 1 Char"/>
    <w:basedOn w:val="DefaultParagraphFont"/>
    <w:link w:val="Heading1"/>
    <w:rsid w:val="00C95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5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4B3"/>
    <w:rPr>
      <w:b/>
      <w:spacing w:val="0"/>
    </w:rPr>
  </w:style>
  <w:style w:type="paragraph" w:customStyle="1" w:styleId="SuperTitle">
    <w:name w:val="SuperTitle"/>
    <w:basedOn w:val="Title"/>
    <w:rsid w:val="00C95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4B3"/>
    <w:rPr>
      <w:i/>
    </w:rPr>
  </w:style>
  <w:style w:type="paragraph" w:styleId="Caption">
    <w:name w:val="caption"/>
    <w:basedOn w:val="BodyText"/>
    <w:next w:val="Normal"/>
    <w:qFormat/>
    <w:rsid w:val="00C95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4B3"/>
  </w:style>
  <w:style w:type="paragraph" w:styleId="TableofFigures">
    <w:name w:val="table of figures"/>
    <w:basedOn w:val="Normal"/>
    <w:next w:val="Normal"/>
    <w:semiHidden/>
    <w:rsid w:val="00C95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4B3"/>
    <w:rPr>
      <w:rFonts w:ascii="Wingdings" w:hAnsi="Wingdings"/>
    </w:rPr>
  </w:style>
  <w:style w:type="paragraph" w:customStyle="1" w:styleId="TableHeading">
    <w:name w:val="Table Heading"/>
    <w:basedOn w:val="HeadingBase"/>
    <w:rsid w:val="00C95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4B3"/>
    <w:rPr>
      <w:color w:val="0033CC"/>
      <w:u w:val="none"/>
    </w:rPr>
  </w:style>
  <w:style w:type="paragraph" w:customStyle="1" w:styleId="BodyTextRight">
    <w:name w:val="Body Text Right"/>
    <w:basedOn w:val="BodyText"/>
    <w:rsid w:val="00C95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4B3"/>
    <w:rPr>
      <w:sz w:val="32"/>
    </w:rPr>
  </w:style>
  <w:style w:type="paragraph" w:customStyle="1" w:styleId="HeadingProcedure">
    <w:name w:val="Heading Procedure"/>
    <w:basedOn w:val="HeadingBase"/>
    <w:next w:val="Normal"/>
    <w:rsid w:val="00C95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4B3"/>
    <w:pPr>
      <w:spacing w:before="60" w:after="60"/>
    </w:pPr>
  </w:style>
  <w:style w:type="paragraph" w:styleId="ListContinue">
    <w:name w:val="List Continue"/>
    <w:basedOn w:val="List"/>
    <w:rsid w:val="00C954B3"/>
    <w:pPr>
      <w:ind w:firstLine="0"/>
    </w:pPr>
  </w:style>
  <w:style w:type="paragraph" w:customStyle="1" w:styleId="ListNote">
    <w:name w:val="List Note"/>
    <w:basedOn w:val="List"/>
    <w:rsid w:val="00C95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4B3"/>
    <w:rPr>
      <w:rFonts w:ascii="Courier New" w:hAnsi="Courier New"/>
    </w:rPr>
  </w:style>
  <w:style w:type="paragraph" w:customStyle="1" w:styleId="NoteBullet">
    <w:name w:val="Note Bullet"/>
    <w:basedOn w:val="Note"/>
    <w:rsid w:val="00C95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4B3"/>
    <w:rPr>
      <w:b/>
      <w:smallCaps/>
    </w:rPr>
  </w:style>
  <w:style w:type="paragraph" w:customStyle="1" w:styleId="TableListNumber">
    <w:name w:val="Table List Number"/>
    <w:basedOn w:val="ListNumber"/>
    <w:rsid w:val="00C95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4B3"/>
    <w:pPr>
      <w:numPr>
        <w:numId w:val="9"/>
      </w:numPr>
    </w:pPr>
  </w:style>
  <w:style w:type="paragraph" w:customStyle="1" w:styleId="ListAlpha2">
    <w:name w:val="List Alpha 2"/>
    <w:basedOn w:val="List2"/>
    <w:rsid w:val="00C954B3"/>
    <w:pPr>
      <w:numPr>
        <w:numId w:val="8"/>
      </w:numPr>
    </w:pPr>
  </w:style>
  <w:style w:type="paragraph" w:styleId="List2">
    <w:name w:val="List 2"/>
    <w:basedOn w:val="BodyText"/>
    <w:rsid w:val="00C95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4B3"/>
    <w:pPr>
      <w:numPr>
        <w:numId w:val="4"/>
      </w:numPr>
    </w:pPr>
  </w:style>
  <w:style w:type="paragraph" w:styleId="ListContinue2">
    <w:name w:val="List Continue 2"/>
    <w:basedOn w:val="List2"/>
    <w:rsid w:val="00C954B3"/>
    <w:pPr>
      <w:ind w:firstLine="0"/>
    </w:pPr>
  </w:style>
  <w:style w:type="paragraph" w:styleId="ListContinue3">
    <w:name w:val="List Continue 3"/>
    <w:basedOn w:val="List3"/>
    <w:rsid w:val="00C954B3"/>
    <w:pPr>
      <w:ind w:left="1021" w:firstLine="0"/>
    </w:pPr>
  </w:style>
  <w:style w:type="paragraph" w:styleId="ListContinue4">
    <w:name w:val="List Continue 4"/>
    <w:basedOn w:val="List4"/>
    <w:rsid w:val="00C954B3"/>
    <w:pPr>
      <w:ind w:firstLine="0"/>
    </w:pPr>
  </w:style>
  <w:style w:type="paragraph" w:styleId="ListContinue5">
    <w:name w:val="List Continue 5"/>
    <w:basedOn w:val="List5"/>
    <w:rsid w:val="00C954B3"/>
    <w:pPr>
      <w:ind w:firstLine="0"/>
    </w:pPr>
  </w:style>
  <w:style w:type="paragraph" w:styleId="ListNumber3">
    <w:name w:val="List Number 3"/>
    <w:basedOn w:val="List3"/>
    <w:rsid w:val="00C954B3"/>
    <w:pPr>
      <w:numPr>
        <w:numId w:val="5"/>
      </w:numPr>
    </w:pPr>
  </w:style>
  <w:style w:type="paragraph" w:styleId="ListNumber4">
    <w:name w:val="List Number 4"/>
    <w:basedOn w:val="List4"/>
    <w:rsid w:val="00C954B3"/>
    <w:pPr>
      <w:numPr>
        <w:numId w:val="6"/>
      </w:numPr>
    </w:pPr>
  </w:style>
  <w:style w:type="paragraph" w:styleId="ListNumber5">
    <w:name w:val="List Number 5"/>
    <w:basedOn w:val="List5"/>
    <w:rsid w:val="00C954B3"/>
    <w:pPr>
      <w:numPr>
        <w:numId w:val="7"/>
      </w:numPr>
    </w:pPr>
  </w:style>
  <w:style w:type="paragraph" w:styleId="BlockText">
    <w:name w:val="Block Text"/>
    <w:basedOn w:val="Normal"/>
    <w:rsid w:val="00C95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4B3"/>
    <w:rPr>
      <w:sz w:val="16"/>
      <w:vertAlign w:val="superscript"/>
    </w:rPr>
  </w:style>
  <w:style w:type="character" w:customStyle="1" w:styleId="Symbols">
    <w:name w:val="Symbols"/>
    <w:basedOn w:val="DefaultParagraphFont"/>
    <w:rsid w:val="00C954B3"/>
    <w:rPr>
      <w:rFonts w:ascii="Symbol" w:hAnsi="Symbol"/>
    </w:rPr>
  </w:style>
  <w:style w:type="character" w:customStyle="1" w:styleId="MenuOptions">
    <w:name w:val="Menu Options"/>
    <w:basedOn w:val="DefaultParagraphFont"/>
    <w:rsid w:val="00C95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4B3"/>
    <w:rPr>
      <w:b/>
    </w:rPr>
  </w:style>
  <w:style w:type="character" w:customStyle="1" w:styleId="Underlined">
    <w:name w:val="Underlined"/>
    <w:basedOn w:val="DefaultParagraphFont"/>
    <w:rsid w:val="00C954B3"/>
    <w:rPr>
      <w:u w:val="single"/>
    </w:rPr>
  </w:style>
  <w:style w:type="paragraph" w:customStyle="1" w:styleId="TableBodyTextRight">
    <w:name w:val="Table Body Text Right"/>
    <w:basedOn w:val="TableBodyText"/>
    <w:rsid w:val="00C95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4B3"/>
    <w:rPr>
      <w:sz w:val="18"/>
    </w:rPr>
  </w:style>
  <w:style w:type="paragraph" w:customStyle="1" w:styleId="BodySmallRight">
    <w:name w:val="Body Small Right"/>
    <w:basedOn w:val="BodyTextRight"/>
    <w:rsid w:val="00C954B3"/>
    <w:rPr>
      <w:sz w:val="18"/>
      <w:szCs w:val="18"/>
    </w:rPr>
  </w:style>
  <w:style w:type="paragraph" w:customStyle="1" w:styleId="MarginEdition">
    <w:name w:val="Margin Edition"/>
    <w:basedOn w:val="MarginNote"/>
    <w:rsid w:val="00C95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4B3"/>
    <w:rPr>
      <w:sz w:val="2"/>
      <w:szCs w:val="2"/>
    </w:rPr>
  </w:style>
  <w:style w:type="character" w:customStyle="1" w:styleId="Small">
    <w:name w:val="Small"/>
    <w:basedOn w:val="DefaultParagraphFont"/>
    <w:rsid w:val="00C954B3"/>
    <w:rPr>
      <w:sz w:val="16"/>
    </w:rPr>
  </w:style>
  <w:style w:type="paragraph" w:customStyle="1" w:styleId="WideTable">
    <w:name w:val="Wide Table"/>
    <w:basedOn w:val="Normal"/>
    <w:rsid w:val="00C95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4B3"/>
  </w:style>
  <w:style w:type="paragraph" w:styleId="Quote">
    <w:name w:val="Quote"/>
    <w:basedOn w:val="Heading1"/>
    <w:link w:val="QuoteChar"/>
    <w:qFormat/>
    <w:rsid w:val="00C95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4B3"/>
    <w:pPr>
      <w:pageBreakBefore/>
    </w:pPr>
  </w:style>
  <w:style w:type="paragraph" w:customStyle="1" w:styleId="Border">
    <w:name w:val="Border"/>
    <w:basedOn w:val="Normal"/>
    <w:qFormat/>
    <w:rsid w:val="00C95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4B3"/>
    <w:rPr>
      <w:u w:val="single"/>
    </w:rPr>
  </w:style>
  <w:style w:type="character" w:customStyle="1" w:styleId="BoldandItalics">
    <w:name w:val="Bold and Italics"/>
    <w:qFormat/>
    <w:rsid w:val="00C954B3"/>
    <w:rPr>
      <w:b/>
      <w:i/>
      <w:u w:val="none"/>
    </w:rPr>
  </w:style>
  <w:style w:type="paragraph" w:styleId="BalloonText">
    <w:name w:val="Balloon Text"/>
    <w:basedOn w:val="Normal"/>
    <w:link w:val="BalloonTextChar"/>
    <w:rsid w:val="00C95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4B3"/>
    <w:pPr>
      <w:spacing w:before="0" w:after="0"/>
    </w:pPr>
  </w:style>
  <w:style w:type="paragraph" w:customStyle="1" w:styleId="BodyTextBold">
    <w:name w:val="Body Text Bold"/>
    <w:basedOn w:val="BodyText"/>
    <w:qFormat/>
    <w:rsid w:val="00C954B3"/>
    <w:rPr>
      <w:b/>
    </w:rPr>
  </w:style>
  <w:style w:type="character" w:styleId="Hyperlink">
    <w:name w:val="Hyperlink"/>
    <w:basedOn w:val="DefaultParagraphFont"/>
    <w:uiPriority w:val="99"/>
    <w:unhideWhenUsed/>
    <w:rsid w:val="000F69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2314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PSPWPI015 Advise on work health and safety (WHS) legislative frameworks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