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5D1" w:rsidP="008745D1">
      <w:pPr>
        <w:pStyle w:val="Title"/>
      </w:pPr>
      <w:r>
        <w:fldChar w:fldCharType="begin"/>
      </w:r>
      <w:r>
        <w:instrText xml:space="preserve"> TITLE   \* MERGEFORMAT </w:instrText>
      </w:r>
      <w:r>
        <w:fldChar w:fldCharType="separate"/>
      </w:r>
      <w:r>
        <w:t>PSPWPI008 Evaluate and report on workplace legislative compliance</w:t>
      </w:r>
      <w:r>
        <w:fldChar w:fldCharType="end"/>
      </w:r>
    </w:p>
    <w:p w:rsidR="008745D1" w:rsidP="008745D1">
      <w:pPr>
        <w:pStyle w:val="Version"/>
        <w:sectPr w:rsidSect="001C7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954" w:rsidP="001C7954">
      <w:pPr>
        <w:pStyle w:val="SuperHeading"/>
      </w:pPr>
      <w:r w:rsidRPr="001C7954">
        <w:t>PSPWPI008 Evaluate and report on workplace legislative compliance</w:t>
      </w:r>
    </w:p>
    <w:p w:rsidR="00000000" w:rsidRPr="001C7954" w:rsidP="001C7954">
      <w:pPr>
        <w:pStyle w:val="Heading1"/>
      </w:pPr>
      <w:bookmarkStart w:id="1" w:name="O_1217529"/>
      <w:bookmarkEnd w:id="1"/>
      <w:r w:rsidRPr="001C7954">
        <w:t>Modification History</w:t>
      </w:r>
    </w:p>
    <w:p w:rsidR="00000000" w:rsidRPr="001C7954" w:rsidP="008745D1">
      <w:pPr>
        <w:pStyle w:val="BodyText"/>
      </w:pPr>
      <w:r w:rsidRPr="001C7954">
        <w:t xml:space="preserve">Supersedes and is not equivalent to PSPWPI001 Evaluate workplace legislative compliance. </w:t>
      </w:r>
    </w:p>
    <w:p w:rsidR="00000000" w:rsidRPr="001C7954" w:rsidP="001C7954">
      <w:pPr>
        <w:pStyle w:val="Heading1"/>
      </w:pPr>
      <w:bookmarkStart w:id="2" w:name="O_1217530"/>
      <w:bookmarkEnd w:id="2"/>
      <w:r w:rsidRPr="001C7954">
        <w:t>Application</w:t>
      </w:r>
    </w:p>
    <w:p w:rsidR="00000000" w:rsidRPr="001C7954" w:rsidP="008745D1">
      <w:pPr>
        <w:pStyle w:val="BodyText"/>
      </w:pPr>
      <w:r w:rsidRPr="001C7954">
        <w:t xml:space="preserve">This unit describes </w:t>
      </w:r>
      <w:r w:rsidRPr="001C7954">
        <w:t>the performance outcomes, skills and knowledge required to identify work health and safety (WHS) issues, assess workplaces for compliance, advise on control measures and report on compliance activities. This includes acting to minimise risks to workers, th</w:t>
      </w:r>
      <w:r w:rsidRPr="001C7954">
        <w:t xml:space="preserve">e public and the work environment, and recording outcomes of compliance activities. </w:t>
      </w:r>
    </w:p>
    <w:p w:rsidR="00000000" w:rsidRPr="001C7954" w:rsidP="008745D1">
      <w:pPr>
        <w:pStyle w:val="BodyText"/>
      </w:pPr>
      <w:r w:rsidRPr="001C7954">
        <w:t xml:space="preserve">This unit applies to individuals working independently to inspect and evaluate workplaces for compliance with their jurisdictional requirements. </w:t>
      </w:r>
    </w:p>
    <w:p w:rsidR="00000000" w:rsidRPr="001C7954" w:rsidP="008745D1">
      <w:pPr>
        <w:pStyle w:val="BodyText"/>
      </w:pPr>
      <w:r w:rsidRPr="001C7954">
        <w:t>The skills in this unit m</w:t>
      </w:r>
      <w:r w:rsidRPr="001C7954">
        <w:t>ust be applied in accordance with Commonwealth and State or Territory legislation, Australian standards and industry codes of practice.</w:t>
      </w:r>
    </w:p>
    <w:p w:rsidR="00000000" w:rsidRPr="001C7954" w:rsidP="008745D1">
      <w:pPr>
        <w:pStyle w:val="BodyText"/>
      </w:pPr>
      <w:r w:rsidRPr="001C7954">
        <w:t>No occupational licensing, certification or specific legislative requirements apply to this unit at the time of publicat</w:t>
      </w:r>
      <w:r w:rsidRPr="001C7954">
        <w:t>ion.</w:t>
      </w:r>
    </w:p>
    <w:p w:rsidR="00000000" w:rsidRPr="001C7954" w:rsidP="001C7954">
      <w:pPr>
        <w:pStyle w:val="Heading1"/>
      </w:pPr>
      <w:bookmarkStart w:id="3" w:name="O_1217531"/>
      <w:bookmarkEnd w:id="3"/>
      <w:r w:rsidRPr="001C7954">
        <w:t>Pre-requisite Unit</w:t>
      </w:r>
    </w:p>
    <w:p w:rsidR="00000000" w:rsidRPr="001C7954" w:rsidP="008745D1">
      <w:pPr>
        <w:pStyle w:val="BodyText"/>
      </w:pPr>
      <w:r w:rsidRPr="001C7954">
        <w:t xml:space="preserve">Nil </w:t>
      </w:r>
    </w:p>
    <w:p w:rsidR="00000000" w:rsidRPr="001C7954" w:rsidP="001C7954">
      <w:pPr>
        <w:pStyle w:val="Heading1"/>
      </w:pPr>
      <w:bookmarkStart w:id="4" w:name="O_1217532"/>
      <w:bookmarkEnd w:id="4"/>
      <w:r w:rsidRPr="001C7954">
        <w:t>Competency Field</w:t>
      </w:r>
    </w:p>
    <w:p w:rsidR="00000000" w:rsidRPr="001C7954" w:rsidP="008745D1">
      <w:pPr>
        <w:pStyle w:val="BodyText"/>
      </w:pPr>
      <w:r w:rsidRPr="001C7954">
        <w:t>Workplace inspection</w:t>
      </w:r>
    </w:p>
    <w:p w:rsidR="00000000" w:rsidRPr="001C7954" w:rsidP="001C7954">
      <w:pPr>
        <w:pStyle w:val="Heading1"/>
      </w:pPr>
      <w:bookmarkStart w:id="5" w:name="O_1217534"/>
      <w:bookmarkEnd w:id="5"/>
      <w:r w:rsidRPr="001C7954">
        <w:t>Elements and Performance Criteria</w:t>
      </w:r>
    </w:p>
    <w:tbl>
      <w:tblPr>
        <w:tblW w:w="0" w:type="auto"/>
        <w:tblLayout w:type="fixed"/>
        <w:tblCellMar>
          <w:left w:w="62" w:type="dxa"/>
          <w:right w:w="62" w:type="dxa"/>
        </w:tblCellMar>
        <w:tblLook w:val="0000"/>
      </w:tblPr>
      <w:tblGrid>
        <w:gridCol w:w="2694"/>
        <w:gridCol w:w="6350"/>
      </w:tblGrid>
      <w:tr w:rsidTr="001C79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C7954" w:rsidP="001C7954">
            <w:pPr>
              <w:pStyle w:val="BodyText"/>
            </w:pPr>
            <w:r w:rsidRPr="001C795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rPr>
                <w:rStyle w:val="SpecialBold"/>
              </w:rPr>
              <w:t>PERFORMANCE</w:t>
            </w:r>
            <w:r w:rsidRPr="001C7954">
              <w:t xml:space="preserve"> </w:t>
            </w:r>
            <w:r w:rsidRPr="001C7954">
              <w:rPr>
                <w:rStyle w:val="SpecialBold"/>
              </w:rPr>
              <w:t>CRITERIA</w:t>
            </w:r>
          </w:p>
        </w:tc>
      </w:tr>
      <w:tr w:rsidTr="001C795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C7954" w:rsidP="001C7954">
            <w:pPr>
              <w:pStyle w:val="BodyText"/>
            </w:pPr>
            <w:r w:rsidRPr="001C795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rPr>
                <w:rStyle w:val="Emphasis"/>
              </w:rPr>
              <w:t>Performance criteria descr</w:t>
            </w:r>
            <w:r w:rsidRPr="001C7954">
              <w:rPr>
                <w:rStyle w:val="Emphasis"/>
              </w:rPr>
              <w:t>ibe the performance needed to demonstrate achievement of the element.</w:t>
            </w:r>
          </w:p>
        </w:tc>
      </w:tr>
      <w:tr w:rsidTr="001C795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C7954">
            <w:pPr>
              <w:pStyle w:val="List"/>
              <w:rPr>
                <w:lang w:val="en-NZ"/>
              </w:rPr>
            </w:pPr>
            <w:r w:rsidRPr="001C7954">
              <w:t>1.  Determine jurisdictional parameters.</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
            </w:pPr>
            <w:r w:rsidRPr="001C7954">
              <w:t>1.1 Identify and confirm jurisdictional boundaries according to legislation.</w:t>
            </w:r>
          </w:p>
          <w:p w:rsidR="00000000" w:rsidRPr="001C7954" w:rsidP="001C7954">
            <w:pPr>
              <w:pStyle w:val="List"/>
            </w:pPr>
            <w:r w:rsidRPr="001C7954">
              <w:t>1.2 Identify and confirm regulator powers according to legislation.</w:t>
            </w:r>
          </w:p>
          <w:p w:rsidR="00000000" w:rsidP="001C7954">
            <w:pPr>
              <w:pStyle w:val="List"/>
              <w:rPr>
                <w:lang w:val="en-NZ"/>
              </w:rPr>
            </w:pPr>
            <w:r w:rsidRPr="001C7954">
              <w:t>1.3 Identify and confirm own powers according to legislation and jurisdictional policies and procedures.</w:t>
            </w:r>
          </w:p>
        </w:tc>
      </w:tr>
      <w:tr w:rsidTr="001C7954">
        <w:tblPrEx>
          <w:tblW w:w="0" w:type="auto"/>
          <w:tblLayout w:type="fixed"/>
          <w:tblCellMar>
            <w:left w:w="62" w:type="dxa"/>
            <w:right w:w="62" w:type="dxa"/>
          </w:tblCellMar>
          <w:tblLook w:val="0000"/>
        </w:tblPrEx>
        <w:trPr>
          <w:trHeight w:val="5116"/>
        </w:trPr>
        <w:tc>
          <w:tcPr>
            <w:tcW w:w="2694" w:type="dxa"/>
            <w:tcBorders>
              <w:top w:val="nil"/>
              <w:left w:val="nil"/>
              <w:bottom w:val="nil"/>
              <w:right w:val="nil"/>
            </w:tcBorders>
            <w:tcMar>
              <w:top w:w="0" w:type="dxa"/>
              <w:left w:w="62" w:type="dxa"/>
              <w:bottom w:w="0" w:type="dxa"/>
              <w:right w:w="62" w:type="dxa"/>
            </w:tcMar>
          </w:tcPr>
          <w:p w:rsidR="00000000" w:rsidP="001C7954">
            <w:pPr>
              <w:pStyle w:val="List"/>
              <w:rPr>
                <w:lang w:val="en-NZ"/>
              </w:rPr>
            </w:pPr>
            <w:r w:rsidRPr="001C7954">
              <w:t>2.  Evaluate allegation of non-compliance.</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
            </w:pPr>
            <w:r w:rsidRPr="001C7954">
              <w:t>2.1. Assess preliminary information provided.</w:t>
            </w:r>
          </w:p>
          <w:p w:rsidR="00000000" w:rsidRPr="001C7954" w:rsidP="001C7954">
            <w:pPr>
              <w:pStyle w:val="List"/>
            </w:pPr>
            <w:r w:rsidRPr="001C7954">
              <w:t>2.2. Conduct background checks and research into alleged iss</w:t>
            </w:r>
            <w:r w:rsidRPr="001C7954">
              <w:t>ues raised.</w:t>
            </w:r>
          </w:p>
          <w:p w:rsidR="00000000" w:rsidRPr="001C7954" w:rsidP="001C7954">
            <w:pPr>
              <w:pStyle w:val="List"/>
            </w:pPr>
            <w:r w:rsidRPr="001C7954">
              <w:t>2.3. Identify potential risks and strategies to minimise those risks associated with the exercise of regulatory powers.</w:t>
            </w:r>
          </w:p>
          <w:p w:rsidR="00000000" w:rsidRPr="001C7954" w:rsidP="001C7954">
            <w:pPr>
              <w:pStyle w:val="List"/>
            </w:pPr>
            <w:r w:rsidRPr="001C7954">
              <w:t>2.4. Determine procedures, timeframes, resources and equipment requirements for self and others.</w:t>
            </w:r>
          </w:p>
          <w:p w:rsidR="00000000" w:rsidRPr="001C7954" w:rsidP="001C7954">
            <w:pPr>
              <w:pStyle w:val="List"/>
            </w:pPr>
            <w:r w:rsidRPr="001C7954">
              <w:t>2.5. Identify and confirm c</w:t>
            </w:r>
            <w:r w:rsidRPr="001C7954">
              <w:t>ompliance requirements of the legislation, standards, codes of practice and relevant policy and procedures for situations raised in allegations of non-compliance.</w:t>
            </w:r>
          </w:p>
          <w:p w:rsidR="00000000" w:rsidRPr="001C7954" w:rsidP="001C7954">
            <w:pPr>
              <w:pStyle w:val="List"/>
            </w:pPr>
            <w:r w:rsidRPr="001C7954">
              <w:t>2.6. Identify and refer issues outside jurisdiction in accordance with policies and procedure</w:t>
            </w:r>
            <w:r w:rsidRPr="001C7954">
              <w:t xml:space="preserve">s. </w:t>
            </w:r>
          </w:p>
          <w:p w:rsidR="00000000" w:rsidP="001C7954">
            <w:pPr>
              <w:pStyle w:val="List"/>
              <w:rPr>
                <w:lang w:val="en-NZ"/>
              </w:rPr>
            </w:pPr>
            <w:r w:rsidRPr="001C7954">
              <w:t>2.7. Maintain records in accordance with jurisdictional requirements and policies and procedures, including security and confidentiality requirements.</w:t>
            </w:r>
          </w:p>
        </w:tc>
      </w:tr>
      <w:tr w:rsidTr="001C7954">
        <w:tblPrEx>
          <w:tblW w:w="0" w:type="auto"/>
          <w:tblLayout w:type="fixed"/>
          <w:tblCellMar>
            <w:left w:w="62" w:type="dxa"/>
            <w:right w:w="62" w:type="dxa"/>
          </w:tblCellMar>
          <w:tblLook w:val="0000"/>
        </w:tblPrEx>
        <w:trPr>
          <w:trHeight w:val="4148"/>
        </w:trPr>
        <w:tc>
          <w:tcPr>
            <w:tcW w:w="2694" w:type="dxa"/>
            <w:tcBorders>
              <w:top w:val="nil"/>
              <w:left w:val="nil"/>
              <w:bottom w:val="nil"/>
              <w:right w:val="nil"/>
            </w:tcBorders>
            <w:tcMar>
              <w:top w:w="0" w:type="dxa"/>
              <w:left w:w="62" w:type="dxa"/>
              <w:bottom w:w="0" w:type="dxa"/>
              <w:right w:w="62" w:type="dxa"/>
            </w:tcMar>
          </w:tcPr>
          <w:p w:rsidR="00000000" w:rsidP="001C7954">
            <w:pPr>
              <w:pStyle w:val="List"/>
              <w:rPr>
                <w:lang w:val="en-NZ"/>
              </w:rPr>
            </w:pPr>
            <w:r w:rsidRPr="001C7954">
              <w:t>3.  Assess and determine compliance.</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
            </w:pPr>
            <w:r w:rsidRPr="001C7954">
              <w:t>3.1. Identify self and explain reasons for visit to relevant persons at the workplace.</w:t>
            </w:r>
          </w:p>
          <w:p w:rsidR="00000000" w:rsidRPr="001C7954" w:rsidP="001C7954">
            <w:pPr>
              <w:pStyle w:val="List"/>
            </w:pPr>
            <w:r w:rsidRPr="001C7954">
              <w:t>3.2. Determine and prioritise compliance issues relating to duty holders, workers and others in the work environment.</w:t>
            </w:r>
          </w:p>
          <w:p w:rsidR="00000000" w:rsidRPr="001C7954" w:rsidP="001C7954">
            <w:pPr>
              <w:pStyle w:val="List"/>
            </w:pPr>
            <w:r w:rsidRPr="001C7954">
              <w:t xml:space="preserve">3.3. Identify and make evidence-based decisions to </w:t>
            </w:r>
            <w:r w:rsidRPr="001C7954">
              <w:t>determine compliance or non-compliance with the elements of relevant legislation.</w:t>
            </w:r>
          </w:p>
          <w:p w:rsidR="00000000" w:rsidRPr="001C7954" w:rsidP="001C7954">
            <w:pPr>
              <w:pStyle w:val="List"/>
            </w:pPr>
            <w:r w:rsidRPr="001C7954">
              <w:t>3.4. Select safe evidence collection methods in accordance with jurisdictional policies and procedures.</w:t>
            </w:r>
          </w:p>
          <w:p w:rsidR="00000000" w:rsidRPr="001C7954" w:rsidP="001C7954">
            <w:pPr>
              <w:pStyle w:val="List"/>
            </w:pPr>
            <w:r w:rsidRPr="001C7954">
              <w:t>3.5. Determine a reasonably practicable solution to achieve compliance</w:t>
            </w:r>
            <w:r w:rsidRPr="001C7954">
              <w:t>.</w:t>
            </w:r>
          </w:p>
          <w:p w:rsidR="00000000" w:rsidP="001C7954">
            <w:pPr>
              <w:pStyle w:val="List"/>
              <w:rPr>
                <w:lang w:val="en-NZ"/>
              </w:rPr>
            </w:pPr>
            <w:r w:rsidRPr="001C7954">
              <w:t>3.6. Negotiate compliance timeframes where appropriate.</w:t>
            </w:r>
          </w:p>
        </w:tc>
      </w:tr>
      <w:tr w:rsidTr="001C7954">
        <w:tblPrEx>
          <w:tblW w:w="0" w:type="auto"/>
          <w:tblLayout w:type="fixed"/>
          <w:tblCellMar>
            <w:left w:w="62" w:type="dxa"/>
            <w:right w:w="62" w:type="dxa"/>
          </w:tblCellMar>
          <w:tblLook w:val="0000"/>
        </w:tblPrEx>
        <w:trPr>
          <w:trHeight w:val="2129"/>
        </w:trPr>
        <w:tc>
          <w:tcPr>
            <w:tcW w:w="2694" w:type="dxa"/>
            <w:tcBorders>
              <w:top w:val="nil"/>
              <w:left w:val="nil"/>
              <w:bottom w:val="nil"/>
              <w:right w:val="nil"/>
            </w:tcBorders>
            <w:tcMar>
              <w:top w:w="0" w:type="dxa"/>
              <w:left w:w="62" w:type="dxa"/>
              <w:bottom w:w="0" w:type="dxa"/>
              <w:right w:w="62" w:type="dxa"/>
            </w:tcMar>
          </w:tcPr>
          <w:p w:rsidR="00000000" w:rsidP="001C7954">
            <w:pPr>
              <w:pStyle w:val="List"/>
              <w:rPr>
                <w:lang w:val="en-NZ"/>
              </w:rPr>
            </w:pPr>
            <w:r w:rsidRPr="001C7954">
              <w:t xml:space="preserve">4.  Implement and record compliance activity. </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
            </w:pPr>
            <w:r w:rsidRPr="001C7954">
              <w:t>4.1. Compile appropriate compliance notices in accordance with jurisdictional and legislative requirements.</w:t>
            </w:r>
          </w:p>
          <w:p w:rsidR="00000000" w:rsidRPr="001C7954" w:rsidP="001C7954">
            <w:pPr>
              <w:pStyle w:val="List"/>
            </w:pPr>
            <w:r w:rsidRPr="001C7954">
              <w:t>4.2. Issue and explain rights and obligati</w:t>
            </w:r>
            <w:r w:rsidRPr="001C7954">
              <w:t>ons of notices to relevant persons.</w:t>
            </w:r>
          </w:p>
          <w:p w:rsidR="00000000" w:rsidP="001C7954">
            <w:pPr>
              <w:pStyle w:val="List"/>
              <w:rPr>
                <w:lang w:val="en-NZ"/>
              </w:rPr>
            </w:pPr>
            <w:r w:rsidRPr="001C7954">
              <w:t xml:space="preserve">4.3. Compile reports that address all issues raised in accordance with jurisdictional policies and procedures. </w:t>
            </w:r>
          </w:p>
        </w:tc>
      </w:tr>
      <w:tr w:rsidTr="001C7954">
        <w:tblPrEx>
          <w:tblW w:w="0" w:type="auto"/>
          <w:tblLayout w:type="fixed"/>
          <w:tblCellMar>
            <w:left w:w="62" w:type="dxa"/>
            <w:right w:w="62" w:type="dxa"/>
          </w:tblCellMar>
          <w:tblLook w:val="0000"/>
        </w:tblPrEx>
        <w:trPr>
          <w:trHeight w:val="2129"/>
        </w:trPr>
        <w:tc>
          <w:tcPr>
            <w:tcW w:w="2694" w:type="dxa"/>
            <w:tcBorders>
              <w:top w:val="nil"/>
              <w:left w:val="nil"/>
              <w:bottom w:val="nil"/>
              <w:right w:val="nil"/>
            </w:tcBorders>
            <w:tcMar>
              <w:top w:w="0" w:type="dxa"/>
              <w:left w:w="62" w:type="dxa"/>
              <w:bottom w:w="0" w:type="dxa"/>
              <w:right w:w="62" w:type="dxa"/>
            </w:tcMar>
          </w:tcPr>
          <w:p w:rsidR="00000000" w:rsidP="001C7954">
            <w:pPr>
              <w:pStyle w:val="List"/>
              <w:rPr>
                <w:lang w:val="en-NZ"/>
              </w:rPr>
            </w:pPr>
            <w:r w:rsidRPr="001C7954">
              <w:t>5.  Evaluate effectiveness of selected compliance activity.</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
            </w:pPr>
            <w:r w:rsidRPr="001C7954">
              <w:t xml:space="preserve">5.1. Conduct follow up of implemented compliance activity in accordance with jurisdictional policies and procedures. </w:t>
            </w:r>
          </w:p>
          <w:p w:rsidR="00000000" w:rsidRPr="001C7954" w:rsidP="001C7954">
            <w:pPr>
              <w:pStyle w:val="List"/>
            </w:pPr>
            <w:r w:rsidRPr="001C7954">
              <w:t>5.2. Identify and make evidence-based decisions to confirm compliance or non-compliance against the selected compliance activity.</w:t>
            </w:r>
          </w:p>
          <w:p w:rsidR="00000000" w:rsidRPr="001C7954" w:rsidP="001C7954">
            <w:pPr>
              <w:pStyle w:val="List"/>
            </w:pPr>
            <w:r w:rsidRPr="001C7954">
              <w:t>5.3. Rec</w:t>
            </w:r>
            <w:r w:rsidRPr="001C7954">
              <w:t>ord outcome of compliance activity in accordance with jurisdictional policies and procedures.</w:t>
            </w:r>
          </w:p>
        </w:tc>
      </w:tr>
    </w:tbl>
    <w:p w:rsidR="008745D1" w:rsidP="001C7954">
      <w:pPr>
        <w:pStyle w:val="List"/>
      </w:pPr>
    </w:p>
    <w:p w:rsidR="008745D1" w:rsidP="001C7954">
      <w:pPr>
        <w:pStyle w:val="List"/>
      </w:pPr>
    </w:p>
    <w:p w:rsidR="00000000" w:rsidRPr="001C7954" w:rsidP="001C7954">
      <w:pPr>
        <w:pStyle w:val="Heading1"/>
      </w:pPr>
      <w:bookmarkStart w:id="6" w:name="O_1217535"/>
      <w:bookmarkEnd w:id="6"/>
      <w:r w:rsidRPr="001C7954">
        <w:t>Foundation Skills</w:t>
      </w:r>
    </w:p>
    <w:tbl>
      <w:tblPr>
        <w:tblW w:w="0" w:type="auto"/>
        <w:tblLayout w:type="fixed"/>
        <w:tblCellMar>
          <w:left w:w="62" w:type="dxa"/>
          <w:right w:w="62" w:type="dxa"/>
        </w:tblCellMar>
        <w:tblLook w:val="0000"/>
      </w:tblPr>
      <w:tblGrid>
        <w:gridCol w:w="2694"/>
        <w:gridCol w:w="6350"/>
      </w:tblGrid>
      <w:tr w:rsidTr="001C795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t>Foundation skills essential to performance in this unit, but not explicit in the performance criteria are listed here, alo</w:t>
            </w:r>
            <w:r w:rsidRPr="001C7954">
              <w:t>ng with a brief context statement.</w:t>
            </w:r>
          </w:p>
        </w:tc>
      </w:tr>
      <w:tr w:rsidTr="001C79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C7954" w:rsidP="001C7954">
            <w:pPr>
              <w:pStyle w:val="BodyText"/>
            </w:pPr>
            <w:r w:rsidRPr="001C795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rPr>
                <w:rStyle w:val="SpecialBold"/>
              </w:rPr>
              <w:t>DESCRIPTION</w:t>
            </w:r>
          </w:p>
        </w:tc>
      </w:tr>
      <w:tr w:rsidTr="001C7954">
        <w:tblPrEx>
          <w:tblW w:w="0" w:type="auto"/>
          <w:tblLayout w:type="fixed"/>
          <w:tblCellMar>
            <w:left w:w="62" w:type="dxa"/>
            <w:right w:w="62" w:type="dxa"/>
          </w:tblCellMar>
          <w:tblLook w:val="0000"/>
        </w:tblPrEx>
        <w:trPr>
          <w:trHeight w:val="873"/>
        </w:trPr>
        <w:tc>
          <w:tcPr>
            <w:tcW w:w="2694"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t>Reading skills to:</w:t>
            </w:r>
          </w:p>
        </w:tc>
        <w:tc>
          <w:tcPr>
            <w:tcW w:w="6350" w:type="dxa"/>
            <w:tcBorders>
              <w:top w:val="nil"/>
              <w:left w:val="nil"/>
              <w:bottom w:val="nil"/>
              <w:right w:val="nil"/>
            </w:tcBorders>
            <w:tcMar>
              <w:top w:w="0" w:type="dxa"/>
              <w:left w:w="62" w:type="dxa"/>
              <w:bottom w:w="0" w:type="dxa"/>
              <w:right w:w="62" w:type="dxa"/>
            </w:tcMar>
          </w:tcPr>
          <w:p w:rsidR="00000000" w:rsidP="001C7954">
            <w:pPr>
              <w:pStyle w:val="ListBullet"/>
              <w:rPr>
                <w:lang w:val="en-NZ"/>
              </w:rPr>
            </w:pPr>
            <w:r w:rsidRPr="001C7954">
              <w:t>interpret and analyse complex and formal documents, including legislation, and their application.</w:t>
            </w:r>
          </w:p>
        </w:tc>
      </w:tr>
      <w:tr w:rsidTr="001C7954">
        <w:tblPrEx>
          <w:tblW w:w="0" w:type="auto"/>
          <w:tblLayout w:type="fixed"/>
          <w:tblCellMar>
            <w:left w:w="62" w:type="dxa"/>
            <w:right w:w="62" w:type="dxa"/>
          </w:tblCellMar>
          <w:tblLook w:val="0000"/>
        </w:tblPrEx>
        <w:trPr>
          <w:trHeight w:val="1020"/>
        </w:trPr>
        <w:tc>
          <w:tcPr>
            <w:tcW w:w="2694"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C7954">
            <w:pPr>
              <w:pStyle w:val="ListBullet"/>
              <w:rPr>
                <w:lang w:val="en-NZ"/>
              </w:rPr>
            </w:pPr>
            <w:r w:rsidRPr="001C7954">
              <w:t>explain complex and formal documents, including legislation, and their application to workplace situations.</w:t>
            </w:r>
          </w:p>
        </w:tc>
      </w:tr>
      <w:tr w:rsidTr="001C7954">
        <w:tblPrEx>
          <w:tblW w:w="0" w:type="auto"/>
          <w:tblLayout w:type="fixed"/>
          <w:tblCellMar>
            <w:left w:w="62" w:type="dxa"/>
            <w:right w:w="62" w:type="dxa"/>
          </w:tblCellMar>
          <w:tblLook w:val="0000"/>
        </w:tblPrEx>
        <w:trPr>
          <w:trHeight w:val="1535"/>
        </w:trPr>
        <w:tc>
          <w:tcPr>
            <w:tcW w:w="2694"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Bullet"/>
            </w:pPr>
            <w:r w:rsidRPr="001C7954">
              <w:t xml:space="preserve">sequence and schedule a range of routine and complex activities within legislative parameters </w:t>
            </w:r>
          </w:p>
          <w:p w:rsidR="00000000" w:rsidP="001C7954">
            <w:pPr>
              <w:pStyle w:val="ListBullet"/>
              <w:rPr>
                <w:lang w:val="en-NZ"/>
              </w:rPr>
            </w:pPr>
            <w:r w:rsidRPr="001C7954">
              <w:t>systematically analyse information to decide on appropriate compliance actions.</w:t>
            </w:r>
          </w:p>
        </w:tc>
      </w:tr>
      <w:tr w:rsidTr="001C79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C7954">
            <w:pPr>
              <w:pStyle w:val="BodyText"/>
              <w:rPr>
                <w:lang w:val="en-NZ"/>
              </w:rPr>
            </w:pPr>
            <w:r w:rsidRPr="001C7954">
              <w:t>Technology skills to:</w:t>
            </w:r>
          </w:p>
        </w:tc>
        <w:tc>
          <w:tcPr>
            <w:tcW w:w="6350" w:type="dxa"/>
            <w:tcBorders>
              <w:top w:val="nil"/>
              <w:left w:val="nil"/>
              <w:bottom w:val="nil"/>
              <w:right w:val="nil"/>
            </w:tcBorders>
            <w:tcMar>
              <w:top w:w="0" w:type="dxa"/>
              <w:left w:w="62" w:type="dxa"/>
              <w:bottom w:w="0" w:type="dxa"/>
              <w:right w:w="62" w:type="dxa"/>
            </w:tcMar>
          </w:tcPr>
          <w:p w:rsidR="00000000" w:rsidRPr="001C7954" w:rsidP="001C7954">
            <w:pPr>
              <w:pStyle w:val="ListBullet"/>
            </w:pPr>
            <w:r w:rsidRPr="001C7954">
              <w:t>access legislation and apply related systems which apply to legislative compliance systems and processes.</w:t>
            </w:r>
          </w:p>
        </w:tc>
      </w:tr>
    </w:tbl>
    <w:p w:rsidR="00000000" w:rsidRPr="001C7954" w:rsidP="001C7954">
      <w:pPr>
        <w:pStyle w:val="BodyText"/>
      </w:pPr>
    </w:p>
    <w:p w:rsidR="00000000" w:rsidRPr="001C7954" w:rsidP="001C7954">
      <w:pPr>
        <w:pStyle w:val="AllowPageBreak"/>
      </w:pPr>
    </w:p>
    <w:p w:rsidR="00000000" w:rsidRPr="001C7954" w:rsidP="001C7954">
      <w:pPr>
        <w:pStyle w:val="Heading1"/>
      </w:pPr>
      <w:bookmarkStart w:id="7" w:name="O_1217537"/>
      <w:bookmarkEnd w:id="7"/>
      <w:r w:rsidRPr="001C7954">
        <w:t>Unit Mapping Information</w:t>
      </w:r>
    </w:p>
    <w:p w:rsidR="00000000" w:rsidRPr="001C7954" w:rsidP="008745D1">
      <w:pPr>
        <w:pStyle w:val="BodyText"/>
      </w:pPr>
      <w:r w:rsidRPr="001C7954">
        <w:t xml:space="preserve">Supersedes and is not equivalent to PSPWPI001 Evaluate workplace legislative compliance. </w:t>
      </w:r>
    </w:p>
    <w:p w:rsidR="00000000" w:rsidRPr="001C7954" w:rsidP="001C7954">
      <w:pPr>
        <w:pStyle w:val="Heading1"/>
      </w:pPr>
      <w:bookmarkStart w:id="8" w:name="O_1217544"/>
      <w:bookmarkEnd w:id="8"/>
      <w:r w:rsidRPr="001C7954">
        <w:t>Links</w:t>
      </w:r>
    </w:p>
    <w:p w:rsidR="00000000" w:rsidRPr="001C7954" w:rsidP="008745D1">
      <w:pPr>
        <w:pStyle w:val="BodyText"/>
      </w:pPr>
      <w:r w:rsidRPr="001C795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5F94">
        <w:rPr>
          <w:rStyle w:val="Hyperlink"/>
        </w:rPr>
        <w:t>https://vetnet.gov.au/Pages/TrainingDocs.aspx?q=bebbece7-ff48-4d2c-8876-405679019623</w:t>
      </w:r>
      <w:r>
        <w:fldChar w:fldCharType="end"/>
      </w:r>
    </w:p>
    <w:p w:rsidR="00000000" w:rsidRPr="001C7954" w:rsidP="001C7954"/>
    <w:sectPr w:rsidSect="001C79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54" w:rsidRPr="008745D1" w:rsidP="0087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D1" w:rsidP="001C7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5D1" w:rsidP="001C79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745D1" w:rsidP="001C7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954" w:rsidRPr="008745D1" w:rsidP="00874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D1" w:rsidRPr="002D2AF8" w:rsidP="001C7954">
    <w:pPr>
      <w:pStyle w:val="Header"/>
      <w:framePr w:wrap="around"/>
    </w:pPr>
    <w:r>
      <w:fldChar w:fldCharType="begin"/>
    </w:r>
    <w:r>
      <w:instrText xml:space="preserve"> TITLE   \* MERGEFORMAT </w:instrText>
    </w:r>
    <w:r>
      <w:fldChar w:fldCharType="separate"/>
    </w:r>
    <w:r>
      <w:t>PSPWPI008 Evaluate and report on workplace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745D1" w:rsidP="001C7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60E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50E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954"/>
    <w:pPr>
      <w:spacing w:before="360" w:after="60"/>
      <w:outlineLvl w:val="0"/>
    </w:pPr>
    <w:rPr>
      <w:sz w:val="32"/>
    </w:rPr>
  </w:style>
  <w:style w:type="paragraph" w:styleId="Heading2">
    <w:name w:val="heading 2"/>
    <w:basedOn w:val="HeadingBase"/>
    <w:next w:val="BodyText"/>
    <w:link w:val="Heading2Char"/>
    <w:qFormat/>
    <w:rsid w:val="001C7954"/>
    <w:pPr>
      <w:keepLines/>
      <w:spacing w:before="240" w:after="120"/>
      <w:outlineLvl w:val="1"/>
    </w:pPr>
    <w:rPr>
      <w:sz w:val="28"/>
      <w:szCs w:val="40"/>
    </w:rPr>
  </w:style>
  <w:style w:type="paragraph" w:styleId="Heading3">
    <w:name w:val="heading 3"/>
    <w:basedOn w:val="HeadingBase"/>
    <w:next w:val="BodyText"/>
    <w:link w:val="Heading3Char"/>
    <w:qFormat/>
    <w:rsid w:val="001C7954"/>
    <w:pPr>
      <w:spacing w:before="180" w:after="120"/>
      <w:outlineLvl w:val="2"/>
    </w:pPr>
    <w:rPr>
      <w:spacing w:val="-10"/>
      <w:kern w:val="32"/>
    </w:rPr>
  </w:style>
  <w:style w:type="paragraph" w:styleId="Heading4">
    <w:name w:val="heading 4"/>
    <w:basedOn w:val="HeadingBase"/>
    <w:next w:val="BodyText"/>
    <w:link w:val="Heading4Char"/>
    <w:qFormat/>
    <w:rsid w:val="001C7954"/>
    <w:pPr>
      <w:spacing w:before="160" w:after="120"/>
      <w:outlineLvl w:val="3"/>
    </w:pPr>
    <w:rPr>
      <w:sz w:val="22"/>
    </w:rPr>
  </w:style>
  <w:style w:type="paragraph" w:styleId="Heading5">
    <w:name w:val="heading 5"/>
    <w:basedOn w:val="HeadingBase"/>
    <w:next w:val="Normal"/>
    <w:link w:val="Heading5Char"/>
    <w:qFormat/>
    <w:rsid w:val="001C7954"/>
    <w:pPr>
      <w:spacing w:before="80"/>
      <w:outlineLvl w:val="4"/>
    </w:pPr>
    <w:rPr>
      <w:color w:val="918585"/>
      <w:sz w:val="20"/>
    </w:rPr>
  </w:style>
  <w:style w:type="paragraph" w:styleId="Heading6">
    <w:name w:val="heading 6"/>
    <w:basedOn w:val="HeadingBase"/>
    <w:next w:val="Normal"/>
    <w:link w:val="Heading6Char"/>
    <w:qFormat/>
    <w:rsid w:val="001C7954"/>
    <w:pPr>
      <w:spacing w:before="60"/>
      <w:outlineLvl w:val="5"/>
    </w:pPr>
    <w:rPr>
      <w:color w:val="918585"/>
      <w:sz w:val="20"/>
    </w:rPr>
  </w:style>
  <w:style w:type="paragraph" w:styleId="Heading7">
    <w:name w:val="heading 7"/>
    <w:basedOn w:val="Normal"/>
    <w:next w:val="Normal"/>
    <w:link w:val="Heading7Char"/>
    <w:qFormat/>
    <w:rsid w:val="001C7954"/>
    <w:pPr>
      <w:ind w:left="720"/>
      <w:outlineLvl w:val="6"/>
    </w:pPr>
    <w:rPr>
      <w:i/>
    </w:rPr>
  </w:style>
  <w:style w:type="paragraph" w:styleId="Heading8">
    <w:name w:val="heading 8"/>
    <w:basedOn w:val="Normal"/>
    <w:next w:val="Normal"/>
    <w:link w:val="Heading8Char"/>
    <w:qFormat/>
    <w:rsid w:val="001C7954"/>
    <w:pPr>
      <w:ind w:left="720"/>
      <w:outlineLvl w:val="7"/>
    </w:pPr>
    <w:rPr>
      <w:i/>
    </w:rPr>
  </w:style>
  <w:style w:type="paragraph" w:styleId="Heading9">
    <w:name w:val="heading 9"/>
    <w:basedOn w:val="Normal"/>
    <w:next w:val="Normal"/>
    <w:link w:val="Heading9Char"/>
    <w:qFormat/>
    <w:rsid w:val="001C7954"/>
    <w:pPr>
      <w:ind w:left="720"/>
      <w:outlineLvl w:val="8"/>
    </w:pPr>
    <w:rPr>
      <w:i/>
    </w:rPr>
  </w:style>
  <w:style w:type="character" w:default="1" w:styleId="DefaultParagraphFont">
    <w:name w:val="Default Paragraph Font"/>
    <w:uiPriority w:val="1"/>
    <w:unhideWhenUsed/>
    <w:rsid w:val="001C7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954"/>
  </w:style>
  <w:style w:type="character" w:customStyle="1" w:styleId="Heading1Char">
    <w:name w:val="Heading 1 Char"/>
    <w:basedOn w:val="DefaultParagraphFont"/>
    <w:link w:val="Heading1"/>
    <w:rsid w:val="001C7954"/>
    <w:rPr>
      <w:rFonts w:ascii="Times New Roman" w:eastAsia="Times New Roman" w:hAnsi="Times New Roman" w:cs="Times New Roman"/>
      <w:b/>
      <w:sz w:val="32"/>
      <w:szCs w:val="20"/>
      <w:lang w:eastAsia="en-US"/>
    </w:rPr>
  </w:style>
  <w:style w:type="paragraph" w:styleId="BodyText">
    <w:name w:val="Body Text"/>
    <w:basedOn w:val="Normal"/>
    <w:link w:val="BodyTextChar"/>
    <w:rsid w:val="001C7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954"/>
    <w:rPr>
      <w:rFonts w:ascii="Times New Roman" w:eastAsia="Times New Roman" w:hAnsi="Times New Roman" w:cs="Times New Roman"/>
      <w:sz w:val="24"/>
      <w:lang w:eastAsia="en-US"/>
    </w:rPr>
  </w:style>
  <w:style w:type="paragraph" w:styleId="List">
    <w:name w:val="List"/>
    <w:basedOn w:val="BodyText"/>
    <w:next w:val="BodyText"/>
    <w:rsid w:val="001C7954"/>
    <w:pPr>
      <w:tabs>
        <w:tab w:val="left" w:pos="340"/>
      </w:tabs>
      <w:spacing w:before="60" w:after="60"/>
      <w:ind w:left="340" w:hanging="340"/>
    </w:pPr>
  </w:style>
  <w:style w:type="paragraph" w:styleId="ListBullet">
    <w:name w:val="List Bullet"/>
    <w:basedOn w:val="List"/>
    <w:rsid w:val="001C7954"/>
    <w:pPr>
      <w:numPr>
        <w:numId w:val="11"/>
      </w:numPr>
      <w:tabs>
        <w:tab w:val="clear" w:pos="340"/>
      </w:tabs>
      <w:spacing w:before="40" w:after="40"/>
    </w:pPr>
  </w:style>
  <w:style w:type="character" w:customStyle="1" w:styleId="SpecialBold">
    <w:name w:val="Special Bold"/>
    <w:basedOn w:val="DefaultParagraphFont"/>
    <w:rsid w:val="001C7954"/>
    <w:rPr>
      <w:b/>
      <w:spacing w:val="0"/>
    </w:rPr>
  </w:style>
  <w:style w:type="character" w:styleId="Emphasis">
    <w:name w:val="Emphasis"/>
    <w:basedOn w:val="DefaultParagraphFont"/>
    <w:qFormat/>
    <w:rsid w:val="001C7954"/>
    <w:rPr>
      <w:i/>
    </w:rPr>
  </w:style>
  <w:style w:type="paragraph" w:customStyle="1" w:styleId="SuperHeading">
    <w:name w:val="SuperHeading"/>
    <w:basedOn w:val="Normal"/>
    <w:rsid w:val="001C7954"/>
    <w:pPr>
      <w:spacing w:before="240" w:after="120"/>
      <w:outlineLvl w:val="0"/>
    </w:pPr>
    <w:rPr>
      <w:rFonts w:ascii="Times New Roman" w:hAnsi="Times New Roman"/>
      <w:b/>
      <w:sz w:val="32"/>
    </w:rPr>
  </w:style>
  <w:style w:type="paragraph" w:customStyle="1" w:styleId="AllowPageBreak">
    <w:name w:val="AllowPageBreak"/>
    <w:rsid w:val="001C79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954"/>
    <w:rPr>
      <w:rFonts w:ascii="Courier New" w:eastAsia="Times New Roman" w:hAnsi="Courier New" w:cs="Times New Roman"/>
      <w:i/>
      <w:szCs w:val="20"/>
      <w:lang w:eastAsia="en-US"/>
    </w:rPr>
  </w:style>
  <w:style w:type="paragraph" w:customStyle="1" w:styleId="HeadingBase">
    <w:name w:val="Heading Base"/>
    <w:rsid w:val="001C7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954"/>
    <w:pPr>
      <w:tabs>
        <w:tab w:val="right" w:leader="dot" w:pos="9072"/>
      </w:tabs>
      <w:ind w:left="567"/>
    </w:pPr>
    <w:rPr>
      <w:szCs w:val="22"/>
    </w:rPr>
  </w:style>
  <w:style w:type="paragraph" w:customStyle="1" w:styleId="TOCBase">
    <w:name w:val="TOC Base"/>
    <w:rsid w:val="001C7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954"/>
    <w:pPr>
      <w:tabs>
        <w:tab w:val="right" w:leader="dot" w:pos="9072"/>
      </w:tabs>
      <w:spacing w:before="40" w:after="40"/>
      <w:ind w:left="284"/>
    </w:pPr>
    <w:rPr>
      <w:rFonts w:ascii="Times New Roman" w:hAnsi="Times New Roman"/>
    </w:rPr>
  </w:style>
  <w:style w:type="paragraph" w:styleId="TOC1">
    <w:name w:val="toc 1"/>
    <w:basedOn w:val="TOCBase"/>
    <w:next w:val="Normal"/>
    <w:rsid w:val="001C7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954"/>
    <w:rPr>
      <w:rFonts w:ascii="Times New Roman" w:eastAsia="Times New Roman" w:hAnsi="Times New Roman" w:cs="Times New Roman"/>
      <w:sz w:val="16"/>
      <w:lang w:eastAsia="en-US"/>
    </w:rPr>
  </w:style>
  <w:style w:type="paragraph" w:styleId="Title">
    <w:name w:val="Title"/>
    <w:basedOn w:val="HeadingBase"/>
    <w:link w:val="TitleChar"/>
    <w:qFormat/>
    <w:rsid w:val="001C7954"/>
    <w:pPr>
      <w:spacing w:before="5040"/>
      <w:jc w:val="center"/>
    </w:pPr>
    <w:rPr>
      <w:sz w:val="48"/>
      <w:szCs w:val="72"/>
      <w:lang w:val="en-US"/>
    </w:rPr>
  </w:style>
  <w:style w:type="character" w:customStyle="1" w:styleId="TitleChar">
    <w:name w:val="Title Char"/>
    <w:basedOn w:val="DefaultParagraphFont"/>
    <w:link w:val="Title"/>
    <w:rsid w:val="001C7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954"/>
    <w:pPr>
      <w:tabs>
        <w:tab w:val="left" w:pos="3600"/>
        <w:tab w:val="left" w:pos="3958"/>
      </w:tabs>
    </w:pPr>
  </w:style>
  <w:style w:type="paragraph" w:customStyle="1" w:styleId="Note">
    <w:name w:val="Note"/>
    <w:basedOn w:val="BodyText"/>
    <w:rsid w:val="001C7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954"/>
    <w:pPr>
      <w:framePr w:wrap="auto" w:hAnchor="text" w:y="6049"/>
    </w:pPr>
    <w:rPr>
      <w:color w:val="000000"/>
      <w:sz w:val="40"/>
    </w:rPr>
  </w:style>
  <w:style w:type="paragraph" w:customStyle="1" w:styleId="TOCTitle">
    <w:name w:val="TOCTitle"/>
    <w:basedOn w:val="Heading1"/>
    <w:rsid w:val="001C7954"/>
    <w:pPr>
      <w:spacing w:after="240"/>
      <w:jc w:val="center"/>
      <w:outlineLvl w:val="9"/>
    </w:pPr>
    <w:rPr>
      <w:caps/>
    </w:rPr>
  </w:style>
  <w:style w:type="paragraph" w:customStyle="1" w:styleId="Version">
    <w:name w:val="Version"/>
    <w:rsid w:val="001C7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954"/>
    <w:pPr>
      <w:numPr>
        <w:numId w:val="12"/>
      </w:numPr>
      <w:tabs>
        <w:tab w:val="clear" w:pos="680"/>
      </w:tabs>
    </w:pPr>
  </w:style>
  <w:style w:type="paragraph" w:styleId="Index1">
    <w:name w:val="index 1"/>
    <w:basedOn w:val="Normal"/>
    <w:next w:val="Normal"/>
    <w:semiHidden/>
    <w:rsid w:val="001C7954"/>
    <w:pPr>
      <w:keepNext w:val="0"/>
      <w:tabs>
        <w:tab w:val="right" w:pos="4176"/>
      </w:tabs>
      <w:ind w:left="198" w:hanging="198"/>
    </w:pPr>
    <w:rPr>
      <w:rFonts w:ascii="Garamond" w:hAnsi="Garamond"/>
    </w:rPr>
  </w:style>
  <w:style w:type="paragraph" w:styleId="IndexHeading">
    <w:name w:val="index heading"/>
    <w:basedOn w:val="Normal"/>
    <w:next w:val="Index1"/>
    <w:semiHidden/>
    <w:rsid w:val="001C7954"/>
    <w:pPr>
      <w:spacing w:before="120" w:after="120"/>
    </w:pPr>
    <w:rPr>
      <w:rFonts w:ascii="Arial" w:hAnsi="Arial"/>
      <w:b/>
      <w:color w:val="918585"/>
      <w:sz w:val="24"/>
    </w:rPr>
  </w:style>
  <w:style w:type="paragraph" w:styleId="Header">
    <w:name w:val="header"/>
    <w:basedOn w:val="Normal"/>
    <w:link w:val="HeaderChar"/>
    <w:rsid w:val="001C7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954"/>
    <w:rPr>
      <w:rFonts w:ascii="Times New Roman" w:eastAsia="Times New Roman" w:hAnsi="Times New Roman" w:cs="Times New Roman"/>
      <w:sz w:val="16"/>
      <w:szCs w:val="20"/>
      <w:lang w:val="en-GB" w:eastAsia="en-US"/>
    </w:rPr>
  </w:style>
  <w:style w:type="paragraph" w:customStyle="1" w:styleId="Chapter">
    <w:name w:val="Chapter"/>
    <w:basedOn w:val="Normal"/>
    <w:rsid w:val="001C7954"/>
    <w:pPr>
      <w:spacing w:before="240"/>
    </w:pPr>
    <w:rPr>
      <w:rFonts w:ascii="Times New Roman" w:hAnsi="Times New Roman"/>
      <w:smallCaps/>
      <w:spacing w:val="80"/>
      <w:sz w:val="28"/>
    </w:rPr>
  </w:style>
  <w:style w:type="paragraph" w:customStyle="1" w:styleId="InChapter">
    <w:name w:val="InChapter"/>
    <w:basedOn w:val="Heading3"/>
    <w:rsid w:val="001C7954"/>
    <w:pPr>
      <w:spacing w:after="240"/>
      <w:outlineLvl w:val="9"/>
    </w:pPr>
    <w:rPr>
      <w:noProof/>
    </w:rPr>
  </w:style>
  <w:style w:type="paragraph" w:styleId="Index2">
    <w:name w:val="index 2"/>
    <w:basedOn w:val="Normal"/>
    <w:next w:val="Normal"/>
    <w:semiHidden/>
    <w:rsid w:val="001C7954"/>
    <w:pPr>
      <w:tabs>
        <w:tab w:val="right" w:pos="4176"/>
      </w:tabs>
      <w:ind w:left="568" w:hanging="284"/>
    </w:pPr>
    <w:rPr>
      <w:rFonts w:ascii="Garamond" w:hAnsi="Garamond"/>
    </w:rPr>
  </w:style>
  <w:style w:type="paragraph" w:customStyle="1" w:styleId="Byline">
    <w:name w:val="Byline"/>
    <w:rsid w:val="001C7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954"/>
    <w:pPr>
      <w:tabs>
        <w:tab w:val="clear" w:pos="3600"/>
        <w:tab w:val="clear" w:pos="3958"/>
      </w:tabs>
      <w:jc w:val="right"/>
    </w:pPr>
  </w:style>
  <w:style w:type="paragraph" w:styleId="Caption">
    <w:name w:val="caption"/>
    <w:basedOn w:val="BodyText"/>
    <w:next w:val="Normal"/>
    <w:qFormat/>
    <w:rsid w:val="001C7954"/>
    <w:pPr>
      <w:framePr w:w="2268" w:hSpace="181" w:vSpace="181" w:wrap="around" w:vAnchor="text" w:hAnchor="page" w:x="1135" w:y="285" w:anchorLock="1"/>
    </w:pPr>
    <w:rPr>
      <w:i/>
    </w:rPr>
  </w:style>
  <w:style w:type="paragraph" w:customStyle="1" w:styleId="MiniTOCTitle">
    <w:name w:val="MiniTOCTitle"/>
    <w:basedOn w:val="Heading4"/>
    <w:rsid w:val="001C7954"/>
    <w:pPr>
      <w:spacing w:before="240"/>
      <w:outlineLvl w:val="9"/>
    </w:pPr>
    <w:rPr>
      <w:noProof/>
      <w:sz w:val="24"/>
    </w:rPr>
  </w:style>
  <w:style w:type="paragraph" w:customStyle="1" w:styleId="MiniTOCItem">
    <w:name w:val="MiniTOCItem"/>
    <w:basedOn w:val="ListBullet"/>
    <w:rsid w:val="001C7954"/>
    <w:pPr>
      <w:numPr>
        <w:numId w:val="0"/>
      </w:numPr>
      <w:tabs>
        <w:tab w:val="right" w:leader="dot" w:pos="6521"/>
      </w:tabs>
      <w:spacing w:before="0" w:after="0"/>
    </w:pPr>
  </w:style>
  <w:style w:type="paragraph" w:customStyle="1" w:styleId="TOFTitle">
    <w:name w:val="TOFTitle"/>
    <w:basedOn w:val="TOCTitle"/>
    <w:rsid w:val="001C7954"/>
  </w:style>
  <w:style w:type="paragraph" w:styleId="TableofFigures">
    <w:name w:val="table of figures"/>
    <w:basedOn w:val="Normal"/>
    <w:next w:val="Normal"/>
    <w:semiHidden/>
    <w:rsid w:val="001C7954"/>
    <w:pPr>
      <w:tabs>
        <w:tab w:val="right" w:leader="dot" w:pos="9072"/>
      </w:tabs>
      <w:ind w:left="970" w:hanging="403"/>
    </w:pPr>
    <w:rPr>
      <w:rFonts w:ascii="Times New Roman" w:hAnsi="Times New Roman"/>
      <w:b/>
    </w:rPr>
  </w:style>
  <w:style w:type="paragraph" w:styleId="ListNumber">
    <w:name w:val="List Number"/>
    <w:basedOn w:val="List"/>
    <w:rsid w:val="001C7954"/>
    <w:pPr>
      <w:numPr>
        <w:numId w:val="14"/>
      </w:numPr>
      <w:tabs>
        <w:tab w:val="clear" w:pos="340"/>
      </w:tabs>
    </w:pPr>
  </w:style>
  <w:style w:type="character" w:customStyle="1" w:styleId="WingdingSymbols">
    <w:name w:val="Wingding Symbols"/>
    <w:rsid w:val="001C7954"/>
    <w:rPr>
      <w:rFonts w:ascii="Wingdings" w:hAnsi="Wingdings"/>
    </w:rPr>
  </w:style>
  <w:style w:type="paragraph" w:customStyle="1" w:styleId="TableHeading">
    <w:name w:val="Table Heading"/>
    <w:basedOn w:val="HeadingBase"/>
    <w:rsid w:val="001C7954"/>
    <w:pPr>
      <w:keepLines/>
      <w:pBdr>
        <w:bottom w:val="single" w:sz="6" w:space="1" w:color="918585"/>
      </w:pBdr>
      <w:spacing w:before="240"/>
    </w:pPr>
  </w:style>
  <w:style w:type="character" w:customStyle="1" w:styleId="HotSpot">
    <w:name w:val="HotSpot"/>
    <w:rsid w:val="001C7954"/>
    <w:rPr>
      <w:color w:val="0033CC"/>
      <w:u w:val="none"/>
    </w:rPr>
  </w:style>
  <w:style w:type="paragraph" w:customStyle="1" w:styleId="BodyTextRight">
    <w:name w:val="Body Text Right"/>
    <w:basedOn w:val="BodyText"/>
    <w:rsid w:val="001C7954"/>
    <w:pPr>
      <w:spacing w:before="0" w:after="0"/>
      <w:jc w:val="right"/>
    </w:pPr>
  </w:style>
  <w:style w:type="paragraph" w:styleId="Index3">
    <w:name w:val="index 3"/>
    <w:basedOn w:val="ListNumber2"/>
    <w:next w:val="Normal"/>
    <w:semiHidden/>
    <w:rsid w:val="001C7954"/>
    <w:pPr>
      <w:numPr>
        <w:numId w:val="0"/>
      </w:numPr>
      <w:tabs>
        <w:tab w:val="right" w:leader="dot" w:pos="4176"/>
      </w:tabs>
    </w:pPr>
  </w:style>
  <w:style w:type="paragraph" w:styleId="ListNumber2">
    <w:name w:val="List Number 2"/>
    <w:basedOn w:val="List2"/>
    <w:rsid w:val="001C7954"/>
    <w:pPr>
      <w:numPr>
        <w:numId w:val="9"/>
      </w:numPr>
      <w:tabs>
        <w:tab w:val="clear" w:pos="1060"/>
      </w:tabs>
    </w:pPr>
  </w:style>
  <w:style w:type="paragraph" w:customStyle="1" w:styleId="MarginNote">
    <w:name w:val="Margin Note"/>
    <w:basedOn w:val="BodyText"/>
    <w:rsid w:val="001C7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954"/>
    <w:rPr>
      <w:sz w:val="32"/>
    </w:rPr>
  </w:style>
  <w:style w:type="paragraph" w:customStyle="1" w:styleId="HeadingProcedure">
    <w:name w:val="Heading Procedure"/>
    <w:basedOn w:val="HeadingBase"/>
    <w:next w:val="Normal"/>
    <w:rsid w:val="001C7954"/>
    <w:pPr>
      <w:tabs>
        <w:tab w:val="left" w:pos="0"/>
      </w:tabs>
      <w:spacing w:before="120" w:after="60"/>
    </w:pPr>
    <w:rPr>
      <w:i/>
      <w:color w:val="918585"/>
      <w:sz w:val="22"/>
    </w:rPr>
  </w:style>
  <w:style w:type="paragraph" w:customStyle="1" w:styleId="TableBodyText">
    <w:name w:val="Table Body Text"/>
    <w:basedOn w:val="BodyText"/>
    <w:rsid w:val="001C7954"/>
    <w:pPr>
      <w:spacing w:before="60" w:after="60"/>
    </w:pPr>
  </w:style>
  <w:style w:type="paragraph" w:styleId="ListContinue">
    <w:name w:val="List Continue"/>
    <w:basedOn w:val="List"/>
    <w:rsid w:val="001C7954"/>
    <w:pPr>
      <w:ind w:firstLine="0"/>
    </w:pPr>
  </w:style>
  <w:style w:type="paragraph" w:customStyle="1" w:styleId="ListNote">
    <w:name w:val="List Note"/>
    <w:basedOn w:val="List"/>
    <w:rsid w:val="001C7954"/>
    <w:pPr>
      <w:pBdr>
        <w:top w:val="single" w:sz="6" w:space="2" w:color="918585"/>
        <w:bottom w:val="single" w:sz="6" w:space="2" w:color="918585"/>
      </w:pBdr>
      <w:tabs>
        <w:tab w:val="left" w:pos="1021"/>
      </w:tabs>
      <w:ind w:firstLine="0"/>
    </w:pPr>
  </w:style>
  <w:style w:type="paragraph" w:customStyle="1" w:styleId="Warning">
    <w:name w:val="Warning"/>
    <w:basedOn w:val="BodyText"/>
    <w:rsid w:val="001C7954"/>
    <w:pPr>
      <w:shd w:val="clear" w:color="auto" w:fill="D9D9D9"/>
      <w:tabs>
        <w:tab w:val="left" w:pos="992"/>
      </w:tabs>
      <w:ind w:left="119" w:right="119"/>
    </w:pPr>
    <w:rPr>
      <w:sz w:val="20"/>
    </w:rPr>
  </w:style>
  <w:style w:type="paragraph" w:customStyle="1" w:styleId="MarginIcons">
    <w:name w:val="Margin Icons"/>
    <w:basedOn w:val="BodyText"/>
    <w:rsid w:val="001C7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954"/>
    <w:rPr>
      <w:rFonts w:ascii="Courier New" w:hAnsi="Courier New"/>
    </w:rPr>
  </w:style>
  <w:style w:type="paragraph" w:customStyle="1" w:styleId="NoteBullet">
    <w:name w:val="Note Bullet"/>
    <w:basedOn w:val="Note"/>
    <w:rsid w:val="001C7954"/>
    <w:pPr>
      <w:tabs>
        <w:tab w:val="clear" w:pos="680"/>
      </w:tabs>
      <w:spacing w:before="60" w:after="60"/>
    </w:pPr>
  </w:style>
  <w:style w:type="paragraph" w:customStyle="1" w:styleId="SubHeading2">
    <w:name w:val="SubHeading2"/>
    <w:basedOn w:val="HeadingBase"/>
    <w:rsid w:val="001C7954"/>
    <w:pPr>
      <w:spacing w:before="240" w:after="60"/>
    </w:pPr>
    <w:rPr>
      <w:sz w:val="20"/>
    </w:rPr>
  </w:style>
  <w:style w:type="paragraph" w:customStyle="1" w:styleId="SubHeading1">
    <w:name w:val="SubHeading1"/>
    <w:basedOn w:val="HeadingBase"/>
    <w:rsid w:val="001C7954"/>
    <w:pPr>
      <w:spacing w:before="240" w:after="60"/>
    </w:pPr>
    <w:rPr>
      <w:color w:val="918585"/>
      <w:sz w:val="22"/>
    </w:rPr>
  </w:style>
  <w:style w:type="paragraph" w:customStyle="1" w:styleId="SideHeading">
    <w:name w:val="Side Heading"/>
    <w:basedOn w:val="HeadingBase"/>
    <w:rsid w:val="001C7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954"/>
    <w:pPr>
      <w:numPr>
        <w:numId w:val="10"/>
      </w:numPr>
    </w:pPr>
  </w:style>
  <w:style w:type="paragraph" w:styleId="PlainText">
    <w:name w:val="Plain Text"/>
    <w:basedOn w:val="Normal"/>
    <w:link w:val="PlainTextChar"/>
    <w:rsid w:val="001C7954"/>
    <w:rPr>
      <w:sz w:val="20"/>
    </w:rPr>
  </w:style>
  <w:style w:type="character" w:customStyle="1" w:styleId="PlainTextChar">
    <w:name w:val="Plain Text Char"/>
    <w:basedOn w:val="DefaultParagraphFont"/>
    <w:link w:val="PlainText"/>
    <w:rsid w:val="001C7954"/>
    <w:rPr>
      <w:rFonts w:ascii="Courier New" w:eastAsia="Times New Roman" w:hAnsi="Courier New" w:cs="Times New Roman"/>
      <w:sz w:val="20"/>
      <w:szCs w:val="20"/>
      <w:lang w:eastAsia="en-US"/>
    </w:rPr>
  </w:style>
  <w:style w:type="character" w:customStyle="1" w:styleId="MenuOption">
    <w:name w:val="Menu Option"/>
    <w:basedOn w:val="DefaultParagraphFont"/>
    <w:rsid w:val="001C7954"/>
    <w:rPr>
      <w:b/>
      <w:smallCaps/>
    </w:rPr>
  </w:style>
  <w:style w:type="paragraph" w:customStyle="1" w:styleId="TableListNumber">
    <w:name w:val="Table List Number"/>
    <w:basedOn w:val="ListNumber"/>
    <w:rsid w:val="001C7954"/>
    <w:pPr>
      <w:numPr>
        <w:numId w:val="0"/>
      </w:numPr>
    </w:pPr>
  </w:style>
  <w:style w:type="paragraph" w:styleId="TOC4">
    <w:name w:val="toc 4"/>
    <w:basedOn w:val="TOCBase"/>
    <w:next w:val="Normal"/>
    <w:semiHidden/>
    <w:rsid w:val="001C7954"/>
    <w:pPr>
      <w:tabs>
        <w:tab w:val="right" w:leader="dot" w:pos="9071"/>
      </w:tabs>
      <w:ind w:left="1701"/>
    </w:pPr>
  </w:style>
  <w:style w:type="paragraph" w:customStyle="1" w:styleId="ListAlpha">
    <w:name w:val="List Alpha"/>
    <w:basedOn w:val="List"/>
    <w:rsid w:val="001C7954"/>
    <w:pPr>
      <w:numPr>
        <w:numId w:val="8"/>
      </w:numPr>
    </w:pPr>
  </w:style>
  <w:style w:type="paragraph" w:customStyle="1" w:styleId="ListAlpha2">
    <w:name w:val="List Alpha 2"/>
    <w:basedOn w:val="List2"/>
    <w:rsid w:val="001C7954"/>
    <w:pPr>
      <w:numPr>
        <w:numId w:val="7"/>
      </w:numPr>
    </w:pPr>
  </w:style>
  <w:style w:type="paragraph" w:styleId="List2">
    <w:name w:val="List 2"/>
    <w:basedOn w:val="BodyText"/>
    <w:rsid w:val="001C7954"/>
    <w:pPr>
      <w:tabs>
        <w:tab w:val="left" w:pos="680"/>
      </w:tabs>
      <w:spacing w:before="60" w:after="60"/>
      <w:ind w:left="680" w:hanging="340"/>
    </w:pPr>
  </w:style>
  <w:style w:type="paragraph" w:styleId="List3">
    <w:name w:val="List 3"/>
    <w:basedOn w:val="BodyText"/>
    <w:rsid w:val="001C7954"/>
    <w:pPr>
      <w:tabs>
        <w:tab w:val="left" w:pos="1021"/>
      </w:tabs>
      <w:spacing w:before="60" w:after="60"/>
      <w:ind w:left="1020" w:hanging="340"/>
    </w:pPr>
  </w:style>
  <w:style w:type="paragraph" w:styleId="List4">
    <w:name w:val="List 4"/>
    <w:basedOn w:val="BodyText"/>
    <w:rsid w:val="001C7954"/>
    <w:pPr>
      <w:tabs>
        <w:tab w:val="left" w:pos="1361"/>
      </w:tabs>
      <w:spacing w:before="60" w:after="60"/>
      <w:ind w:left="1361" w:hanging="340"/>
    </w:pPr>
  </w:style>
  <w:style w:type="paragraph" w:styleId="List5">
    <w:name w:val="List 5"/>
    <w:basedOn w:val="BodyText"/>
    <w:rsid w:val="001C7954"/>
    <w:pPr>
      <w:tabs>
        <w:tab w:val="left" w:pos="1701"/>
      </w:tabs>
      <w:spacing w:before="60" w:after="60"/>
      <w:ind w:left="1701" w:hanging="340"/>
    </w:pPr>
  </w:style>
  <w:style w:type="paragraph" w:styleId="ListBullet3">
    <w:name w:val="List Bullet 3"/>
    <w:basedOn w:val="List3"/>
    <w:rsid w:val="001C7954"/>
    <w:pPr>
      <w:numPr>
        <w:numId w:val="13"/>
      </w:numPr>
      <w:tabs>
        <w:tab w:val="clear" w:pos="1021"/>
      </w:tabs>
      <w:ind w:left="1037" w:hanging="357"/>
    </w:pPr>
  </w:style>
  <w:style w:type="paragraph" w:styleId="ListBullet4">
    <w:name w:val="List Bullet 4"/>
    <w:basedOn w:val="List4"/>
    <w:rsid w:val="001C7954"/>
    <w:pPr>
      <w:numPr>
        <w:numId w:val="2"/>
      </w:numPr>
      <w:tabs>
        <w:tab w:val="clear" w:pos="1361"/>
      </w:tabs>
    </w:pPr>
  </w:style>
  <w:style w:type="paragraph" w:styleId="ListBullet5">
    <w:name w:val="List Bullet 5"/>
    <w:basedOn w:val="List5"/>
    <w:rsid w:val="001C7954"/>
    <w:pPr>
      <w:numPr>
        <w:numId w:val="3"/>
      </w:numPr>
    </w:pPr>
  </w:style>
  <w:style w:type="paragraph" w:styleId="ListContinue2">
    <w:name w:val="List Continue 2"/>
    <w:basedOn w:val="List2"/>
    <w:rsid w:val="001C7954"/>
    <w:pPr>
      <w:ind w:firstLine="0"/>
    </w:pPr>
  </w:style>
  <w:style w:type="paragraph" w:styleId="ListContinue3">
    <w:name w:val="List Continue 3"/>
    <w:basedOn w:val="List3"/>
    <w:rsid w:val="001C7954"/>
    <w:pPr>
      <w:ind w:left="1021" w:firstLine="0"/>
    </w:pPr>
  </w:style>
  <w:style w:type="paragraph" w:styleId="ListContinue4">
    <w:name w:val="List Continue 4"/>
    <w:basedOn w:val="List4"/>
    <w:rsid w:val="001C7954"/>
    <w:pPr>
      <w:ind w:firstLine="0"/>
    </w:pPr>
  </w:style>
  <w:style w:type="paragraph" w:styleId="ListContinue5">
    <w:name w:val="List Continue 5"/>
    <w:basedOn w:val="List5"/>
    <w:rsid w:val="001C7954"/>
    <w:pPr>
      <w:ind w:firstLine="0"/>
    </w:pPr>
  </w:style>
  <w:style w:type="paragraph" w:styleId="ListNumber3">
    <w:name w:val="List Number 3"/>
    <w:basedOn w:val="List3"/>
    <w:rsid w:val="001C7954"/>
    <w:pPr>
      <w:numPr>
        <w:numId w:val="4"/>
      </w:numPr>
    </w:pPr>
  </w:style>
  <w:style w:type="paragraph" w:styleId="ListNumber4">
    <w:name w:val="List Number 4"/>
    <w:basedOn w:val="List4"/>
    <w:rsid w:val="001C7954"/>
    <w:pPr>
      <w:numPr>
        <w:numId w:val="5"/>
      </w:numPr>
    </w:pPr>
  </w:style>
  <w:style w:type="paragraph" w:styleId="ListNumber5">
    <w:name w:val="List Number 5"/>
    <w:basedOn w:val="List5"/>
    <w:rsid w:val="001C7954"/>
    <w:pPr>
      <w:numPr>
        <w:numId w:val="6"/>
      </w:numPr>
    </w:pPr>
  </w:style>
  <w:style w:type="paragraph" w:styleId="BlockText">
    <w:name w:val="Block Text"/>
    <w:basedOn w:val="Normal"/>
    <w:rsid w:val="001C7954"/>
    <w:pPr>
      <w:spacing w:after="120"/>
      <w:ind w:left="1440" w:right="1440"/>
    </w:pPr>
  </w:style>
  <w:style w:type="character" w:customStyle="1" w:styleId="Subscript">
    <w:name w:val="Subscript"/>
    <w:basedOn w:val="DefaultParagraphFont"/>
    <w:rsid w:val="001C7954"/>
    <w:rPr>
      <w:sz w:val="16"/>
      <w:vertAlign w:val="subscript"/>
    </w:rPr>
  </w:style>
  <w:style w:type="character" w:customStyle="1" w:styleId="Superscript">
    <w:name w:val="Superscript"/>
    <w:basedOn w:val="DefaultParagraphFont"/>
    <w:rsid w:val="001C7954"/>
    <w:rPr>
      <w:sz w:val="16"/>
      <w:vertAlign w:val="superscript"/>
    </w:rPr>
  </w:style>
  <w:style w:type="character" w:customStyle="1" w:styleId="Symbols">
    <w:name w:val="Symbols"/>
    <w:basedOn w:val="DefaultParagraphFont"/>
    <w:rsid w:val="001C7954"/>
    <w:rPr>
      <w:rFonts w:ascii="Symbol" w:hAnsi="Symbol"/>
    </w:rPr>
  </w:style>
  <w:style w:type="character" w:customStyle="1" w:styleId="MenuOptions">
    <w:name w:val="Menu Options"/>
    <w:basedOn w:val="DefaultParagraphFont"/>
    <w:rsid w:val="001C7954"/>
    <w:rPr>
      <w:rFonts w:ascii="Arial Narrow" w:hAnsi="Arial Narrow"/>
      <w:smallCaps/>
    </w:rPr>
  </w:style>
  <w:style w:type="character" w:customStyle="1" w:styleId="Buttons">
    <w:name w:val="Buttons"/>
    <w:basedOn w:val="DefaultParagraphFont"/>
    <w:rsid w:val="001C7954"/>
    <w:rPr>
      <w:b/>
    </w:rPr>
  </w:style>
  <w:style w:type="character" w:customStyle="1" w:styleId="Underlined">
    <w:name w:val="Underlined"/>
    <w:basedOn w:val="DefaultParagraphFont"/>
    <w:rsid w:val="001C7954"/>
    <w:rPr>
      <w:u w:val="single"/>
    </w:rPr>
  </w:style>
  <w:style w:type="paragraph" w:customStyle="1" w:styleId="TableBodyTextRight">
    <w:name w:val="Table Body Text Right"/>
    <w:basedOn w:val="TableBodyText"/>
    <w:rsid w:val="001C7954"/>
    <w:pPr>
      <w:widowControl w:val="0"/>
      <w:autoSpaceDE w:val="0"/>
      <w:autoSpaceDN w:val="0"/>
      <w:adjustRightInd w:val="0"/>
      <w:jc w:val="right"/>
    </w:pPr>
    <w:rPr>
      <w:rFonts w:cs="Arial"/>
      <w:szCs w:val="18"/>
    </w:rPr>
  </w:style>
  <w:style w:type="paragraph" w:customStyle="1" w:styleId="CopyrightText">
    <w:name w:val="Copyright Text"/>
    <w:basedOn w:val="BodyText"/>
    <w:rsid w:val="001C7954"/>
    <w:rPr>
      <w:sz w:val="18"/>
    </w:rPr>
  </w:style>
  <w:style w:type="paragraph" w:customStyle="1" w:styleId="BodySmallRight">
    <w:name w:val="Body Small Right"/>
    <w:basedOn w:val="BodyTextRight"/>
    <w:rsid w:val="001C7954"/>
    <w:rPr>
      <w:sz w:val="18"/>
      <w:szCs w:val="18"/>
    </w:rPr>
  </w:style>
  <w:style w:type="paragraph" w:customStyle="1" w:styleId="MarginEdition">
    <w:name w:val="Margin Edition"/>
    <w:basedOn w:val="MarginNote"/>
    <w:rsid w:val="001C7954"/>
    <w:pPr>
      <w:spacing w:before="0" w:after="0"/>
    </w:pPr>
    <w:rPr>
      <w:rFonts w:ascii="Times New Roman" w:hAnsi="Times New Roman"/>
      <w:color w:val="999999"/>
    </w:rPr>
  </w:style>
  <w:style w:type="paragraph" w:customStyle="1" w:styleId="Spacer">
    <w:name w:val="Spacer"/>
    <w:basedOn w:val="Normal"/>
    <w:rsid w:val="001C7954"/>
    <w:rPr>
      <w:sz w:val="2"/>
      <w:szCs w:val="2"/>
    </w:rPr>
  </w:style>
  <w:style w:type="character" w:customStyle="1" w:styleId="Small">
    <w:name w:val="Small"/>
    <w:basedOn w:val="DefaultParagraphFont"/>
    <w:rsid w:val="001C7954"/>
    <w:rPr>
      <w:sz w:val="16"/>
    </w:rPr>
  </w:style>
  <w:style w:type="paragraph" w:customStyle="1" w:styleId="WideTable">
    <w:name w:val="Wide Table"/>
    <w:basedOn w:val="Normal"/>
    <w:rsid w:val="001C7954"/>
    <w:pPr>
      <w:ind w:left="-1418"/>
    </w:pPr>
    <w:rPr>
      <w:sz w:val="2"/>
      <w:szCs w:val="2"/>
    </w:rPr>
  </w:style>
  <w:style w:type="character" w:styleId="PageNumber">
    <w:name w:val="page number"/>
    <w:basedOn w:val="DefaultParagraphFont"/>
    <w:rsid w:val="001C7954"/>
  </w:style>
  <w:style w:type="paragraph" w:styleId="Quote">
    <w:name w:val="Quote"/>
    <w:basedOn w:val="Heading1"/>
    <w:link w:val="QuoteChar"/>
    <w:qFormat/>
    <w:rsid w:val="001C7954"/>
    <w:rPr>
      <w:b w:val="0"/>
      <w:sz w:val="72"/>
      <w:szCs w:val="72"/>
      <w:lang w:val="en-NZ"/>
    </w:rPr>
  </w:style>
  <w:style w:type="character" w:customStyle="1" w:styleId="QuoteChar">
    <w:name w:val="Quote Char"/>
    <w:basedOn w:val="DefaultParagraphFont"/>
    <w:link w:val="Quote"/>
    <w:rsid w:val="001C7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954"/>
    <w:pPr>
      <w:pageBreakBefore/>
    </w:pPr>
  </w:style>
  <w:style w:type="paragraph" w:customStyle="1" w:styleId="Border">
    <w:name w:val="Border"/>
    <w:basedOn w:val="Normal"/>
    <w:qFormat/>
    <w:rsid w:val="001C7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954"/>
    <w:rPr>
      <w:b/>
      <w:bCs/>
      <w:i/>
      <w:iCs/>
      <w:color w:val="auto"/>
    </w:rPr>
  </w:style>
  <w:style w:type="paragraph" w:styleId="IntenseQuote">
    <w:name w:val="Intense Quote"/>
    <w:basedOn w:val="Normal"/>
    <w:next w:val="Normal"/>
    <w:link w:val="IntenseQuoteChar"/>
    <w:uiPriority w:val="30"/>
    <w:qFormat/>
    <w:rsid w:val="001C7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954"/>
    <w:rPr>
      <w:smallCaps/>
      <w:color w:val="auto"/>
      <w:u w:val="single"/>
    </w:rPr>
  </w:style>
  <w:style w:type="character" w:styleId="IntenseReference">
    <w:name w:val="Intense Reference"/>
    <w:basedOn w:val="DefaultParagraphFont"/>
    <w:uiPriority w:val="32"/>
    <w:qFormat/>
    <w:rsid w:val="001C7954"/>
    <w:rPr>
      <w:b/>
      <w:bCs/>
      <w:smallCaps/>
      <w:color w:val="auto"/>
      <w:spacing w:val="5"/>
      <w:u w:val="single"/>
    </w:rPr>
  </w:style>
  <w:style w:type="paragraph" w:customStyle="1" w:styleId="2ColumnHeading">
    <w:name w:val="2Column Heading"/>
    <w:basedOn w:val="BodyText"/>
    <w:qFormat/>
    <w:rsid w:val="001C7954"/>
    <w:pPr>
      <w:spacing w:after="60"/>
      <w:ind w:left="-2268"/>
    </w:pPr>
    <w:rPr>
      <w:b/>
    </w:rPr>
  </w:style>
  <w:style w:type="paragraph" w:customStyle="1" w:styleId="Heading1TOC">
    <w:name w:val="Heading1 TOC"/>
    <w:basedOn w:val="Normal"/>
    <w:qFormat/>
    <w:rsid w:val="001C7954"/>
    <w:pPr>
      <w:spacing w:before="240" w:after="120"/>
    </w:pPr>
    <w:rPr>
      <w:rFonts w:ascii="Times New Roman" w:hAnsi="Times New Roman"/>
      <w:b/>
      <w:sz w:val="32"/>
    </w:rPr>
  </w:style>
  <w:style w:type="paragraph" w:customStyle="1" w:styleId="Heading2TOC">
    <w:name w:val="Heading2 TOC"/>
    <w:basedOn w:val="Normal"/>
    <w:qFormat/>
    <w:rsid w:val="001C7954"/>
    <w:pPr>
      <w:spacing w:before="240" w:after="60"/>
    </w:pPr>
    <w:rPr>
      <w:rFonts w:ascii="Times New Roman" w:hAnsi="Times New Roman"/>
      <w:b/>
      <w:sz w:val="28"/>
    </w:rPr>
  </w:style>
  <w:style w:type="character" w:customStyle="1" w:styleId="Underline">
    <w:name w:val="Underline"/>
    <w:basedOn w:val="DefaultParagraphFont"/>
    <w:qFormat/>
    <w:rsid w:val="001C7954"/>
    <w:rPr>
      <w:u w:val="single"/>
    </w:rPr>
  </w:style>
  <w:style w:type="character" w:customStyle="1" w:styleId="BoldandItalics">
    <w:name w:val="Bold and Italics"/>
    <w:qFormat/>
    <w:rsid w:val="001C7954"/>
    <w:rPr>
      <w:b/>
      <w:i/>
      <w:u w:val="none"/>
    </w:rPr>
  </w:style>
  <w:style w:type="paragraph" w:styleId="BalloonText">
    <w:name w:val="Balloon Text"/>
    <w:basedOn w:val="Normal"/>
    <w:link w:val="BalloonTextChar"/>
    <w:rsid w:val="001C7954"/>
    <w:rPr>
      <w:rFonts w:ascii="Tahoma" w:hAnsi="Tahoma" w:cs="Tahoma"/>
      <w:sz w:val="16"/>
      <w:szCs w:val="16"/>
    </w:rPr>
  </w:style>
  <w:style w:type="character" w:customStyle="1" w:styleId="BalloonTextChar">
    <w:name w:val="Balloon Text Char"/>
    <w:basedOn w:val="DefaultParagraphFont"/>
    <w:link w:val="BalloonText"/>
    <w:rsid w:val="001C7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954"/>
    <w:rPr>
      <w:b/>
      <w:color w:val="660033"/>
      <w:spacing w:val="0"/>
    </w:rPr>
  </w:style>
  <w:style w:type="paragraph" w:customStyle="1" w:styleId="Nameditemlist">
    <w:name w:val="Named item list"/>
    <w:basedOn w:val="BodyText"/>
    <w:qFormat/>
    <w:rsid w:val="001C7954"/>
    <w:pPr>
      <w:tabs>
        <w:tab w:val="left" w:pos="2835"/>
      </w:tabs>
      <w:ind w:left="2835" w:hanging="2835"/>
    </w:pPr>
  </w:style>
  <w:style w:type="paragraph" w:customStyle="1" w:styleId="BodyTextnopadding">
    <w:name w:val="Body Text no padding"/>
    <w:basedOn w:val="BodyText"/>
    <w:qFormat/>
    <w:rsid w:val="001C7954"/>
    <w:pPr>
      <w:spacing w:before="0" w:after="0"/>
    </w:pPr>
  </w:style>
  <w:style w:type="paragraph" w:customStyle="1" w:styleId="BodyTextBold">
    <w:name w:val="Body Text Bold"/>
    <w:basedOn w:val="BodyText"/>
    <w:qFormat/>
    <w:rsid w:val="001C7954"/>
    <w:rPr>
      <w:b/>
    </w:rPr>
  </w:style>
  <w:style w:type="character" w:styleId="Hyperlink">
    <w:name w:val="Hyperlink"/>
    <w:basedOn w:val="DefaultParagraphFont"/>
    <w:uiPriority w:val="99"/>
    <w:unhideWhenUsed/>
    <w:rsid w:val="00874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4389</Characters>
  <Application>Microsoft Office Word</Application>
  <DocSecurity>0</DocSecurity>
  <Lines>133</Lines>
  <Paragraphs>75</Paragraphs>
  <ScaleCrop>false</ScaleCrop>
  <Company>Author-it Software Corporation Ltd.</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PSPWPI008 Evaluate and report on workplace legislative compliance</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