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00E" w:rsidP="002B5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PSPTIS146 Negotiate translating or interpreting assignments</w:t>
      </w:r>
      <w:r>
        <w:fldChar w:fldCharType="end"/>
      </w:r>
    </w:p>
    <w:p w:rsidR="002B500E" w:rsidP="002B500E">
      <w:pPr>
        <w:pStyle w:val="Version"/>
        <w:sectPr w:rsidSect="00E64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C3C" w:rsidP="00E64C3C">
      <w:pPr>
        <w:pStyle w:val="SuperHeading"/>
      </w:pPr>
      <w:r w:rsidRPr="00E64C3C">
        <w:t>PSPTIS146 Negotiate translating or interpreting assignments</w:t>
      </w:r>
    </w:p>
    <w:p w:rsidR="00000000" w:rsidRPr="00E64C3C" w:rsidP="00E64C3C">
      <w:pPr>
        <w:pStyle w:val="Heading1"/>
      </w:pPr>
      <w:bookmarkStart w:id="1" w:name="O_1267148"/>
      <w:bookmarkEnd w:id="1"/>
      <w:r w:rsidRPr="00E64C3C">
        <w:t>Modification History</w:t>
      </w:r>
    </w:p>
    <w:p w:rsidR="00000000" w:rsidRPr="00E64C3C" w:rsidP="002B500E">
      <w:pPr>
        <w:pStyle w:val="BodyText"/>
      </w:pPr>
      <w:r w:rsidRPr="00E64C3C">
        <w:t>Not applicable.</w:t>
      </w:r>
    </w:p>
    <w:p w:rsidR="00000000" w:rsidRPr="00E64C3C" w:rsidP="00E64C3C">
      <w:pPr>
        <w:pStyle w:val="Heading1"/>
      </w:pPr>
      <w:bookmarkStart w:id="2" w:name="O_1267153"/>
      <w:bookmarkEnd w:id="2"/>
      <w:r w:rsidRPr="00E64C3C">
        <w:t>Application</w:t>
      </w:r>
    </w:p>
    <w:p w:rsidR="00000000" w:rsidRPr="00E64C3C" w:rsidP="002B500E">
      <w:pPr>
        <w:pStyle w:val="BodyText"/>
      </w:pPr>
      <w:r w:rsidRPr="00E64C3C">
        <w:t>This unit describes the performance outcomes, skills and knowledge required to collect and assess information about the nature and conditions of translating or interpreti</w:t>
      </w:r>
      <w:r w:rsidRPr="00E64C3C">
        <w:t>ng assignments, to review personal competence to undertake an assignment and to negotiate an agreed approach to assignments with clients and booking agencies.</w:t>
      </w:r>
    </w:p>
    <w:p w:rsidR="00000000" w:rsidRPr="00E64C3C" w:rsidP="002B500E">
      <w:pPr>
        <w:pStyle w:val="BodyText"/>
      </w:pPr>
      <w:r w:rsidRPr="00E64C3C">
        <w:t>This unit applies to those working as translators or interpreters in a range of contexts.</w:t>
      </w:r>
    </w:p>
    <w:p w:rsidR="00000000" w:rsidRPr="00E64C3C" w:rsidP="002B500E">
      <w:pPr>
        <w:pStyle w:val="BodyText"/>
      </w:pPr>
      <w:r w:rsidRPr="00E64C3C">
        <w:t>The ski</w:t>
      </w:r>
      <w:r w:rsidRPr="00E64C3C">
        <w:t>lls in this unit must be applied in accordance with Commonwealth and State or Territory legislation, Australian Standards and industry codes of practice.</w:t>
      </w:r>
    </w:p>
    <w:p w:rsidR="00000000" w:rsidRPr="00E64C3C" w:rsidP="002B500E">
      <w:pPr>
        <w:pStyle w:val="BodyText"/>
      </w:pPr>
      <w:r w:rsidRPr="00E64C3C">
        <w:t>No occupational licensing, certification or specific legislative requirements apply to this unit at th</w:t>
      </w:r>
      <w:r w:rsidRPr="00E64C3C">
        <w:t>e time of publication.</w:t>
      </w:r>
    </w:p>
    <w:p w:rsidR="00000000" w:rsidRPr="00E64C3C" w:rsidP="00E64C3C">
      <w:pPr>
        <w:pStyle w:val="Heading1"/>
      </w:pPr>
      <w:bookmarkStart w:id="3" w:name="O_1267152"/>
      <w:bookmarkEnd w:id="3"/>
      <w:r w:rsidRPr="00E64C3C">
        <w:t>Competency Field</w:t>
      </w:r>
    </w:p>
    <w:p w:rsidR="00000000" w:rsidRPr="00E64C3C" w:rsidP="002B500E">
      <w:pPr>
        <w:pStyle w:val="BodyText"/>
      </w:pPr>
      <w:r w:rsidRPr="00E64C3C">
        <w:t>Translating and Interpreting</w:t>
      </w:r>
    </w:p>
    <w:p w:rsidR="00000000" w:rsidRPr="00E64C3C" w:rsidP="00E64C3C">
      <w:pPr>
        <w:pStyle w:val="Heading1"/>
      </w:pPr>
      <w:bookmarkStart w:id="4" w:name="O_1267151"/>
      <w:bookmarkEnd w:id="4"/>
      <w:r w:rsidRPr="00E64C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3C" w:rsidP="00E64C3C">
            <w:pPr>
              <w:pStyle w:val="BodyText"/>
            </w:pPr>
            <w:r w:rsidRPr="00E64C3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3C">
            <w:pPr>
              <w:pStyle w:val="BodyText"/>
              <w:rPr>
                <w:lang w:val="en-NZ"/>
              </w:rPr>
            </w:pPr>
            <w:r w:rsidRPr="00E64C3C">
              <w:rPr>
                <w:rStyle w:val="SpecialBold"/>
              </w:rPr>
              <w:t>PERFORMANCE</w:t>
            </w:r>
            <w:r w:rsidRPr="00E64C3C">
              <w:t xml:space="preserve"> </w:t>
            </w:r>
            <w:r w:rsidRPr="00E64C3C">
              <w:rPr>
                <w:rStyle w:val="SpecialBold"/>
              </w:rPr>
              <w:t>CRITERIA</w:t>
            </w:r>
          </w:p>
        </w:tc>
      </w:tr>
      <w:tr w:rsidTr="00E6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3C" w:rsidP="00E64C3C">
            <w:pPr>
              <w:pStyle w:val="BodyText"/>
            </w:pPr>
            <w:r w:rsidRPr="00E64C3C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3C">
            <w:pPr>
              <w:pStyle w:val="BodyText"/>
              <w:rPr>
                <w:lang w:val="en-NZ"/>
              </w:rPr>
            </w:pPr>
            <w:r w:rsidRPr="00E64C3C">
              <w:rPr>
                <w:rStyle w:val="Emphasis"/>
              </w:rPr>
              <w:t>Performance criteria describe the performa</w:t>
            </w:r>
            <w:r w:rsidRPr="00E64C3C">
              <w:rPr>
                <w:rStyle w:val="Emphasis"/>
              </w:rPr>
              <w:t>nce needed to demonstrate achievement of the element.</w:t>
            </w:r>
          </w:p>
        </w:tc>
      </w:tr>
      <w:tr w:rsidTr="00E6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3C">
            <w:pPr>
              <w:pStyle w:val="List"/>
              <w:rPr>
                <w:lang w:val="en-NZ"/>
              </w:rPr>
            </w:pPr>
            <w:r w:rsidRPr="00E64C3C">
              <w:t>1.  Collect and assess assignment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3C" w:rsidP="00E64C3C">
            <w:pPr>
              <w:pStyle w:val="List"/>
            </w:pPr>
            <w:r w:rsidRPr="00E64C3C">
              <w:t>1.1. Clarify the scope of assignments with clients, including terms and conditions and any specific requirements.</w:t>
            </w:r>
          </w:p>
          <w:p w:rsidR="00000000" w:rsidRPr="00E64C3C" w:rsidP="00E64C3C">
            <w:pPr>
              <w:pStyle w:val="List"/>
            </w:pPr>
            <w:r w:rsidRPr="00E64C3C">
              <w:t>1.2. Analyse background information for details of the nature and conditions of assignments.</w:t>
            </w:r>
          </w:p>
          <w:p w:rsidR="00000000" w:rsidP="00E64C3C">
            <w:pPr>
              <w:pStyle w:val="List"/>
              <w:rPr>
                <w:lang w:val="en-NZ"/>
              </w:rPr>
            </w:pPr>
            <w:r w:rsidRPr="00E64C3C">
              <w:t>1.3. Identify performance expectations and their implications for undertaking the assignment.</w:t>
            </w:r>
          </w:p>
        </w:tc>
      </w:tr>
      <w:tr w:rsidTr="00E6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3C">
            <w:pPr>
              <w:pStyle w:val="List"/>
              <w:rPr>
                <w:lang w:val="en-NZ"/>
              </w:rPr>
            </w:pPr>
            <w:r w:rsidRPr="00E64C3C">
              <w:t>2.  Assess ability to complete assignment.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3C" w:rsidP="00E64C3C">
            <w:pPr>
              <w:pStyle w:val="List"/>
            </w:pPr>
            <w:r w:rsidRPr="00E64C3C">
              <w:t xml:space="preserve">2.1. Identify and assess </w:t>
            </w:r>
            <w:r w:rsidRPr="00E64C3C">
              <w:t>limits and responsibilities and their implications.</w:t>
            </w:r>
          </w:p>
          <w:p w:rsidR="00000000" w:rsidRPr="00E64C3C" w:rsidP="00E64C3C">
            <w:pPr>
              <w:pStyle w:val="List"/>
            </w:pPr>
            <w:r w:rsidRPr="00E64C3C">
              <w:t>2.2. Undertake risk analysis and identify concerns.</w:t>
            </w:r>
          </w:p>
          <w:p w:rsidR="00000000" w:rsidRPr="00E64C3C" w:rsidP="00E64C3C">
            <w:pPr>
              <w:pStyle w:val="List"/>
            </w:pPr>
            <w:r w:rsidRPr="00E64C3C">
              <w:t>2.3. Seek advice to inform decision-making process.</w:t>
            </w:r>
          </w:p>
          <w:p w:rsidR="00000000" w:rsidP="00E64C3C">
            <w:pPr>
              <w:pStyle w:val="List"/>
              <w:rPr>
                <w:lang w:val="en-NZ"/>
              </w:rPr>
            </w:pPr>
            <w:r w:rsidRPr="00E64C3C">
              <w:t xml:space="preserve">2.4. Evaluate personal competence and preparedness to satisfy assignment requirements and areas for </w:t>
            </w:r>
            <w:r w:rsidRPr="00E64C3C">
              <w:t>negotiation with clients.</w:t>
            </w:r>
          </w:p>
        </w:tc>
      </w:tr>
      <w:tr w:rsidTr="00E6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3C">
            <w:pPr>
              <w:pStyle w:val="List"/>
              <w:rPr>
                <w:lang w:val="en-NZ"/>
              </w:rPr>
            </w:pPr>
            <w:r w:rsidRPr="00E64C3C">
              <w:t>3.  Respond to assignment proposal.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3C" w:rsidP="00E64C3C">
            <w:pPr>
              <w:pStyle w:val="List"/>
            </w:pPr>
            <w:r w:rsidRPr="00E64C3C">
              <w:t>3.1. Provide information to clients or booking agency on terms, conditions and conventions to inform an agreed arrangement.</w:t>
            </w:r>
          </w:p>
          <w:p w:rsidR="00000000" w:rsidRPr="00E64C3C" w:rsidP="00E64C3C">
            <w:pPr>
              <w:pStyle w:val="List"/>
            </w:pPr>
            <w:r w:rsidRPr="00E64C3C">
              <w:t>3.2. Negotiate approach and working and remuneration conditions with clients or booking agency.</w:t>
            </w:r>
          </w:p>
          <w:p w:rsidR="00000000" w:rsidRPr="00E64C3C" w:rsidP="00E64C3C">
            <w:pPr>
              <w:pStyle w:val="List"/>
            </w:pPr>
            <w:r w:rsidRPr="00E64C3C">
              <w:t>3.3. Advise client or booking agency of decision to accept or decline the assignment.</w:t>
            </w:r>
          </w:p>
          <w:p w:rsidR="00000000" w:rsidRPr="00E64C3C" w:rsidP="00E64C3C">
            <w:pPr>
              <w:pStyle w:val="List"/>
            </w:pPr>
            <w:r w:rsidRPr="00E64C3C">
              <w:t>3.4. Review decision-making process and record outcomes and agreements for</w:t>
            </w:r>
            <w:r w:rsidRPr="00E64C3C">
              <w:t xml:space="preserve"> future reference.</w:t>
            </w:r>
          </w:p>
        </w:tc>
      </w:tr>
    </w:tbl>
    <w:p w:rsidR="00000000" w:rsidRPr="00E64C3C" w:rsidP="00E64C3C">
      <w:pPr>
        <w:pStyle w:val="List"/>
      </w:pPr>
    </w:p>
    <w:p w:rsidR="00000000" w:rsidRPr="00E64C3C" w:rsidP="00E64C3C">
      <w:pPr>
        <w:pStyle w:val="AllowPageBreak"/>
      </w:pPr>
    </w:p>
    <w:p w:rsidR="00000000" w:rsidRPr="00E64C3C" w:rsidP="00E64C3C">
      <w:pPr>
        <w:pStyle w:val="Heading1"/>
      </w:pPr>
      <w:bookmarkStart w:id="5" w:name="O_1267150"/>
      <w:bookmarkEnd w:id="5"/>
      <w:r w:rsidRPr="00E64C3C">
        <w:t>Foundation Skills</w:t>
      </w:r>
    </w:p>
    <w:p w:rsidR="00000000" w:rsidRPr="002B500E" w:rsidP="002B500E">
      <w:pPr>
        <w:pStyle w:val="BodyText"/>
        <w:rPr>
          <w:i/>
        </w:rPr>
      </w:pPr>
      <w:r w:rsidRPr="002B500E">
        <w:rPr>
          <w:rStyle w:val="Emphasis"/>
        </w:rPr>
        <w:t>Foundation skills essential to performance are explicit in the performance criteria of this unit of competency.</w:t>
      </w:r>
    </w:p>
    <w:p w:rsidR="00000000" w:rsidRPr="00E64C3C" w:rsidP="00E64C3C">
      <w:pPr>
        <w:pStyle w:val="Heading1"/>
      </w:pPr>
      <w:bookmarkStart w:id="6" w:name="O_1267149"/>
      <w:bookmarkEnd w:id="6"/>
      <w:r w:rsidRPr="00E64C3C">
        <w:t>Unit Mapping Information</w:t>
      </w:r>
    </w:p>
    <w:p w:rsidR="00000000" w:rsidRPr="00E64C3C" w:rsidP="002B500E">
      <w:pPr>
        <w:pStyle w:val="BodyText"/>
      </w:pPr>
      <w:r w:rsidRPr="00E64C3C">
        <w:t xml:space="preserve">Supersedes and is equivalent to PSPTIS101 </w:t>
      </w:r>
      <w:r w:rsidRPr="00E64C3C">
        <w:t>Negotiate translating and interpreting assignments.</w:t>
      </w:r>
    </w:p>
    <w:p w:rsidR="00000000" w:rsidRPr="00E64C3C" w:rsidP="00E64C3C">
      <w:pPr>
        <w:pStyle w:val="Heading1"/>
      </w:pPr>
      <w:bookmarkStart w:id="7" w:name="O_1267142"/>
      <w:bookmarkEnd w:id="7"/>
      <w:r w:rsidRPr="00E64C3C">
        <w:t>Links</w:t>
      </w:r>
    </w:p>
    <w:p w:rsidR="00000000" w:rsidRPr="00E64C3C" w:rsidP="002B500E">
      <w:pPr>
        <w:pStyle w:val="BodyText"/>
      </w:pPr>
      <w:r w:rsidRPr="00E64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0D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4C3C" w:rsidP="002B500E">
      <w:pPr>
        <w:pStyle w:val="BodyText"/>
        <w:sectPr w:rsidSect="00E64C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4C3C" w:rsidP="00E64C3C">
      <w:pPr>
        <w:pStyle w:val="SuperHeading"/>
      </w:pPr>
      <w:r w:rsidRPr="00E64C3C">
        <w:t>Assessment Requirements for PSPTIS146 Negotiate translating or interpreting assignments</w:t>
      </w:r>
    </w:p>
    <w:p w:rsidR="00000000" w:rsidRPr="00E64C3C" w:rsidP="00E64C3C">
      <w:pPr>
        <w:pStyle w:val="Heading1"/>
      </w:pPr>
      <w:bookmarkStart w:id="8" w:name="O_1267144"/>
      <w:bookmarkEnd w:id="8"/>
      <w:r w:rsidRPr="00E64C3C">
        <w:t>Modification History</w:t>
      </w:r>
    </w:p>
    <w:p w:rsidR="00000000" w:rsidRPr="00E64C3C" w:rsidP="002B500E">
      <w:pPr>
        <w:pStyle w:val="BodyText"/>
      </w:pPr>
      <w:r w:rsidRPr="00E64C3C">
        <w:t>Not applicable.</w:t>
      </w:r>
    </w:p>
    <w:p w:rsidR="00000000" w:rsidRPr="00E64C3C" w:rsidP="00E64C3C">
      <w:pPr>
        <w:pStyle w:val="Heading1"/>
      </w:pPr>
      <w:bookmarkStart w:id="9" w:name="O_1267147"/>
      <w:bookmarkEnd w:id="9"/>
      <w:r w:rsidRPr="00E64C3C">
        <w:t>Performance Evidence</w:t>
      </w:r>
    </w:p>
    <w:p w:rsidR="00000000" w:rsidRPr="00E64C3C" w:rsidP="002B500E">
      <w:pPr>
        <w:pStyle w:val="BodyText"/>
      </w:pPr>
      <w:r w:rsidRPr="00E64C3C">
        <w:t>Evidence of the ability to complete tasks outlined i</w:t>
      </w:r>
      <w:r w:rsidRPr="00E64C3C">
        <w:t>n elements and performance criteria of this unit in the context of the job role, and:</w:t>
      </w:r>
    </w:p>
    <w:p w:rsidR="00000000" w:rsidRPr="00E64C3C" w:rsidP="00E64C3C">
      <w:pPr>
        <w:pStyle w:val="ListBullet"/>
      </w:pPr>
      <w:r w:rsidRPr="00E64C3C">
        <w:t>negotiate a translating or interpreting assignment on at least two occasions, including:</w:t>
      </w:r>
    </w:p>
    <w:p w:rsidR="00000000" w:rsidRPr="00E64C3C" w:rsidP="00E64C3C">
      <w:pPr>
        <w:pStyle w:val="ListBullet2"/>
      </w:pPr>
      <w:r w:rsidRPr="00E64C3C">
        <w:t>identifying the scope of the assignment and calculating fees, based on direct a</w:t>
      </w:r>
      <w:r w:rsidRPr="00E64C3C">
        <w:t>nd indirect costs</w:t>
      </w:r>
    </w:p>
    <w:p w:rsidR="00000000" w:rsidRPr="00E64C3C" w:rsidP="00E64C3C">
      <w:pPr>
        <w:pStyle w:val="ListBullet2"/>
      </w:pPr>
      <w:r w:rsidRPr="00E64C3C">
        <w:t>analysing translating or interpreting processes, desired outcomes and potential difficulties</w:t>
      </w:r>
    </w:p>
    <w:p w:rsidR="00000000" w:rsidRPr="00E64C3C" w:rsidP="00E64C3C">
      <w:pPr>
        <w:pStyle w:val="ListBullet2"/>
      </w:pPr>
      <w:r w:rsidRPr="00E64C3C">
        <w:t>analysing implications of working with people from diverse social, cultural and ethnic backgrounds and with diverse levels of communication</w:t>
      </w:r>
    </w:p>
    <w:p w:rsidR="00000000" w:rsidRPr="00E64C3C" w:rsidP="00E64C3C">
      <w:pPr>
        <w:pStyle w:val="ListBullet2"/>
      </w:pPr>
      <w:r w:rsidRPr="00E64C3C">
        <w:t>discu</w:t>
      </w:r>
      <w:r w:rsidRPr="00E64C3C">
        <w:t>ssing and confirming with clients translating or interpreting protocols and expectations</w:t>
      </w:r>
    </w:p>
    <w:p w:rsidR="00000000" w:rsidRPr="00E64C3C" w:rsidP="00E64C3C">
      <w:pPr>
        <w:pStyle w:val="ListBullet2"/>
      </w:pPr>
      <w:r w:rsidRPr="00E64C3C">
        <w:t>confirming cross-cultural expectations</w:t>
      </w:r>
    </w:p>
    <w:p w:rsidR="00000000" w:rsidRPr="00E64C3C" w:rsidP="00E64C3C">
      <w:pPr>
        <w:pStyle w:val="ListBullet"/>
      </w:pPr>
      <w:r w:rsidRPr="00E64C3C">
        <w:t>undertaking personal competency mapping to inform above negotiations.</w:t>
      </w:r>
    </w:p>
    <w:p w:rsidR="00000000" w:rsidRPr="00E64C3C" w:rsidP="00E64C3C">
      <w:pPr>
        <w:pStyle w:val="AllowPageBreak"/>
      </w:pPr>
    </w:p>
    <w:p w:rsidR="00000000" w:rsidRPr="00E64C3C" w:rsidP="00E64C3C">
      <w:pPr>
        <w:pStyle w:val="Heading1"/>
      </w:pPr>
      <w:bookmarkStart w:id="10" w:name="O_1267146"/>
      <w:bookmarkEnd w:id="10"/>
      <w:r w:rsidRPr="00E64C3C">
        <w:t>Knowledge Evidence</w:t>
      </w:r>
    </w:p>
    <w:p w:rsidR="00000000" w:rsidRPr="00E64C3C" w:rsidP="002B500E">
      <w:pPr>
        <w:pStyle w:val="BodyText"/>
      </w:pPr>
      <w:r w:rsidRPr="00E64C3C">
        <w:t>Demonstrated knowledge required to complete the tasks outlined in elements and performance criteria of this unit:</w:t>
      </w:r>
    </w:p>
    <w:p w:rsidR="00000000" w:rsidRPr="00E64C3C" w:rsidP="00E64C3C">
      <w:pPr>
        <w:pStyle w:val="ListBullet"/>
      </w:pPr>
      <w:r w:rsidRPr="00E64C3C">
        <w:t>financial, legal and personal risks to client from miscommunication</w:t>
      </w:r>
    </w:p>
    <w:p w:rsidR="00000000" w:rsidRPr="00E64C3C" w:rsidP="00E64C3C">
      <w:pPr>
        <w:pStyle w:val="ListBullet"/>
      </w:pPr>
      <w:r w:rsidRPr="00E64C3C">
        <w:t>personal safety and welfare issues related to specific assignments and po</w:t>
      </w:r>
      <w:r w:rsidRPr="00E64C3C">
        <w:t>tential risks</w:t>
      </w:r>
    </w:p>
    <w:p w:rsidR="00000000" w:rsidRPr="00E64C3C" w:rsidP="00E64C3C">
      <w:pPr>
        <w:pStyle w:val="ListBullet"/>
      </w:pPr>
      <w:r w:rsidRPr="00E64C3C">
        <w:t>professional procedures, ethical practices and business standards applicable to negotiating an assignment</w:t>
      </w:r>
    </w:p>
    <w:p w:rsidR="00000000" w:rsidRPr="00E64C3C" w:rsidP="00E64C3C">
      <w:pPr>
        <w:pStyle w:val="ListBullet"/>
      </w:pPr>
      <w:r w:rsidRPr="00E64C3C">
        <w:t>roles and responsibilities of translators or interpreters and their associated skills relevant to work role</w:t>
      </w:r>
    </w:p>
    <w:p w:rsidR="00000000" w:rsidRPr="00E64C3C" w:rsidP="00E64C3C">
      <w:pPr>
        <w:pStyle w:val="ListBullet"/>
      </w:pPr>
      <w:r w:rsidRPr="00E64C3C">
        <w:t>tools and equipment relevant</w:t>
      </w:r>
      <w:r w:rsidRPr="00E64C3C">
        <w:t xml:space="preserve"> to assignment.</w:t>
      </w:r>
    </w:p>
    <w:p w:rsidR="00000000" w:rsidRPr="00E64C3C" w:rsidP="00E64C3C">
      <w:pPr>
        <w:pStyle w:val="AllowPageBreak"/>
      </w:pPr>
    </w:p>
    <w:p w:rsidR="00000000" w:rsidRPr="00E64C3C" w:rsidP="00E64C3C">
      <w:pPr>
        <w:pStyle w:val="Heading1"/>
      </w:pPr>
      <w:bookmarkStart w:id="11" w:name="O_1267145"/>
      <w:bookmarkEnd w:id="11"/>
      <w:r w:rsidRPr="00E64C3C">
        <w:t>Assessment Conditions</w:t>
      </w:r>
    </w:p>
    <w:p w:rsidR="00000000" w:rsidRPr="00E64C3C" w:rsidP="002B500E">
      <w:pPr>
        <w:pStyle w:val="BodyText"/>
      </w:pPr>
      <w:r w:rsidRPr="00E64C3C">
        <w:t>Skills must be demonstrated in a workplace or simulated environment that reflects workplace conditions.</w:t>
      </w:r>
    </w:p>
    <w:p w:rsidR="00000000" w:rsidRPr="00E64C3C" w:rsidP="002B500E">
      <w:pPr>
        <w:pStyle w:val="BodyText"/>
      </w:pPr>
      <w:r w:rsidRPr="00E64C3C">
        <w:t>Assessment must ensure access to:</w:t>
      </w:r>
    </w:p>
    <w:p w:rsidR="00000000" w:rsidRPr="00E64C3C" w:rsidP="00E64C3C">
      <w:pPr>
        <w:pStyle w:val="ListBullet"/>
      </w:pPr>
      <w:r w:rsidRPr="00E64C3C">
        <w:t>negotiated agreements with diverse client requirements and conditions.</w:t>
      </w:r>
    </w:p>
    <w:p w:rsidR="00000000" w:rsidRPr="00E64C3C" w:rsidP="002B500E">
      <w:pPr>
        <w:pStyle w:val="BodyText"/>
      </w:pPr>
      <w:r w:rsidRPr="00E64C3C">
        <w:t>Assessors must satisfy the Standards for Registered Training Organisations’ requirements for assessors.</w:t>
      </w:r>
    </w:p>
    <w:p w:rsidR="00000000" w:rsidRPr="00E64C3C" w:rsidP="00E64C3C">
      <w:pPr>
        <w:pStyle w:val="Heading1"/>
      </w:pPr>
      <w:bookmarkStart w:id="12" w:name="O_1267143"/>
      <w:bookmarkEnd w:id="12"/>
      <w:r w:rsidRPr="00E64C3C">
        <w:t>Links</w:t>
      </w:r>
    </w:p>
    <w:p w:rsidR="00000000" w:rsidRPr="00E64C3C" w:rsidP="002B500E">
      <w:pPr>
        <w:pStyle w:val="BodyText"/>
      </w:pPr>
      <w:r w:rsidRPr="00E64C3C">
        <w:t>Companion Volume implementation guides are found in VETN</w:t>
      </w:r>
      <w:r w:rsidRPr="00E64C3C">
        <w:t xml:space="preserve">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40D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4C3C" w:rsidP="00E64C3C"/>
    <w:sectPr w:rsidSect="00E64C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3C" w:rsidRPr="002B500E" w:rsidP="002B5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0E" w:rsidP="00E64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00E" w:rsidP="00E64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B500E" w:rsidP="00E64C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3C" w:rsidP="00E64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00E">
      <w:t>Approved</w:t>
    </w:r>
    <w:r w:rsidR="002B50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0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00E">
      <w:rPr>
        <w:noProof/>
      </w:rPr>
      <w:t>4</w:t>
    </w:r>
    <w:r>
      <w:rPr>
        <w:noProof/>
      </w:rPr>
      <w:fldChar w:fldCharType="end"/>
    </w:r>
  </w:p>
  <w:p w:rsidR="00E64C3C" w:rsidP="00E64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0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00E">
      <w:t>Public Skills Australia</w:t>
    </w:r>
    <w:r w:rsidR="002B500E">
      <w:fldChar w:fldCharType="end"/>
    </w:r>
  </w:p>
  <w:p w:rsidR="00E64C3C" w:rsidP="00E64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C3C" w:rsidRPr="002B500E" w:rsidP="002B5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0E" w:rsidRPr="002D2AF8" w:rsidP="00E64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PSPTIS146 Negotiate translating or interpreting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500E" w:rsidP="00E64C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3C" w:rsidRPr="002D2AF8" w:rsidP="00E64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00E">
      <w:t>PSPTIS146 Negotiate translating or interpreting assignments</w:t>
    </w:r>
    <w:r w:rsidR="002B50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00E">
      <w:rPr>
        <w:noProof/>
      </w:rPr>
      <w:t>2 March 2025</w:t>
    </w:r>
    <w:r>
      <w:fldChar w:fldCharType="end"/>
    </w:r>
  </w:p>
  <w:p w:rsidR="00E64C3C" w:rsidP="00E64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382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09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2AC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C3C"/>
  </w:style>
  <w:style w:type="character" w:customStyle="1" w:styleId="Heading1Char">
    <w:name w:val="Heading 1 Char"/>
    <w:basedOn w:val="DefaultParagraphFont"/>
    <w:link w:val="Heading1"/>
    <w:rsid w:val="00E64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C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C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C3C"/>
    <w:rPr>
      <w:b/>
      <w:spacing w:val="0"/>
    </w:rPr>
  </w:style>
  <w:style w:type="paragraph" w:styleId="ListBullet2">
    <w:name w:val="List Bullet 2"/>
    <w:basedOn w:val="List2"/>
    <w:rsid w:val="00E64C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4C3C"/>
    <w:rPr>
      <w:i/>
    </w:rPr>
  </w:style>
  <w:style w:type="paragraph" w:customStyle="1" w:styleId="SuperHeading">
    <w:name w:val="SuperHeading"/>
    <w:basedOn w:val="Normal"/>
    <w:rsid w:val="00E64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C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C3C"/>
  </w:style>
  <w:style w:type="paragraph" w:styleId="TableofFigures">
    <w:name w:val="table of figures"/>
    <w:basedOn w:val="Normal"/>
    <w:next w:val="Normal"/>
    <w:semiHidden/>
    <w:rsid w:val="00E64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C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C3C"/>
    <w:rPr>
      <w:rFonts w:ascii="Wingdings" w:hAnsi="Wingdings"/>
    </w:rPr>
  </w:style>
  <w:style w:type="paragraph" w:customStyle="1" w:styleId="TableHeading">
    <w:name w:val="Table Heading"/>
    <w:basedOn w:val="HeadingBase"/>
    <w:rsid w:val="00E64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C3C"/>
    <w:rPr>
      <w:color w:val="0033CC"/>
      <w:u w:val="none"/>
    </w:rPr>
  </w:style>
  <w:style w:type="paragraph" w:customStyle="1" w:styleId="BodyTextRight">
    <w:name w:val="Body Text Right"/>
    <w:basedOn w:val="BodyText"/>
    <w:rsid w:val="00E64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C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C3C"/>
    <w:rPr>
      <w:sz w:val="32"/>
    </w:rPr>
  </w:style>
  <w:style w:type="paragraph" w:customStyle="1" w:styleId="HeadingProcedure">
    <w:name w:val="Heading Procedure"/>
    <w:basedOn w:val="HeadingBase"/>
    <w:next w:val="Normal"/>
    <w:rsid w:val="00E64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C3C"/>
    <w:pPr>
      <w:spacing w:before="60" w:after="60"/>
    </w:pPr>
  </w:style>
  <w:style w:type="paragraph" w:styleId="ListContinue">
    <w:name w:val="List Continue"/>
    <w:basedOn w:val="List"/>
    <w:rsid w:val="00E64C3C"/>
    <w:pPr>
      <w:ind w:firstLine="0"/>
    </w:pPr>
  </w:style>
  <w:style w:type="paragraph" w:customStyle="1" w:styleId="ListNote">
    <w:name w:val="List Note"/>
    <w:basedOn w:val="List"/>
    <w:rsid w:val="00E64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C3C"/>
    <w:rPr>
      <w:rFonts w:ascii="Courier New" w:hAnsi="Courier New"/>
    </w:rPr>
  </w:style>
  <w:style w:type="paragraph" w:customStyle="1" w:styleId="NoteBullet">
    <w:name w:val="Note Bullet"/>
    <w:basedOn w:val="Note"/>
    <w:rsid w:val="00E64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C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C3C"/>
    <w:rPr>
      <w:b/>
      <w:smallCaps/>
    </w:rPr>
  </w:style>
  <w:style w:type="paragraph" w:customStyle="1" w:styleId="TableListNumber">
    <w:name w:val="Table List Number"/>
    <w:basedOn w:val="ListNumber"/>
    <w:rsid w:val="00E64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C3C"/>
    <w:pPr>
      <w:numPr>
        <w:numId w:val="9"/>
      </w:numPr>
    </w:pPr>
  </w:style>
  <w:style w:type="paragraph" w:customStyle="1" w:styleId="ListAlpha2">
    <w:name w:val="List Alpha 2"/>
    <w:basedOn w:val="List2"/>
    <w:rsid w:val="00E64C3C"/>
    <w:pPr>
      <w:numPr>
        <w:numId w:val="8"/>
      </w:numPr>
    </w:pPr>
  </w:style>
  <w:style w:type="paragraph" w:styleId="List2">
    <w:name w:val="List 2"/>
    <w:basedOn w:val="BodyText"/>
    <w:rsid w:val="00E64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C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C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C3C"/>
    <w:pPr>
      <w:numPr>
        <w:numId w:val="4"/>
      </w:numPr>
    </w:pPr>
  </w:style>
  <w:style w:type="paragraph" w:styleId="ListContinue2">
    <w:name w:val="List Continue 2"/>
    <w:basedOn w:val="List2"/>
    <w:rsid w:val="00E64C3C"/>
    <w:pPr>
      <w:ind w:firstLine="0"/>
    </w:pPr>
  </w:style>
  <w:style w:type="paragraph" w:styleId="ListContinue3">
    <w:name w:val="List Continue 3"/>
    <w:basedOn w:val="List3"/>
    <w:rsid w:val="00E64C3C"/>
    <w:pPr>
      <w:ind w:left="1021" w:firstLine="0"/>
    </w:pPr>
  </w:style>
  <w:style w:type="paragraph" w:styleId="ListContinue4">
    <w:name w:val="List Continue 4"/>
    <w:basedOn w:val="List4"/>
    <w:rsid w:val="00E64C3C"/>
    <w:pPr>
      <w:ind w:firstLine="0"/>
    </w:pPr>
  </w:style>
  <w:style w:type="paragraph" w:styleId="ListContinue5">
    <w:name w:val="List Continue 5"/>
    <w:basedOn w:val="List5"/>
    <w:rsid w:val="00E64C3C"/>
    <w:pPr>
      <w:ind w:firstLine="0"/>
    </w:pPr>
  </w:style>
  <w:style w:type="paragraph" w:styleId="ListNumber3">
    <w:name w:val="List Number 3"/>
    <w:basedOn w:val="List3"/>
    <w:rsid w:val="00E64C3C"/>
    <w:pPr>
      <w:numPr>
        <w:numId w:val="5"/>
      </w:numPr>
    </w:pPr>
  </w:style>
  <w:style w:type="paragraph" w:styleId="ListNumber4">
    <w:name w:val="List Number 4"/>
    <w:basedOn w:val="List4"/>
    <w:rsid w:val="00E64C3C"/>
    <w:pPr>
      <w:numPr>
        <w:numId w:val="6"/>
      </w:numPr>
    </w:pPr>
  </w:style>
  <w:style w:type="paragraph" w:styleId="ListNumber5">
    <w:name w:val="List Number 5"/>
    <w:basedOn w:val="List5"/>
    <w:rsid w:val="00E64C3C"/>
    <w:pPr>
      <w:numPr>
        <w:numId w:val="7"/>
      </w:numPr>
    </w:pPr>
  </w:style>
  <w:style w:type="paragraph" w:styleId="BlockText">
    <w:name w:val="Block Text"/>
    <w:basedOn w:val="Normal"/>
    <w:rsid w:val="00E64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C3C"/>
    <w:rPr>
      <w:sz w:val="16"/>
      <w:vertAlign w:val="superscript"/>
    </w:rPr>
  </w:style>
  <w:style w:type="character" w:customStyle="1" w:styleId="Symbols">
    <w:name w:val="Symbols"/>
    <w:basedOn w:val="DefaultParagraphFont"/>
    <w:rsid w:val="00E64C3C"/>
    <w:rPr>
      <w:rFonts w:ascii="Symbol" w:hAnsi="Symbol"/>
    </w:rPr>
  </w:style>
  <w:style w:type="character" w:customStyle="1" w:styleId="MenuOptions">
    <w:name w:val="Menu Options"/>
    <w:basedOn w:val="DefaultParagraphFont"/>
    <w:rsid w:val="00E64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C3C"/>
    <w:rPr>
      <w:b/>
    </w:rPr>
  </w:style>
  <w:style w:type="character" w:customStyle="1" w:styleId="Underlined">
    <w:name w:val="Underlined"/>
    <w:basedOn w:val="DefaultParagraphFont"/>
    <w:rsid w:val="00E64C3C"/>
    <w:rPr>
      <w:u w:val="single"/>
    </w:rPr>
  </w:style>
  <w:style w:type="paragraph" w:customStyle="1" w:styleId="TableBodyTextRight">
    <w:name w:val="Table Body Text Right"/>
    <w:basedOn w:val="TableBodyText"/>
    <w:rsid w:val="00E64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C3C"/>
    <w:rPr>
      <w:sz w:val="18"/>
    </w:rPr>
  </w:style>
  <w:style w:type="paragraph" w:customStyle="1" w:styleId="BodySmallRight">
    <w:name w:val="Body Small Right"/>
    <w:basedOn w:val="BodyTextRight"/>
    <w:rsid w:val="00E64C3C"/>
    <w:rPr>
      <w:sz w:val="18"/>
      <w:szCs w:val="18"/>
    </w:rPr>
  </w:style>
  <w:style w:type="paragraph" w:customStyle="1" w:styleId="MarginEdition">
    <w:name w:val="Margin Edition"/>
    <w:basedOn w:val="MarginNote"/>
    <w:rsid w:val="00E64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C3C"/>
    <w:rPr>
      <w:sz w:val="2"/>
      <w:szCs w:val="2"/>
    </w:rPr>
  </w:style>
  <w:style w:type="character" w:customStyle="1" w:styleId="Small">
    <w:name w:val="Small"/>
    <w:basedOn w:val="DefaultParagraphFont"/>
    <w:rsid w:val="00E64C3C"/>
    <w:rPr>
      <w:sz w:val="16"/>
    </w:rPr>
  </w:style>
  <w:style w:type="paragraph" w:customStyle="1" w:styleId="WideTable">
    <w:name w:val="Wide Table"/>
    <w:basedOn w:val="Normal"/>
    <w:rsid w:val="00E64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C3C"/>
  </w:style>
  <w:style w:type="paragraph" w:styleId="Quote">
    <w:name w:val="Quote"/>
    <w:basedOn w:val="Heading1"/>
    <w:link w:val="QuoteChar"/>
    <w:qFormat/>
    <w:rsid w:val="00E64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C3C"/>
    <w:pPr>
      <w:pageBreakBefore/>
    </w:pPr>
  </w:style>
  <w:style w:type="paragraph" w:customStyle="1" w:styleId="Border">
    <w:name w:val="Border"/>
    <w:basedOn w:val="Normal"/>
    <w:qFormat/>
    <w:rsid w:val="00E64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C3C"/>
    <w:rPr>
      <w:u w:val="single"/>
    </w:rPr>
  </w:style>
  <w:style w:type="character" w:customStyle="1" w:styleId="BoldandItalics">
    <w:name w:val="Bold and Italics"/>
    <w:qFormat/>
    <w:rsid w:val="00E64C3C"/>
    <w:rPr>
      <w:b/>
      <w:i/>
      <w:u w:val="none"/>
    </w:rPr>
  </w:style>
  <w:style w:type="paragraph" w:styleId="BalloonText">
    <w:name w:val="Balloon Text"/>
    <w:basedOn w:val="Normal"/>
    <w:link w:val="BalloonTextChar"/>
    <w:rsid w:val="00E64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C3C"/>
    <w:pPr>
      <w:spacing w:before="0" w:after="0"/>
    </w:pPr>
  </w:style>
  <w:style w:type="paragraph" w:customStyle="1" w:styleId="BodyTextBold">
    <w:name w:val="Body Text Bold"/>
    <w:basedOn w:val="BodyText"/>
    <w:qFormat/>
    <w:rsid w:val="00E64C3C"/>
    <w:rPr>
      <w:b/>
    </w:rPr>
  </w:style>
  <w:style w:type="character" w:styleId="Hyperlink">
    <w:name w:val="Hyperlink"/>
    <w:basedOn w:val="DefaultParagraphFont"/>
    <w:uiPriority w:val="99"/>
    <w:unhideWhenUsed/>
    <w:rsid w:val="002B5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4266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PSPTIS146 Negotiate translating or interpreting assignments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