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07C" w:rsidP="00ED0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PSPTIS144 Use complex legal terminology in two languages</w:t>
      </w:r>
      <w:r>
        <w:fldChar w:fldCharType="end"/>
      </w:r>
    </w:p>
    <w:p w:rsidR="00ED007C" w:rsidP="00ED007C">
      <w:pPr>
        <w:pStyle w:val="Version"/>
        <w:sectPr w:rsidSect="00A758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8B0" w:rsidP="00A758B0">
      <w:pPr>
        <w:pStyle w:val="SuperHeading"/>
      </w:pPr>
      <w:r w:rsidRPr="00A758B0">
        <w:t>Assessment Requirements for PSPTIS144 Use complex legal terminology in two languages</w:t>
      </w:r>
    </w:p>
    <w:p w:rsidR="00000000" w:rsidRPr="00A758B0" w:rsidP="00A758B0">
      <w:pPr>
        <w:pStyle w:val="Heading1"/>
      </w:pPr>
      <w:bookmarkStart w:id="1" w:name="O_1267112"/>
      <w:bookmarkEnd w:id="1"/>
      <w:r w:rsidRPr="00A758B0">
        <w:t>Modification History</w:t>
      </w:r>
    </w:p>
    <w:p w:rsidR="00000000" w:rsidRPr="00A758B0" w:rsidP="00ED007C">
      <w:pPr>
        <w:pStyle w:val="BodyText"/>
      </w:pPr>
      <w:r w:rsidRPr="00A758B0">
        <w:t>Not applicable.</w:t>
      </w:r>
    </w:p>
    <w:p w:rsidR="00000000" w:rsidRPr="00A758B0" w:rsidP="00A758B0">
      <w:pPr>
        <w:pStyle w:val="Heading1"/>
      </w:pPr>
      <w:bookmarkStart w:id="2" w:name="O_1267115"/>
      <w:bookmarkEnd w:id="2"/>
      <w:r w:rsidRPr="00A758B0">
        <w:t>Performance Evidence</w:t>
      </w:r>
    </w:p>
    <w:p w:rsidR="00000000" w:rsidRPr="00A758B0" w:rsidP="00ED007C">
      <w:pPr>
        <w:pStyle w:val="BodyText"/>
      </w:pPr>
      <w:r w:rsidRPr="00A758B0">
        <w:t>Evidence of the ability t</w:t>
      </w:r>
      <w:r w:rsidRPr="00A758B0">
        <w:t>o complete tasks outlined in elements and performance criteria of this unit in the context of the job role, and:</w:t>
      </w:r>
    </w:p>
    <w:p w:rsidR="00000000" w:rsidRPr="00A758B0" w:rsidP="00A758B0">
      <w:pPr>
        <w:pStyle w:val="ListBullet"/>
      </w:pPr>
      <w:r w:rsidRPr="00A758B0">
        <w:t>use complex legal terminology in two languages on at least two occasions, one in each language, including:</w:t>
      </w:r>
    </w:p>
    <w:p w:rsidR="00000000" w:rsidRPr="00A758B0" w:rsidP="00A758B0">
      <w:pPr>
        <w:pStyle w:val="ListBullet2"/>
      </w:pPr>
      <w:r w:rsidRPr="00A758B0">
        <w:t>recognising and using social, cult</w:t>
      </w:r>
      <w:r w:rsidRPr="00A758B0">
        <w:t>ural and professional conventions applicable to the languages being used in a complex legal or policing setting, including:</w:t>
      </w:r>
    </w:p>
    <w:p w:rsidR="00000000" w:rsidRPr="00A758B0" w:rsidP="00A758B0">
      <w:pPr>
        <w:pStyle w:val="ListBullet3"/>
      </w:pPr>
      <w:r w:rsidRPr="00A758B0">
        <w:t>customs, protocols and taboos</w:t>
      </w:r>
    </w:p>
    <w:p w:rsidR="00000000" w:rsidRPr="00A758B0" w:rsidP="00A758B0">
      <w:pPr>
        <w:pStyle w:val="ListBullet3"/>
      </w:pPr>
      <w:r w:rsidRPr="00A758B0">
        <w:t>language varieties</w:t>
      </w:r>
    </w:p>
    <w:p w:rsidR="00000000" w:rsidRPr="00A758B0" w:rsidP="00A758B0">
      <w:pPr>
        <w:pStyle w:val="ListBullet3"/>
      </w:pPr>
      <w:r w:rsidRPr="00A758B0">
        <w:t>idiom and colloquialisms</w:t>
      </w:r>
    </w:p>
    <w:p w:rsidR="00000000" w:rsidRPr="00A758B0" w:rsidP="00A758B0">
      <w:pPr>
        <w:pStyle w:val="ListBullet3"/>
      </w:pPr>
      <w:r w:rsidRPr="00A758B0">
        <w:t>consistent use of forms of address.</w:t>
      </w:r>
    </w:p>
    <w:p w:rsidR="00000000" w:rsidRPr="00A758B0" w:rsidP="00A758B0">
      <w:pPr>
        <w:pStyle w:val="AllowPageBreak"/>
      </w:pPr>
    </w:p>
    <w:p w:rsidR="00000000" w:rsidRPr="00A758B0" w:rsidP="00A758B0">
      <w:pPr>
        <w:pStyle w:val="Heading1"/>
      </w:pPr>
      <w:bookmarkStart w:id="3" w:name="O_1267114"/>
      <w:bookmarkEnd w:id="3"/>
      <w:r w:rsidRPr="00A758B0">
        <w:t>Knowledge Evidence</w:t>
      </w:r>
    </w:p>
    <w:p w:rsidR="00000000" w:rsidRPr="00A758B0" w:rsidP="00ED007C">
      <w:pPr>
        <w:pStyle w:val="BodyText"/>
      </w:pPr>
      <w:r w:rsidRPr="00A758B0">
        <w:t>Demonstrated knowledge required to complete the tasks outlined in elements and performance criteria of this unit:</w:t>
      </w:r>
    </w:p>
    <w:p w:rsidR="00000000" w:rsidRPr="00A758B0" w:rsidP="00A758B0">
      <w:pPr>
        <w:pStyle w:val="ListBullet"/>
      </w:pPr>
      <w:r w:rsidRPr="00A758B0">
        <w:t>areas of law</w:t>
      </w:r>
    </w:p>
    <w:p w:rsidR="00000000" w:rsidRPr="00A758B0" w:rsidP="00A758B0">
      <w:pPr>
        <w:pStyle w:val="ListBullet"/>
      </w:pPr>
      <w:r w:rsidRPr="00A758B0">
        <w:t>hierarchy of courts and tribunals</w:t>
      </w:r>
    </w:p>
    <w:p w:rsidR="00000000" w:rsidRPr="00A758B0" w:rsidP="00A758B0">
      <w:pPr>
        <w:pStyle w:val="ListBullet"/>
      </w:pPr>
      <w:r w:rsidRPr="00A758B0">
        <w:t>role of legal professionals in the legal system</w:t>
      </w:r>
    </w:p>
    <w:p w:rsidR="00000000" w:rsidRPr="00A758B0" w:rsidP="00A758B0">
      <w:pPr>
        <w:pStyle w:val="ListBullet"/>
      </w:pPr>
      <w:r w:rsidRPr="00A758B0">
        <w:t>information sources for inc</w:t>
      </w:r>
      <w:r w:rsidRPr="00A758B0">
        <w:t>reasing complex legal knowledge and terminology</w:t>
      </w:r>
    </w:p>
    <w:p w:rsidR="00000000" w:rsidRPr="00A758B0" w:rsidP="00A758B0">
      <w:pPr>
        <w:pStyle w:val="ListBullet"/>
      </w:pPr>
      <w:r w:rsidRPr="00A758B0">
        <w:t>key documentation relevant to complex policing, legal and judicial processes</w:t>
      </w:r>
    </w:p>
    <w:p w:rsidR="00000000" w:rsidRPr="00A758B0" w:rsidP="00A758B0">
      <w:pPr>
        <w:pStyle w:val="ListBullet"/>
      </w:pPr>
      <w:r w:rsidRPr="00A758B0">
        <w:t>interpreter role in the preparation of affidavits and other legal documentation and legal cases</w:t>
      </w:r>
    </w:p>
    <w:p w:rsidR="00000000" w:rsidRPr="00A758B0" w:rsidP="00A758B0">
      <w:pPr>
        <w:pStyle w:val="ListBullet"/>
      </w:pPr>
      <w:r w:rsidRPr="00A758B0">
        <w:t>legal and financial consequences of</w:t>
      </w:r>
      <w:r w:rsidRPr="00A758B0">
        <w:t xml:space="preserve"> incorrect interpreting</w:t>
      </w:r>
    </w:p>
    <w:p w:rsidR="00000000" w:rsidRPr="00A758B0" w:rsidP="00A758B0">
      <w:pPr>
        <w:pStyle w:val="ListBullet"/>
      </w:pPr>
      <w:r w:rsidRPr="00A758B0">
        <w:t>legal principles relating to the role of the interpreter, including the right of a defendant to be ‘linguistically present’</w:t>
      </w:r>
    </w:p>
    <w:p w:rsidR="00000000" w:rsidRPr="00A758B0" w:rsidP="00A758B0">
      <w:pPr>
        <w:pStyle w:val="ListBullet"/>
      </w:pPr>
      <w:r w:rsidRPr="00A758B0">
        <w:t>legal privilege</w:t>
      </w:r>
    </w:p>
    <w:p w:rsidR="00000000" w:rsidRPr="00A758B0" w:rsidP="00A758B0">
      <w:pPr>
        <w:pStyle w:val="ListBullet"/>
      </w:pPr>
      <w:r w:rsidRPr="00A758B0">
        <w:t>legal systems including common law and code law</w:t>
      </w:r>
    </w:p>
    <w:p w:rsidR="00000000" w:rsidRPr="00A758B0" w:rsidP="00A758B0">
      <w:pPr>
        <w:pStyle w:val="ListBullet"/>
      </w:pPr>
      <w:r w:rsidRPr="00A758B0">
        <w:t>lower court, civil and administrative tribunals and routine legal processes</w:t>
      </w:r>
    </w:p>
    <w:p w:rsidR="00000000" w:rsidRPr="00A758B0" w:rsidP="00A758B0">
      <w:pPr>
        <w:pStyle w:val="ListBullet"/>
      </w:pPr>
      <w:r w:rsidRPr="00A758B0">
        <w:t>relevant legislation, government policies and court guidelines</w:t>
      </w:r>
    </w:p>
    <w:p w:rsidR="00000000" w:rsidRPr="00A758B0" w:rsidP="00A758B0">
      <w:pPr>
        <w:pStyle w:val="ListBullet"/>
      </w:pPr>
      <w:r w:rsidRPr="00A758B0">
        <w:t>upper court, review tribunals and complex legal processes</w:t>
      </w:r>
    </w:p>
    <w:p w:rsidR="00000000" w:rsidRPr="00A758B0" w:rsidP="00A758B0">
      <w:pPr>
        <w:pStyle w:val="ListBullet"/>
      </w:pPr>
      <w:r w:rsidRPr="00A758B0">
        <w:t>fundamental principles of the Australian legal system, incl</w:t>
      </w:r>
      <w:r w:rsidRPr="00A758B0">
        <w:t>uding fair justice</w:t>
      </w:r>
    </w:p>
    <w:p w:rsidR="00000000" w:rsidRPr="00A758B0" w:rsidP="00A758B0">
      <w:pPr>
        <w:pStyle w:val="ListBullet"/>
      </w:pPr>
      <w:r w:rsidRPr="00A758B0">
        <w:t>nature and structure of interpersonal and institutional dynamics relevant to legal, judicial and policing contexts</w:t>
      </w:r>
    </w:p>
    <w:p w:rsidR="00000000" w:rsidRPr="00A758B0" w:rsidP="00A758B0">
      <w:pPr>
        <w:pStyle w:val="ListBullet"/>
      </w:pPr>
      <w:r w:rsidRPr="00A758B0">
        <w:t>admission of evidence</w:t>
      </w:r>
    </w:p>
    <w:p w:rsidR="00000000" w:rsidRPr="00A758B0" w:rsidP="00A758B0">
      <w:pPr>
        <w:pStyle w:val="ListBullet"/>
      </w:pPr>
      <w:r w:rsidRPr="00A758B0">
        <w:t>legal discourse and the strategic use of language in legal settings</w:t>
      </w:r>
    </w:p>
    <w:p w:rsidR="00000000" w:rsidRPr="00A758B0" w:rsidP="00A758B0">
      <w:pPr>
        <w:pStyle w:val="ListBullet"/>
      </w:pPr>
      <w:r w:rsidRPr="00A758B0">
        <w:t>impact of interpreting choices o</w:t>
      </w:r>
      <w:r w:rsidRPr="00A758B0">
        <w:t>n legal outcomes</w:t>
      </w:r>
    </w:p>
    <w:p w:rsidR="00000000" w:rsidRPr="00A758B0" w:rsidP="00A758B0">
      <w:pPr>
        <w:pStyle w:val="ListBullet"/>
      </w:pPr>
      <w:r w:rsidRPr="00A758B0">
        <w:t>follow up with correctional services</w:t>
      </w:r>
    </w:p>
    <w:p w:rsidR="00000000" w:rsidRPr="00A758B0" w:rsidP="00A758B0">
      <w:pPr>
        <w:pStyle w:val="ListBullet"/>
      </w:pPr>
      <w:r w:rsidRPr="00A758B0">
        <w:t>outcomes of the judicial process</w:t>
      </w:r>
    </w:p>
    <w:p w:rsidR="00000000" w:rsidRPr="00A758B0" w:rsidP="00A758B0">
      <w:pPr>
        <w:pStyle w:val="ListBullet"/>
      </w:pPr>
      <w:r w:rsidRPr="00A758B0">
        <w:t>Work Health and Safety (WHS) relevant to working in complex legal, judicial and policing contexts, including personal safety and fatigue.</w:t>
      </w:r>
    </w:p>
    <w:p w:rsidR="00000000" w:rsidRPr="00A758B0" w:rsidP="00A758B0">
      <w:pPr>
        <w:pStyle w:val="AllowPageBreak"/>
      </w:pPr>
    </w:p>
    <w:p w:rsidR="00000000" w:rsidRPr="00A758B0" w:rsidP="00A758B0">
      <w:pPr>
        <w:pStyle w:val="Heading1"/>
      </w:pPr>
      <w:bookmarkStart w:id="4" w:name="O_1267113"/>
      <w:bookmarkEnd w:id="4"/>
      <w:r w:rsidRPr="00A758B0">
        <w:t>Assessment C</w:t>
      </w:r>
      <w:r w:rsidRPr="00A758B0">
        <w:t>onditions</w:t>
      </w:r>
    </w:p>
    <w:p w:rsidR="00000000" w:rsidRPr="00A758B0" w:rsidP="00ED007C">
      <w:pPr>
        <w:pStyle w:val="BodyText"/>
      </w:pPr>
      <w:r w:rsidRPr="00A758B0">
        <w:t>Skills must be demonstrated in a workplace or simulated environment that reflects workplace conditions.</w:t>
      </w:r>
    </w:p>
    <w:p w:rsidR="00000000" w:rsidRPr="00A758B0" w:rsidP="00ED007C">
      <w:pPr>
        <w:pStyle w:val="BodyText"/>
      </w:pPr>
      <w:r w:rsidRPr="00A758B0">
        <w:t>Assessment must ensure access to:</w:t>
      </w:r>
    </w:p>
    <w:p w:rsidR="00000000" w:rsidRPr="00A758B0" w:rsidP="00A758B0">
      <w:pPr>
        <w:pStyle w:val="ListBullet"/>
      </w:pPr>
      <w:r w:rsidRPr="00A758B0">
        <w:t>case studies or examples of diverse interpreting assignments in complex dialogue or monologue settings in s</w:t>
      </w:r>
      <w:r w:rsidRPr="00A758B0">
        <w:t>pecialist legal, judicial or policing contexts.</w:t>
      </w:r>
    </w:p>
    <w:p w:rsidR="00000000" w:rsidRPr="00A758B0" w:rsidP="00ED007C">
      <w:pPr>
        <w:pStyle w:val="BodyText"/>
      </w:pPr>
      <w:r w:rsidRPr="00A758B0">
        <w:t>Assessors must satisfy the Standards for Registered Training Organisations’ requirements for assessors.</w:t>
      </w:r>
    </w:p>
    <w:p w:rsidR="00000000" w:rsidRPr="00A758B0" w:rsidP="00A758B0">
      <w:pPr>
        <w:pStyle w:val="Heading1"/>
      </w:pPr>
      <w:bookmarkStart w:id="5" w:name="O_1267111"/>
      <w:bookmarkEnd w:id="5"/>
      <w:r w:rsidRPr="00A758B0">
        <w:t>Links</w:t>
      </w:r>
    </w:p>
    <w:p w:rsidR="00000000" w:rsidRPr="00A758B0" w:rsidP="00ED007C">
      <w:pPr>
        <w:pStyle w:val="BodyText"/>
      </w:pPr>
      <w:r w:rsidRPr="00A758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D1F6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58B0" w:rsidP="00A758B0"/>
    <w:sectPr w:rsidSect="00A758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8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8B0" w:rsidRPr="00ED007C" w:rsidP="00ED0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8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7C" w:rsidP="00A758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007C" w:rsidP="00A758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D007C" w:rsidP="00A758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8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8B0" w:rsidRPr="00ED007C" w:rsidP="00ED0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8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7C" w:rsidRPr="002D2AF8" w:rsidP="00A758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PSPTIS144 Use complex legal terminology in two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D007C" w:rsidP="00A758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4413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4A0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5489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8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8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8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8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8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8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8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8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8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8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8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8B0"/>
  </w:style>
  <w:style w:type="character" w:customStyle="1" w:styleId="Heading1Char">
    <w:name w:val="Heading 1 Char"/>
    <w:basedOn w:val="DefaultParagraphFont"/>
    <w:link w:val="Heading1"/>
    <w:rsid w:val="00A758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8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8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8B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58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8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8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58B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58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8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8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8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8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8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8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8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8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8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8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8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8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8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8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8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8B0"/>
    <w:rPr>
      <w:b/>
      <w:spacing w:val="0"/>
    </w:rPr>
  </w:style>
  <w:style w:type="paragraph" w:customStyle="1" w:styleId="SuperTitle">
    <w:name w:val="SuperTitle"/>
    <w:basedOn w:val="Title"/>
    <w:rsid w:val="00A758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8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8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8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8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8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8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8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8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8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8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8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8B0"/>
    <w:rPr>
      <w:i/>
    </w:rPr>
  </w:style>
  <w:style w:type="paragraph" w:styleId="Caption">
    <w:name w:val="caption"/>
    <w:basedOn w:val="BodyText"/>
    <w:next w:val="Normal"/>
    <w:qFormat/>
    <w:rsid w:val="00A758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8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8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8B0"/>
  </w:style>
  <w:style w:type="paragraph" w:styleId="TableofFigures">
    <w:name w:val="table of figures"/>
    <w:basedOn w:val="Normal"/>
    <w:next w:val="Normal"/>
    <w:semiHidden/>
    <w:rsid w:val="00A758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8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58B0"/>
    <w:rPr>
      <w:rFonts w:ascii="Wingdings" w:hAnsi="Wingdings"/>
    </w:rPr>
  </w:style>
  <w:style w:type="paragraph" w:customStyle="1" w:styleId="TableHeading">
    <w:name w:val="Table Heading"/>
    <w:basedOn w:val="HeadingBase"/>
    <w:rsid w:val="00A758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8B0"/>
    <w:rPr>
      <w:color w:val="0033CC"/>
      <w:u w:val="none"/>
    </w:rPr>
  </w:style>
  <w:style w:type="paragraph" w:customStyle="1" w:styleId="BodyTextRight">
    <w:name w:val="Body Text Right"/>
    <w:basedOn w:val="BodyText"/>
    <w:rsid w:val="00A758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8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8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8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8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8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8B0"/>
    <w:rPr>
      <w:sz w:val="32"/>
    </w:rPr>
  </w:style>
  <w:style w:type="paragraph" w:customStyle="1" w:styleId="HeadingProcedure">
    <w:name w:val="Heading Procedure"/>
    <w:basedOn w:val="HeadingBase"/>
    <w:next w:val="Normal"/>
    <w:rsid w:val="00A758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8B0"/>
    <w:pPr>
      <w:spacing w:before="60" w:after="60"/>
    </w:pPr>
  </w:style>
  <w:style w:type="paragraph" w:styleId="ListContinue">
    <w:name w:val="List Continue"/>
    <w:basedOn w:val="List"/>
    <w:rsid w:val="00A758B0"/>
    <w:pPr>
      <w:ind w:firstLine="0"/>
    </w:pPr>
  </w:style>
  <w:style w:type="paragraph" w:customStyle="1" w:styleId="ListNote">
    <w:name w:val="List Note"/>
    <w:basedOn w:val="List"/>
    <w:rsid w:val="00A758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8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8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8B0"/>
    <w:rPr>
      <w:rFonts w:ascii="Courier New" w:hAnsi="Courier New"/>
    </w:rPr>
  </w:style>
  <w:style w:type="paragraph" w:customStyle="1" w:styleId="NoteBullet">
    <w:name w:val="Note Bullet"/>
    <w:basedOn w:val="Note"/>
    <w:rsid w:val="00A758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8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8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8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8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58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8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8B0"/>
    <w:rPr>
      <w:b/>
      <w:smallCaps/>
    </w:rPr>
  </w:style>
  <w:style w:type="paragraph" w:customStyle="1" w:styleId="TableListNumber">
    <w:name w:val="Table List Number"/>
    <w:basedOn w:val="ListNumber"/>
    <w:rsid w:val="00A758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8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8B0"/>
    <w:pPr>
      <w:numPr>
        <w:numId w:val="10"/>
      </w:numPr>
    </w:pPr>
  </w:style>
  <w:style w:type="paragraph" w:customStyle="1" w:styleId="ListAlpha2">
    <w:name w:val="List Alpha 2"/>
    <w:basedOn w:val="List2"/>
    <w:rsid w:val="00A758B0"/>
    <w:pPr>
      <w:numPr>
        <w:numId w:val="9"/>
      </w:numPr>
    </w:pPr>
  </w:style>
  <w:style w:type="paragraph" w:styleId="List2">
    <w:name w:val="List 2"/>
    <w:basedOn w:val="BodyText"/>
    <w:rsid w:val="00A758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8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8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8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58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58B0"/>
    <w:pPr>
      <w:numPr>
        <w:numId w:val="5"/>
      </w:numPr>
    </w:pPr>
  </w:style>
  <w:style w:type="paragraph" w:styleId="ListContinue2">
    <w:name w:val="List Continue 2"/>
    <w:basedOn w:val="List2"/>
    <w:rsid w:val="00A758B0"/>
    <w:pPr>
      <w:ind w:firstLine="0"/>
    </w:pPr>
  </w:style>
  <w:style w:type="paragraph" w:styleId="ListContinue3">
    <w:name w:val="List Continue 3"/>
    <w:basedOn w:val="List3"/>
    <w:rsid w:val="00A758B0"/>
    <w:pPr>
      <w:ind w:left="1021" w:firstLine="0"/>
    </w:pPr>
  </w:style>
  <w:style w:type="paragraph" w:styleId="ListContinue4">
    <w:name w:val="List Continue 4"/>
    <w:basedOn w:val="List4"/>
    <w:rsid w:val="00A758B0"/>
    <w:pPr>
      <w:ind w:firstLine="0"/>
    </w:pPr>
  </w:style>
  <w:style w:type="paragraph" w:styleId="ListContinue5">
    <w:name w:val="List Continue 5"/>
    <w:basedOn w:val="List5"/>
    <w:rsid w:val="00A758B0"/>
    <w:pPr>
      <w:ind w:firstLine="0"/>
    </w:pPr>
  </w:style>
  <w:style w:type="paragraph" w:styleId="ListNumber3">
    <w:name w:val="List Number 3"/>
    <w:basedOn w:val="List3"/>
    <w:rsid w:val="00A758B0"/>
    <w:pPr>
      <w:numPr>
        <w:numId w:val="6"/>
      </w:numPr>
    </w:pPr>
  </w:style>
  <w:style w:type="paragraph" w:styleId="ListNumber4">
    <w:name w:val="List Number 4"/>
    <w:basedOn w:val="List4"/>
    <w:rsid w:val="00A758B0"/>
    <w:pPr>
      <w:numPr>
        <w:numId w:val="7"/>
      </w:numPr>
    </w:pPr>
  </w:style>
  <w:style w:type="paragraph" w:styleId="ListNumber5">
    <w:name w:val="List Number 5"/>
    <w:basedOn w:val="List5"/>
    <w:rsid w:val="00A758B0"/>
    <w:pPr>
      <w:numPr>
        <w:numId w:val="8"/>
      </w:numPr>
    </w:pPr>
  </w:style>
  <w:style w:type="paragraph" w:styleId="BlockText">
    <w:name w:val="Block Text"/>
    <w:basedOn w:val="Normal"/>
    <w:rsid w:val="00A758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8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8B0"/>
    <w:rPr>
      <w:sz w:val="16"/>
      <w:vertAlign w:val="superscript"/>
    </w:rPr>
  </w:style>
  <w:style w:type="character" w:customStyle="1" w:styleId="Symbols">
    <w:name w:val="Symbols"/>
    <w:basedOn w:val="DefaultParagraphFont"/>
    <w:rsid w:val="00A758B0"/>
    <w:rPr>
      <w:rFonts w:ascii="Symbol" w:hAnsi="Symbol"/>
    </w:rPr>
  </w:style>
  <w:style w:type="character" w:customStyle="1" w:styleId="MenuOptions">
    <w:name w:val="Menu Options"/>
    <w:basedOn w:val="DefaultParagraphFont"/>
    <w:rsid w:val="00A758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8B0"/>
    <w:rPr>
      <w:b/>
    </w:rPr>
  </w:style>
  <w:style w:type="character" w:customStyle="1" w:styleId="Underlined">
    <w:name w:val="Underlined"/>
    <w:basedOn w:val="DefaultParagraphFont"/>
    <w:rsid w:val="00A758B0"/>
    <w:rPr>
      <w:u w:val="single"/>
    </w:rPr>
  </w:style>
  <w:style w:type="paragraph" w:customStyle="1" w:styleId="TableBodyTextRight">
    <w:name w:val="Table Body Text Right"/>
    <w:basedOn w:val="TableBodyText"/>
    <w:rsid w:val="00A758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8B0"/>
    <w:rPr>
      <w:sz w:val="18"/>
    </w:rPr>
  </w:style>
  <w:style w:type="paragraph" w:customStyle="1" w:styleId="BodySmallRight">
    <w:name w:val="Body Small Right"/>
    <w:basedOn w:val="BodyTextRight"/>
    <w:rsid w:val="00A758B0"/>
    <w:rPr>
      <w:sz w:val="18"/>
      <w:szCs w:val="18"/>
    </w:rPr>
  </w:style>
  <w:style w:type="paragraph" w:customStyle="1" w:styleId="MarginEdition">
    <w:name w:val="Margin Edition"/>
    <w:basedOn w:val="MarginNote"/>
    <w:rsid w:val="00A758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8B0"/>
    <w:rPr>
      <w:sz w:val="2"/>
      <w:szCs w:val="2"/>
    </w:rPr>
  </w:style>
  <w:style w:type="character" w:customStyle="1" w:styleId="Small">
    <w:name w:val="Small"/>
    <w:basedOn w:val="DefaultParagraphFont"/>
    <w:rsid w:val="00A758B0"/>
    <w:rPr>
      <w:sz w:val="16"/>
    </w:rPr>
  </w:style>
  <w:style w:type="paragraph" w:customStyle="1" w:styleId="WideTable">
    <w:name w:val="Wide Table"/>
    <w:basedOn w:val="Normal"/>
    <w:rsid w:val="00A758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8B0"/>
  </w:style>
  <w:style w:type="paragraph" w:styleId="Quote">
    <w:name w:val="Quote"/>
    <w:basedOn w:val="Heading1"/>
    <w:link w:val="QuoteChar"/>
    <w:qFormat/>
    <w:rsid w:val="00A758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8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8B0"/>
    <w:pPr>
      <w:pageBreakBefore/>
    </w:pPr>
  </w:style>
  <w:style w:type="paragraph" w:customStyle="1" w:styleId="Border">
    <w:name w:val="Border"/>
    <w:basedOn w:val="Normal"/>
    <w:qFormat/>
    <w:rsid w:val="00A758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8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8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8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8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8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8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8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8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8B0"/>
    <w:rPr>
      <w:u w:val="single"/>
    </w:rPr>
  </w:style>
  <w:style w:type="character" w:customStyle="1" w:styleId="BoldandItalics">
    <w:name w:val="Bold and Italics"/>
    <w:qFormat/>
    <w:rsid w:val="00A758B0"/>
    <w:rPr>
      <w:b/>
      <w:i/>
      <w:u w:val="none"/>
    </w:rPr>
  </w:style>
  <w:style w:type="paragraph" w:styleId="BalloonText">
    <w:name w:val="Balloon Text"/>
    <w:basedOn w:val="Normal"/>
    <w:link w:val="BalloonTextChar"/>
    <w:rsid w:val="00A758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8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8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8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8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8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8B0"/>
    <w:pPr>
      <w:spacing w:before="0" w:after="0"/>
    </w:pPr>
  </w:style>
  <w:style w:type="paragraph" w:customStyle="1" w:styleId="BodyTextBold">
    <w:name w:val="Body Text Bold"/>
    <w:basedOn w:val="BodyText"/>
    <w:qFormat/>
    <w:rsid w:val="00A758B0"/>
    <w:rPr>
      <w:b/>
    </w:rPr>
  </w:style>
  <w:style w:type="character" w:styleId="Hyperlink">
    <w:name w:val="Hyperlink"/>
    <w:basedOn w:val="DefaultParagraphFont"/>
    <w:uiPriority w:val="99"/>
    <w:unhideWhenUsed/>
    <w:rsid w:val="00ED00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2560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PSPTIS144 Use complex legal terminology in two languages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2022-11-21T09:14:00Z</dcterms:created>
  <dcterms:modified xsi:type="dcterms:W3CDTF">2022-11-21T09:14:00Z</dcterms:modified>
</cp:coreProperties>
</file>