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125" w:rsidP="001B0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PSPTIS143 Use complex health terminology in two languages</w:t>
      </w:r>
      <w:r>
        <w:fldChar w:fldCharType="end"/>
      </w:r>
    </w:p>
    <w:p w:rsidR="001B0125" w:rsidP="001B0125">
      <w:pPr>
        <w:pStyle w:val="Version"/>
        <w:sectPr w:rsidSect="00C80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1FE" w:rsidP="00C801FE">
      <w:pPr>
        <w:pStyle w:val="SuperHeading"/>
      </w:pPr>
      <w:r w:rsidRPr="00C801FE">
        <w:t>Assessment Requirements for PSPTIS143 Use complex health terminology in two languages</w:t>
      </w:r>
    </w:p>
    <w:p w:rsidR="00000000" w:rsidRPr="00C801FE" w:rsidP="00C801FE">
      <w:pPr>
        <w:pStyle w:val="Heading1"/>
      </w:pPr>
      <w:bookmarkStart w:id="1" w:name="O_1267096"/>
      <w:bookmarkEnd w:id="1"/>
      <w:r w:rsidRPr="00C801FE">
        <w:t>Modification History</w:t>
      </w:r>
    </w:p>
    <w:p w:rsidR="00000000" w:rsidRPr="00C801FE" w:rsidP="001B0125">
      <w:pPr>
        <w:pStyle w:val="BodyText"/>
      </w:pPr>
      <w:r w:rsidRPr="00C801FE">
        <w:t>Not applicable.</w:t>
      </w:r>
    </w:p>
    <w:p w:rsidR="00000000" w:rsidRPr="00C801FE" w:rsidP="00C801FE">
      <w:pPr>
        <w:pStyle w:val="Heading1"/>
      </w:pPr>
      <w:bookmarkStart w:id="2" w:name="O_1267099"/>
      <w:bookmarkEnd w:id="2"/>
      <w:r w:rsidRPr="00C801FE">
        <w:t>Performance Evidence</w:t>
      </w:r>
    </w:p>
    <w:p w:rsidR="00000000" w:rsidRPr="00C801FE" w:rsidP="001B0125">
      <w:pPr>
        <w:pStyle w:val="BodyText"/>
      </w:pPr>
      <w:r w:rsidRPr="00C801FE">
        <w:t xml:space="preserve">Evidence of the ability </w:t>
      </w:r>
      <w:r w:rsidRPr="00C801FE">
        <w:t>to complete tasks outlined in elements and performance criteria of this unit in the context of the job role, and:</w:t>
      </w:r>
    </w:p>
    <w:p w:rsidR="00000000" w:rsidRPr="00C801FE" w:rsidP="00C801FE">
      <w:pPr>
        <w:pStyle w:val="ListBullet"/>
      </w:pPr>
      <w:r w:rsidRPr="00C801FE">
        <w:t>use complex health terminology in two languages on at least two occasions, one in each language, including:</w:t>
      </w:r>
    </w:p>
    <w:p w:rsidR="00000000" w:rsidRPr="00C801FE" w:rsidP="00C801FE">
      <w:pPr>
        <w:pStyle w:val="ListBullet2"/>
      </w:pPr>
      <w:r w:rsidRPr="00C801FE">
        <w:t>using complex health or allied h</w:t>
      </w:r>
      <w:r w:rsidRPr="00C801FE">
        <w:t>ealth, social, cultural and professional conventions appropriate to the languages being used in a complex health or allied health setting, including:</w:t>
      </w:r>
    </w:p>
    <w:p w:rsidR="00000000" w:rsidRPr="00C801FE" w:rsidP="00C801FE">
      <w:pPr>
        <w:pStyle w:val="ListBullet3"/>
      </w:pPr>
      <w:r w:rsidRPr="00C801FE">
        <w:t>customs, protocols and taboos</w:t>
      </w:r>
    </w:p>
    <w:p w:rsidR="00000000" w:rsidRPr="00C801FE" w:rsidP="00C801FE">
      <w:pPr>
        <w:pStyle w:val="ListBullet3"/>
      </w:pPr>
      <w:r w:rsidRPr="00C801FE">
        <w:t>language varieties</w:t>
      </w:r>
    </w:p>
    <w:p w:rsidR="00000000" w:rsidRPr="00C801FE" w:rsidP="00C801FE">
      <w:pPr>
        <w:pStyle w:val="ListBullet3"/>
      </w:pPr>
      <w:r w:rsidRPr="00C801FE">
        <w:t xml:space="preserve">idiom and colloquialisms </w:t>
      </w:r>
    </w:p>
    <w:p w:rsidR="00000000" w:rsidRPr="00C801FE" w:rsidP="00C801FE">
      <w:pPr>
        <w:pStyle w:val="ListBullet3"/>
      </w:pPr>
      <w:r w:rsidRPr="00C801FE">
        <w:t>consistent use of forms of address.</w:t>
      </w:r>
    </w:p>
    <w:p w:rsidR="00000000" w:rsidRPr="00C801FE" w:rsidP="00C801FE">
      <w:pPr>
        <w:pStyle w:val="AllowPageBreak"/>
      </w:pPr>
    </w:p>
    <w:p w:rsidR="00000000" w:rsidRPr="00C801FE" w:rsidP="00C801FE">
      <w:pPr>
        <w:pStyle w:val="Heading1"/>
      </w:pPr>
      <w:bookmarkStart w:id="3" w:name="O_1267098"/>
      <w:bookmarkEnd w:id="3"/>
      <w:r w:rsidRPr="00C801FE">
        <w:t>Knowledge Evidence</w:t>
      </w:r>
    </w:p>
    <w:p w:rsidR="00000000" w:rsidRPr="00C801FE" w:rsidP="001B0125">
      <w:pPr>
        <w:pStyle w:val="BodyText"/>
      </w:pPr>
      <w:r w:rsidRPr="00C801FE">
        <w:t>Demonstrated knowledge required to complete the tasks outlined in elements and performance criteria of this unit:</w:t>
      </w:r>
    </w:p>
    <w:p w:rsidR="00000000" w:rsidRPr="00C801FE" w:rsidP="00C801FE">
      <w:pPr>
        <w:pStyle w:val="ListBullet"/>
      </w:pPr>
      <w:r w:rsidRPr="00C801FE">
        <w:t>anatomy and body systems</w:t>
      </w:r>
    </w:p>
    <w:p w:rsidR="00000000" w:rsidRPr="00C801FE" w:rsidP="00C801FE">
      <w:pPr>
        <w:pStyle w:val="ListBullet"/>
      </w:pPr>
      <w:r w:rsidRPr="00C801FE">
        <w:t>complex health and allied health specialti</w:t>
      </w:r>
      <w:r w:rsidRPr="00C801FE">
        <w:t>es</w:t>
      </w:r>
    </w:p>
    <w:p w:rsidR="00000000" w:rsidRPr="00C801FE" w:rsidP="00C801FE">
      <w:pPr>
        <w:pStyle w:val="ListBullet"/>
      </w:pPr>
      <w:r w:rsidRPr="00C801FE">
        <w:t>complex medical conditions and investigations</w:t>
      </w:r>
    </w:p>
    <w:p w:rsidR="00000000" w:rsidRPr="00C801FE" w:rsidP="00C801FE">
      <w:pPr>
        <w:pStyle w:val="ListBullet"/>
      </w:pPr>
      <w:r w:rsidRPr="00C801FE">
        <w:t>complex medical procedures and relevant equipment principles of medications and prescriptions</w:t>
      </w:r>
    </w:p>
    <w:p w:rsidR="00000000" w:rsidRPr="00C801FE" w:rsidP="00C801FE">
      <w:pPr>
        <w:pStyle w:val="ListBullet"/>
      </w:pPr>
      <w:r w:rsidRPr="00C801FE">
        <w:t>obtaining valid consent to treatment</w:t>
      </w:r>
    </w:p>
    <w:p w:rsidR="00000000" w:rsidRPr="00C801FE" w:rsidP="00C801FE">
      <w:pPr>
        <w:pStyle w:val="ListBullet"/>
      </w:pPr>
      <w:r w:rsidRPr="00C801FE">
        <w:t>principles of mental health treatment</w:t>
      </w:r>
    </w:p>
    <w:p w:rsidR="00000000" w:rsidRPr="00C801FE" w:rsidP="00C801FE">
      <w:pPr>
        <w:pStyle w:val="ListBullet"/>
      </w:pPr>
      <w:r w:rsidRPr="00C801FE">
        <w:t>principles of medications and prescrip</w:t>
      </w:r>
      <w:r w:rsidRPr="00C801FE">
        <w:t>tions</w:t>
      </w:r>
    </w:p>
    <w:p w:rsidR="00000000" w:rsidRPr="00C801FE" w:rsidP="00C801FE">
      <w:pPr>
        <w:pStyle w:val="ListBullet"/>
      </w:pPr>
      <w:r w:rsidRPr="00C801FE">
        <w:t>departments and sections in a hospital</w:t>
      </w:r>
    </w:p>
    <w:p w:rsidR="00000000" w:rsidRPr="00C801FE" w:rsidP="00C801FE">
      <w:pPr>
        <w:pStyle w:val="ListBullet"/>
      </w:pPr>
      <w:r w:rsidRPr="00C801FE">
        <w:t>patient signs and symptoms</w:t>
      </w:r>
    </w:p>
    <w:p w:rsidR="00000000" w:rsidRPr="00C801FE" w:rsidP="00C801FE">
      <w:pPr>
        <w:pStyle w:val="ListBullet"/>
      </w:pPr>
      <w:r w:rsidRPr="00C801FE">
        <w:t>requirements for obtaining valid consent to treatment</w:t>
      </w:r>
    </w:p>
    <w:p w:rsidR="00000000" w:rsidRPr="00C801FE" w:rsidP="00C801FE">
      <w:pPr>
        <w:pStyle w:val="ListBullet"/>
      </w:pPr>
      <w:r w:rsidRPr="00C801FE">
        <w:t>relevant legislation and government policies</w:t>
      </w:r>
    </w:p>
    <w:p w:rsidR="00000000" w:rsidRPr="00C801FE" w:rsidP="00C801FE">
      <w:pPr>
        <w:pStyle w:val="ListBullet"/>
      </w:pPr>
      <w:r w:rsidRPr="00C801FE">
        <w:t>security, confidentiality and privacy</w:t>
      </w:r>
    </w:p>
    <w:p w:rsidR="00000000" w:rsidRPr="00C801FE" w:rsidP="00C801FE">
      <w:pPr>
        <w:pStyle w:val="ListBullet"/>
      </w:pPr>
      <w:r w:rsidRPr="00C801FE">
        <w:t>information sources for increasingly complex health knowledge and terminology</w:t>
      </w:r>
    </w:p>
    <w:p w:rsidR="00000000" w:rsidRPr="00C801FE" w:rsidP="00C801FE">
      <w:pPr>
        <w:pStyle w:val="ListBullet"/>
      </w:pPr>
      <w:r w:rsidRPr="00C801FE">
        <w:t>issues around voluntary assisted dying and end of life decisions</w:t>
      </w:r>
    </w:p>
    <w:p w:rsidR="00000000" w:rsidRPr="00C801FE" w:rsidP="00C801FE">
      <w:pPr>
        <w:pStyle w:val="ListBullet"/>
      </w:pPr>
      <w:r w:rsidRPr="00C801FE">
        <w:t>post mortem issues</w:t>
      </w:r>
    </w:p>
    <w:p w:rsidR="00000000" w:rsidRPr="00C801FE" w:rsidP="00C801FE">
      <w:pPr>
        <w:pStyle w:val="ListBullet"/>
      </w:pPr>
      <w:r w:rsidRPr="00C801FE">
        <w:t>organ donation issues</w:t>
      </w:r>
    </w:p>
    <w:p w:rsidR="00000000" w:rsidRPr="00C801FE" w:rsidP="00C801FE">
      <w:pPr>
        <w:pStyle w:val="ListBullet"/>
      </w:pPr>
      <w:r w:rsidRPr="00C801FE">
        <w:t>advanced care directives</w:t>
      </w:r>
    </w:p>
    <w:p w:rsidR="00000000" w:rsidRPr="00C801FE" w:rsidP="00C801FE">
      <w:pPr>
        <w:pStyle w:val="ListBullet"/>
      </w:pPr>
      <w:r w:rsidRPr="00C801FE">
        <w:t>medical power of attorney</w:t>
      </w:r>
    </w:p>
    <w:p w:rsidR="00000000" w:rsidRPr="00C801FE" w:rsidP="00C801FE">
      <w:pPr>
        <w:pStyle w:val="ListBullet"/>
      </w:pPr>
      <w:r w:rsidRPr="00C801FE">
        <w:t>Work Health and Safet</w:t>
      </w:r>
      <w:r w:rsidRPr="00C801FE">
        <w:t>y (WHS) relevant to working in complex health contexts, including hygiene and infection control.</w:t>
      </w:r>
    </w:p>
    <w:p w:rsidR="00000000" w:rsidRPr="00C801FE" w:rsidP="00C801FE">
      <w:pPr>
        <w:pStyle w:val="AllowPageBreak"/>
      </w:pPr>
    </w:p>
    <w:p w:rsidR="00000000" w:rsidRPr="00C801FE" w:rsidP="00C801FE">
      <w:pPr>
        <w:pStyle w:val="Heading1"/>
      </w:pPr>
      <w:bookmarkStart w:id="4" w:name="O_1267097"/>
      <w:bookmarkEnd w:id="4"/>
      <w:r w:rsidRPr="00C801FE">
        <w:t>Assessment Conditions</w:t>
      </w:r>
    </w:p>
    <w:p w:rsidR="00000000" w:rsidRPr="00C801FE" w:rsidP="001B0125">
      <w:pPr>
        <w:pStyle w:val="BodyText"/>
      </w:pPr>
      <w:r w:rsidRPr="00C801FE">
        <w:t>Skills must be demonstrated in a workplace or simulated environment that reflects workplace conditions.</w:t>
      </w:r>
    </w:p>
    <w:p w:rsidR="00000000" w:rsidRPr="00C801FE" w:rsidP="001B0125">
      <w:pPr>
        <w:pStyle w:val="BodyText"/>
      </w:pPr>
      <w:r w:rsidRPr="00C801FE">
        <w:t>Assessment mus</w:t>
      </w:r>
      <w:r w:rsidRPr="00C801FE">
        <w:t>t ensure access to:</w:t>
      </w:r>
    </w:p>
    <w:p w:rsidR="00000000" w:rsidRPr="00C801FE" w:rsidP="00C801FE">
      <w:pPr>
        <w:pStyle w:val="ListBullet"/>
      </w:pPr>
      <w:r w:rsidRPr="00C801FE">
        <w:t>case studies or examples of diverse interpreting assignments in complex dialogue or monologue settings in specialist health or allied health contexts.</w:t>
      </w:r>
    </w:p>
    <w:p w:rsidR="00000000" w:rsidRPr="00C801FE" w:rsidP="001B0125">
      <w:pPr>
        <w:pStyle w:val="BodyText"/>
      </w:pPr>
      <w:r w:rsidRPr="00C801FE">
        <w:t>Assessors must satisfy the Standards for Registered Training Organisations’ requirem</w:t>
      </w:r>
      <w:r w:rsidRPr="00C801FE">
        <w:t>ents for assessors.</w:t>
      </w:r>
    </w:p>
    <w:p w:rsidR="00000000" w:rsidRPr="00C801FE" w:rsidP="00C801FE">
      <w:pPr>
        <w:pStyle w:val="Heading1"/>
      </w:pPr>
      <w:bookmarkStart w:id="5" w:name="O_1267095"/>
      <w:bookmarkEnd w:id="5"/>
      <w:r w:rsidRPr="00C801FE">
        <w:t>Links</w:t>
      </w:r>
    </w:p>
    <w:p w:rsidR="00000000" w:rsidRPr="00C801FE" w:rsidP="001B0125">
      <w:pPr>
        <w:pStyle w:val="BodyText"/>
      </w:pPr>
      <w:r w:rsidRPr="00C801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C47E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01FE" w:rsidP="00C801FE"/>
    <w:sectPr w:rsidSect="00C801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1FE" w:rsidRPr="001B0125" w:rsidP="001B0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25" w:rsidP="00C80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0125" w:rsidP="00C80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B0125" w:rsidP="00C80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1FE" w:rsidRPr="001B0125" w:rsidP="001B0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25" w:rsidRPr="002D2AF8" w:rsidP="00C80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PSPTIS143 Use complex health terminology in two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B0125" w:rsidP="00C80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D44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B6D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680E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1FE"/>
  </w:style>
  <w:style w:type="character" w:customStyle="1" w:styleId="Heading1Char">
    <w:name w:val="Heading 1 Char"/>
    <w:basedOn w:val="DefaultParagraphFont"/>
    <w:link w:val="Heading1"/>
    <w:rsid w:val="00C80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1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1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1F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01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0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01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0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1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01FE"/>
    <w:rPr>
      <w:b/>
      <w:spacing w:val="0"/>
    </w:rPr>
  </w:style>
  <w:style w:type="paragraph" w:customStyle="1" w:styleId="SuperTitle">
    <w:name w:val="SuperTitle"/>
    <w:basedOn w:val="Title"/>
    <w:rsid w:val="00C80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1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01FE"/>
    <w:rPr>
      <w:i/>
    </w:rPr>
  </w:style>
  <w:style w:type="paragraph" w:styleId="Caption">
    <w:name w:val="caption"/>
    <w:basedOn w:val="BodyText"/>
    <w:next w:val="Normal"/>
    <w:qFormat/>
    <w:rsid w:val="00C80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1FE"/>
  </w:style>
  <w:style w:type="paragraph" w:styleId="TableofFigures">
    <w:name w:val="table of figures"/>
    <w:basedOn w:val="Normal"/>
    <w:next w:val="Normal"/>
    <w:semiHidden/>
    <w:rsid w:val="00C80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1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01FE"/>
    <w:rPr>
      <w:rFonts w:ascii="Wingdings" w:hAnsi="Wingdings"/>
    </w:rPr>
  </w:style>
  <w:style w:type="paragraph" w:customStyle="1" w:styleId="TableHeading">
    <w:name w:val="Table Heading"/>
    <w:basedOn w:val="HeadingBase"/>
    <w:rsid w:val="00C801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1FE"/>
    <w:rPr>
      <w:color w:val="0033CC"/>
      <w:u w:val="none"/>
    </w:rPr>
  </w:style>
  <w:style w:type="paragraph" w:customStyle="1" w:styleId="BodyTextRight">
    <w:name w:val="Body Text Right"/>
    <w:basedOn w:val="BodyText"/>
    <w:rsid w:val="00C80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1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1FE"/>
    <w:rPr>
      <w:sz w:val="32"/>
    </w:rPr>
  </w:style>
  <w:style w:type="paragraph" w:customStyle="1" w:styleId="HeadingProcedure">
    <w:name w:val="Heading Procedure"/>
    <w:basedOn w:val="HeadingBase"/>
    <w:next w:val="Normal"/>
    <w:rsid w:val="00C80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1FE"/>
    <w:pPr>
      <w:spacing w:before="60" w:after="60"/>
    </w:pPr>
  </w:style>
  <w:style w:type="paragraph" w:styleId="ListContinue">
    <w:name w:val="List Continue"/>
    <w:basedOn w:val="List"/>
    <w:rsid w:val="00C801FE"/>
    <w:pPr>
      <w:ind w:firstLine="0"/>
    </w:pPr>
  </w:style>
  <w:style w:type="paragraph" w:customStyle="1" w:styleId="ListNote">
    <w:name w:val="List Note"/>
    <w:basedOn w:val="List"/>
    <w:rsid w:val="00C80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1FE"/>
    <w:rPr>
      <w:rFonts w:ascii="Courier New" w:hAnsi="Courier New"/>
    </w:rPr>
  </w:style>
  <w:style w:type="paragraph" w:customStyle="1" w:styleId="NoteBullet">
    <w:name w:val="Note Bullet"/>
    <w:basedOn w:val="Note"/>
    <w:rsid w:val="00C80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1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0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1FE"/>
    <w:rPr>
      <w:b/>
      <w:smallCaps/>
    </w:rPr>
  </w:style>
  <w:style w:type="paragraph" w:customStyle="1" w:styleId="TableListNumber">
    <w:name w:val="Table List Number"/>
    <w:basedOn w:val="ListNumber"/>
    <w:rsid w:val="00C80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1FE"/>
    <w:pPr>
      <w:numPr>
        <w:numId w:val="10"/>
      </w:numPr>
    </w:pPr>
  </w:style>
  <w:style w:type="paragraph" w:customStyle="1" w:styleId="ListAlpha2">
    <w:name w:val="List Alpha 2"/>
    <w:basedOn w:val="List2"/>
    <w:rsid w:val="00C801FE"/>
    <w:pPr>
      <w:numPr>
        <w:numId w:val="9"/>
      </w:numPr>
    </w:pPr>
  </w:style>
  <w:style w:type="paragraph" w:styleId="List2">
    <w:name w:val="List 2"/>
    <w:basedOn w:val="BodyText"/>
    <w:rsid w:val="00C80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1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01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01FE"/>
    <w:pPr>
      <w:numPr>
        <w:numId w:val="5"/>
      </w:numPr>
    </w:pPr>
  </w:style>
  <w:style w:type="paragraph" w:styleId="ListContinue2">
    <w:name w:val="List Continue 2"/>
    <w:basedOn w:val="List2"/>
    <w:rsid w:val="00C801FE"/>
    <w:pPr>
      <w:ind w:firstLine="0"/>
    </w:pPr>
  </w:style>
  <w:style w:type="paragraph" w:styleId="ListContinue3">
    <w:name w:val="List Continue 3"/>
    <w:basedOn w:val="List3"/>
    <w:rsid w:val="00C801FE"/>
    <w:pPr>
      <w:ind w:left="1021" w:firstLine="0"/>
    </w:pPr>
  </w:style>
  <w:style w:type="paragraph" w:styleId="ListContinue4">
    <w:name w:val="List Continue 4"/>
    <w:basedOn w:val="List4"/>
    <w:rsid w:val="00C801FE"/>
    <w:pPr>
      <w:ind w:firstLine="0"/>
    </w:pPr>
  </w:style>
  <w:style w:type="paragraph" w:styleId="ListContinue5">
    <w:name w:val="List Continue 5"/>
    <w:basedOn w:val="List5"/>
    <w:rsid w:val="00C801FE"/>
    <w:pPr>
      <w:ind w:firstLine="0"/>
    </w:pPr>
  </w:style>
  <w:style w:type="paragraph" w:styleId="ListNumber3">
    <w:name w:val="List Number 3"/>
    <w:basedOn w:val="List3"/>
    <w:rsid w:val="00C801FE"/>
    <w:pPr>
      <w:numPr>
        <w:numId w:val="6"/>
      </w:numPr>
    </w:pPr>
  </w:style>
  <w:style w:type="paragraph" w:styleId="ListNumber4">
    <w:name w:val="List Number 4"/>
    <w:basedOn w:val="List4"/>
    <w:rsid w:val="00C801FE"/>
    <w:pPr>
      <w:numPr>
        <w:numId w:val="7"/>
      </w:numPr>
    </w:pPr>
  </w:style>
  <w:style w:type="paragraph" w:styleId="ListNumber5">
    <w:name w:val="List Number 5"/>
    <w:basedOn w:val="List5"/>
    <w:rsid w:val="00C801FE"/>
    <w:pPr>
      <w:numPr>
        <w:numId w:val="8"/>
      </w:numPr>
    </w:pPr>
  </w:style>
  <w:style w:type="paragraph" w:styleId="BlockText">
    <w:name w:val="Block Text"/>
    <w:basedOn w:val="Normal"/>
    <w:rsid w:val="00C80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1FE"/>
    <w:rPr>
      <w:sz w:val="16"/>
      <w:vertAlign w:val="superscript"/>
    </w:rPr>
  </w:style>
  <w:style w:type="character" w:customStyle="1" w:styleId="Symbols">
    <w:name w:val="Symbols"/>
    <w:basedOn w:val="DefaultParagraphFont"/>
    <w:rsid w:val="00C801FE"/>
    <w:rPr>
      <w:rFonts w:ascii="Symbol" w:hAnsi="Symbol"/>
    </w:rPr>
  </w:style>
  <w:style w:type="character" w:customStyle="1" w:styleId="MenuOptions">
    <w:name w:val="Menu Options"/>
    <w:basedOn w:val="DefaultParagraphFont"/>
    <w:rsid w:val="00C80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1FE"/>
    <w:rPr>
      <w:b/>
    </w:rPr>
  </w:style>
  <w:style w:type="character" w:customStyle="1" w:styleId="Underlined">
    <w:name w:val="Underlined"/>
    <w:basedOn w:val="DefaultParagraphFont"/>
    <w:rsid w:val="00C801FE"/>
    <w:rPr>
      <w:u w:val="single"/>
    </w:rPr>
  </w:style>
  <w:style w:type="paragraph" w:customStyle="1" w:styleId="TableBodyTextRight">
    <w:name w:val="Table Body Text Right"/>
    <w:basedOn w:val="TableBodyText"/>
    <w:rsid w:val="00C80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1FE"/>
    <w:rPr>
      <w:sz w:val="18"/>
    </w:rPr>
  </w:style>
  <w:style w:type="paragraph" w:customStyle="1" w:styleId="BodySmallRight">
    <w:name w:val="Body Small Right"/>
    <w:basedOn w:val="BodyTextRight"/>
    <w:rsid w:val="00C801FE"/>
    <w:rPr>
      <w:sz w:val="18"/>
      <w:szCs w:val="18"/>
    </w:rPr>
  </w:style>
  <w:style w:type="paragraph" w:customStyle="1" w:styleId="MarginEdition">
    <w:name w:val="Margin Edition"/>
    <w:basedOn w:val="MarginNote"/>
    <w:rsid w:val="00C80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1FE"/>
    <w:rPr>
      <w:sz w:val="2"/>
      <w:szCs w:val="2"/>
    </w:rPr>
  </w:style>
  <w:style w:type="character" w:customStyle="1" w:styleId="Small">
    <w:name w:val="Small"/>
    <w:basedOn w:val="DefaultParagraphFont"/>
    <w:rsid w:val="00C801FE"/>
    <w:rPr>
      <w:sz w:val="16"/>
    </w:rPr>
  </w:style>
  <w:style w:type="paragraph" w:customStyle="1" w:styleId="WideTable">
    <w:name w:val="Wide Table"/>
    <w:basedOn w:val="Normal"/>
    <w:rsid w:val="00C80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1FE"/>
  </w:style>
  <w:style w:type="paragraph" w:styleId="Quote">
    <w:name w:val="Quote"/>
    <w:basedOn w:val="Heading1"/>
    <w:link w:val="QuoteChar"/>
    <w:qFormat/>
    <w:rsid w:val="00C80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1FE"/>
    <w:pPr>
      <w:pageBreakBefore/>
    </w:pPr>
  </w:style>
  <w:style w:type="paragraph" w:customStyle="1" w:styleId="Border">
    <w:name w:val="Border"/>
    <w:basedOn w:val="Normal"/>
    <w:qFormat/>
    <w:rsid w:val="00C80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1FE"/>
    <w:rPr>
      <w:u w:val="single"/>
    </w:rPr>
  </w:style>
  <w:style w:type="character" w:customStyle="1" w:styleId="BoldandItalics">
    <w:name w:val="Bold and Italics"/>
    <w:qFormat/>
    <w:rsid w:val="00C801FE"/>
    <w:rPr>
      <w:b/>
      <w:i/>
      <w:u w:val="none"/>
    </w:rPr>
  </w:style>
  <w:style w:type="paragraph" w:styleId="BalloonText">
    <w:name w:val="Balloon Text"/>
    <w:basedOn w:val="Normal"/>
    <w:link w:val="BalloonTextChar"/>
    <w:rsid w:val="00C80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1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1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1FE"/>
    <w:pPr>
      <w:spacing w:before="0" w:after="0"/>
    </w:pPr>
  </w:style>
  <w:style w:type="paragraph" w:customStyle="1" w:styleId="BodyTextBold">
    <w:name w:val="Body Text Bold"/>
    <w:basedOn w:val="BodyText"/>
    <w:qFormat/>
    <w:rsid w:val="00C801FE"/>
    <w:rPr>
      <w:b/>
    </w:rPr>
  </w:style>
  <w:style w:type="character" w:styleId="Hyperlink">
    <w:name w:val="Hyperlink"/>
    <w:basedOn w:val="DefaultParagraphFont"/>
    <w:uiPriority w:val="99"/>
    <w:unhideWhenUsed/>
    <w:rsid w:val="001B0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2208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PSPTIS143 Use complex health terminology in two languages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