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A66" w:rsidP="00304A66">
      <w:pPr>
        <w:pStyle w:val="Title"/>
      </w:pPr>
      <w:r>
        <w:fldChar w:fldCharType="begin"/>
      </w:r>
      <w:r>
        <w:instrText xml:space="preserve"> TITLE   \* MERGEFORMAT </w:instrText>
      </w:r>
      <w:r>
        <w:fldChar w:fldCharType="separate"/>
      </w:r>
      <w:r>
        <w:t>PSPTIS093 Use complex legal terminology in interpreting (LOTE-English)</w:t>
      </w:r>
      <w:r>
        <w:fldChar w:fldCharType="end"/>
      </w:r>
    </w:p>
    <w:p w:rsidR="00304A66" w:rsidP="00304A66">
      <w:pPr>
        <w:pStyle w:val="Version"/>
        <w:sectPr w:rsidSect="00AF7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A93" w:rsidP="00AF7A93">
      <w:pPr>
        <w:pStyle w:val="SuperHeading"/>
      </w:pPr>
      <w:r w:rsidRPr="00AF7A93">
        <w:t>PSPTIS093 Use complex legal terminology in interpreting (LOTE-English)</w:t>
      </w:r>
    </w:p>
    <w:p w:rsidR="00000000" w:rsidRPr="00AF7A93" w:rsidP="00AF7A93">
      <w:pPr>
        <w:pStyle w:val="Heading1"/>
      </w:pPr>
      <w:bookmarkStart w:id="1" w:name="O_829947"/>
      <w:bookmarkEnd w:id="1"/>
      <w:r w:rsidRPr="00AF7A93">
        <w:t>Modification History</w:t>
      </w:r>
    </w:p>
    <w:tbl>
      <w:tblPr>
        <w:tblW w:w="0" w:type="auto"/>
        <w:tblLayout w:type="fixed"/>
        <w:tblCellMar>
          <w:left w:w="62" w:type="dxa"/>
          <w:right w:w="62" w:type="dxa"/>
        </w:tblCellMar>
        <w:tblLook w:val="0000"/>
      </w:tblPr>
      <w:tblGrid>
        <w:gridCol w:w="1134"/>
        <w:gridCol w:w="7937"/>
      </w:tblGrid>
      <w:tr w:rsidTr="00304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TableHeading"/>
              <w:rPr>
                <w:lang w:val="en-NZ"/>
              </w:rPr>
            </w:pPr>
            <w:r w:rsidRPr="00AF7A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TableHeading"/>
              <w:rPr>
                <w:lang w:val="en-NZ"/>
              </w:rPr>
            </w:pPr>
            <w:r w:rsidRPr="00AF7A93">
              <w:t>Comments</w:t>
            </w:r>
          </w:p>
        </w:tc>
      </w:tr>
      <w:tr w:rsidTr="00304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BodyText"/>
              <w:rPr>
                <w:lang w:val="en-NZ"/>
              </w:rPr>
            </w:pPr>
            <w:r w:rsidRPr="00AF7A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BodyText"/>
            </w:pPr>
            <w:r w:rsidRPr="00AF7A93">
              <w:t xml:space="preserve">This unit was released in PSP Public Sector Training Package release 1.0 and meets the Standards for Training Packages. </w:t>
            </w:r>
          </w:p>
        </w:tc>
      </w:tr>
    </w:tbl>
    <w:p w:rsidR="00000000" w:rsidRPr="00AF7A93" w:rsidP="00AF7A93">
      <w:pPr>
        <w:pStyle w:val="BodyText"/>
      </w:pPr>
    </w:p>
    <w:p w:rsidR="00000000" w:rsidRPr="00AF7A93" w:rsidP="00AF7A93">
      <w:pPr>
        <w:pStyle w:val="AllowPageBreak"/>
      </w:pPr>
    </w:p>
    <w:p w:rsidR="00000000" w:rsidRPr="00AF7A93" w:rsidP="00AF7A93">
      <w:pPr>
        <w:pStyle w:val="Heading1"/>
      </w:pPr>
      <w:bookmarkStart w:id="2" w:name="O_829948"/>
      <w:bookmarkEnd w:id="2"/>
      <w:r w:rsidRPr="00AF7A93">
        <w:t>Application</w:t>
      </w:r>
    </w:p>
    <w:p w:rsidR="00000000" w:rsidRPr="00AF7A93" w:rsidP="00304A66">
      <w:pPr>
        <w:pStyle w:val="BodyText"/>
      </w:pPr>
      <w:r w:rsidRPr="00AF7A93">
        <w:t>This unit describes the skills required to understand and use complex legal terminology in English and a LOTE sufficient to interpret between the two languages in complex dialogue or monologue settings in specialist legal and po</w:t>
      </w:r>
      <w:r w:rsidRPr="00AF7A93">
        <w:t>licing contexts.</w:t>
      </w:r>
    </w:p>
    <w:p w:rsidR="00000000" w:rsidRPr="00AF7A93" w:rsidP="00304A66">
      <w:pPr>
        <w:pStyle w:val="BodyText"/>
      </w:pPr>
      <w:r w:rsidRPr="00AF7A93">
        <w:t>This unit applies to those working as interpreters in a range of complex legal and policing contexts. The interpreter may be required to interact with members of the general public interacting with police, lawyers, the judiciary and court</w:t>
      </w:r>
      <w:r w:rsidRPr="00AF7A93">
        <w:t xml:space="preserve"> staff.</w:t>
      </w:r>
    </w:p>
    <w:p w:rsidR="00000000" w:rsidRPr="00AF7A93" w:rsidP="00304A66">
      <w:pPr>
        <w:pStyle w:val="BodyText"/>
      </w:pPr>
      <w:r w:rsidRPr="00AF7A93">
        <w:t>The skills and knowledge described in this unit must be applied within the legislative, regulatory and policy environment in which they are carried out. Organisational policies and procedures must be consulted and industry codes and standards for</w:t>
      </w:r>
      <w:r w:rsidRPr="00AF7A93">
        <w:t xml:space="preserve"> ethical translating and interpreting adhered to. </w:t>
      </w:r>
    </w:p>
    <w:p w:rsidR="00000000" w:rsidRPr="00AF7A93" w:rsidP="00304A66">
      <w:pPr>
        <w:pStyle w:val="BodyText"/>
      </w:pPr>
      <w:r w:rsidRPr="00AF7A93">
        <w:t>Those undertaking this unit would work independently using support resources as required, while performing complex tasks in a range of legal and policing contexts.</w:t>
      </w:r>
    </w:p>
    <w:p w:rsidR="00304A66" w:rsidP="00304A66">
      <w:pPr>
        <w:pStyle w:val="BodyText"/>
      </w:pPr>
      <w:r w:rsidRPr="00AF7A93">
        <w:t>No licensing, legislative or certification requirements apply to unit at the time of publication.</w:t>
      </w:r>
    </w:p>
    <w:p w:rsidR="00000000" w:rsidRPr="00AF7A93" w:rsidP="00AF7A93">
      <w:pPr>
        <w:pStyle w:val="Heading1"/>
      </w:pPr>
      <w:bookmarkStart w:id="3" w:name="O_829950"/>
      <w:bookmarkEnd w:id="3"/>
      <w:r w:rsidRPr="00AF7A93">
        <w:t>Competency Field</w:t>
      </w:r>
    </w:p>
    <w:p w:rsidR="00000000" w:rsidRPr="00AF7A93" w:rsidP="00304A66">
      <w:pPr>
        <w:pStyle w:val="BodyText"/>
      </w:pPr>
      <w:r w:rsidRPr="00AF7A93">
        <w:t>Translating and interpreting</w:t>
      </w:r>
    </w:p>
    <w:p w:rsidR="00000000" w:rsidRPr="00AF7A93" w:rsidP="00AF7A93">
      <w:pPr>
        <w:pStyle w:val="Heading1"/>
      </w:pPr>
      <w:bookmarkStart w:id="4" w:name="O_829952"/>
      <w:bookmarkEnd w:id="4"/>
      <w:r w:rsidRPr="00AF7A93">
        <w:t>Elements and Performance Criteria</w:t>
      </w:r>
    </w:p>
    <w:tbl>
      <w:tblPr>
        <w:tblW w:w="0" w:type="auto"/>
        <w:tblLayout w:type="fixed"/>
        <w:tblCellMar>
          <w:left w:w="62" w:type="dxa"/>
          <w:right w:w="62" w:type="dxa"/>
        </w:tblCellMar>
        <w:tblLook w:val="0000"/>
      </w:tblPr>
      <w:tblGrid>
        <w:gridCol w:w="2183"/>
        <w:gridCol w:w="6551"/>
      </w:tblGrid>
      <w:tr w:rsidTr="00AF7A93">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TableHeading"/>
            </w:pPr>
            <w:r w:rsidRPr="00AF7A93">
              <w:rPr>
                <w:rStyle w:val="SpecialBold"/>
              </w:rPr>
              <w:t>ELEMENTS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TableHeading"/>
              <w:rPr>
                <w:lang w:val="en-NZ"/>
              </w:rPr>
            </w:pPr>
            <w:r w:rsidRPr="00AF7A93">
              <w:rPr>
                <w:rStyle w:val="SpecialBold"/>
              </w:rPr>
              <w:t>PERFORMANCE CRITERIA</w:t>
            </w:r>
          </w:p>
        </w:tc>
      </w:tr>
      <w:tr w:rsidTr="00AF7A93">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BodyText"/>
              <w:rPr>
                <w:lang w:val="en-NZ"/>
              </w:rPr>
            </w:pPr>
            <w:r w:rsidRPr="00AF7A93">
              <w:t>Elements des</w:t>
            </w:r>
            <w:r w:rsidRPr="00AF7A93">
              <w:t>cribe the essential outcomes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BodyText"/>
              <w:rPr>
                <w:lang w:val="en-NZ"/>
              </w:rPr>
            </w:pPr>
            <w:r w:rsidRPr="00AF7A93">
              <w:t>Performance criteria describe the performance needed to demonstrate achievement of the element. Where bold italicised text is used, further information is detailed in the range of conditions section.</w:t>
            </w:r>
          </w:p>
        </w:tc>
      </w:tr>
      <w:tr w:rsidTr="00AF7A93">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List"/>
              <w:rPr>
                <w:lang w:val="en-NZ"/>
              </w:rPr>
            </w:pPr>
            <w:r w:rsidRPr="00AF7A93">
              <w:rPr>
                <w:rStyle w:val="SpecialBold"/>
              </w:rPr>
              <w:t>1.</w:t>
            </w:r>
            <w:r w:rsidRPr="00AF7A93">
              <w:rPr>
                <w:rStyle w:val="SpecialBold"/>
              </w:rPr>
              <w:tab/>
              <w:t>Identify the context of</w:t>
            </w:r>
            <w:r w:rsidRPr="00AF7A93">
              <w:rPr>
                <w:rStyle w:val="SpecialBold"/>
              </w:rPr>
              <w:t xml:space="preserve"> legal terminology</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List"/>
            </w:pPr>
            <w:r w:rsidRPr="00AF7A93">
              <w:t>1.1</w:t>
            </w:r>
            <w:r w:rsidRPr="00AF7A93">
              <w:tab/>
              <w:t>Identify key features of the legal and judicial system, including key people and structures.</w:t>
            </w:r>
          </w:p>
          <w:p w:rsidR="00000000" w:rsidRPr="00AF7A93" w:rsidP="00AF7A93">
            <w:pPr>
              <w:pStyle w:val="List"/>
            </w:pPr>
            <w:r w:rsidRPr="00AF7A93">
              <w:t>1.2 Describe standard procedures specific to oral communication in formal legal and policing contexts.</w:t>
            </w:r>
          </w:p>
          <w:p w:rsidR="00000000" w:rsidRPr="00AF7A93" w:rsidP="00AF7A93">
            <w:pPr>
              <w:pStyle w:val="List"/>
            </w:pPr>
            <w:r w:rsidRPr="00AF7A93">
              <w:t>1.3 Outline the role and responsibilities of interpreters and others in legal and policing contexts.</w:t>
            </w:r>
          </w:p>
          <w:p w:rsidR="00000000" w:rsidRPr="00AF7A93" w:rsidP="00AF7A93">
            <w:pPr>
              <w:pStyle w:val="List"/>
            </w:pPr>
            <w:r w:rsidRPr="00AF7A93">
              <w:t>1.4</w:t>
            </w:r>
            <w:r w:rsidRPr="00AF7A93">
              <w:tab/>
              <w:t>Identify social, cultural and professional conventions of English and LOTE appropriate to legal and judicial contexts.</w:t>
            </w:r>
          </w:p>
          <w:p w:rsidR="00000000" w:rsidP="00AF7A93">
            <w:pPr>
              <w:pStyle w:val="List"/>
              <w:rPr>
                <w:lang w:val="en-NZ"/>
              </w:rPr>
            </w:pPr>
            <w:r w:rsidRPr="00AF7A93">
              <w:t xml:space="preserve">1.5 Explain the consequences of </w:t>
            </w:r>
            <w:r w:rsidRPr="00AF7A93">
              <w:t>oral rendition of fixed texts and use of incorrect legal terminology.</w:t>
            </w:r>
          </w:p>
        </w:tc>
      </w:tr>
      <w:tr w:rsidTr="00AF7A93">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List"/>
              <w:rPr>
                <w:lang w:val="en-NZ"/>
              </w:rPr>
            </w:pPr>
            <w:r w:rsidRPr="00AF7A93">
              <w:rPr>
                <w:rStyle w:val="SpecialBold"/>
              </w:rPr>
              <w:t>2.</w:t>
            </w:r>
            <w:r w:rsidRPr="00AF7A93">
              <w:rPr>
                <w:rStyle w:val="SpecialBold"/>
              </w:rPr>
              <w:tab/>
              <w:t>Extend understanding of legal terminology</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List"/>
            </w:pPr>
            <w:r w:rsidRPr="00AF7A93">
              <w:t>2.1</w:t>
            </w:r>
            <w:r w:rsidRPr="00AF7A93">
              <w:tab/>
              <w:t>Recognise and explain complex legal terminology and key legal concepts and processes in English and LOTE.</w:t>
            </w:r>
          </w:p>
          <w:p w:rsidR="00000000" w:rsidRPr="00AF7A93" w:rsidP="00AF7A93">
            <w:pPr>
              <w:pStyle w:val="List"/>
            </w:pPr>
            <w:r w:rsidRPr="00AF7A93">
              <w:t>2.2</w:t>
            </w:r>
            <w:r w:rsidRPr="00AF7A93">
              <w:tab/>
              <w:t>Establish standard transla</w:t>
            </w:r>
            <w:r w:rsidRPr="00AF7A93">
              <w:t>tions for fixed text encountered in policing and judicial contexts that correctly reflect underlying common law principles.</w:t>
            </w:r>
          </w:p>
          <w:p w:rsidR="00000000" w:rsidRPr="00AF7A93" w:rsidP="00AF7A93">
            <w:pPr>
              <w:pStyle w:val="List"/>
            </w:pPr>
            <w:r w:rsidRPr="00AF7A93">
              <w:t>2.3</w:t>
            </w:r>
            <w:r w:rsidRPr="00AF7A93">
              <w:tab/>
              <w:t>Research and increase knowledge of complex legal terminology in English and LOTE.</w:t>
            </w:r>
          </w:p>
          <w:p w:rsidR="00000000" w:rsidP="00AF7A93">
            <w:pPr>
              <w:pStyle w:val="List"/>
              <w:rPr>
                <w:lang w:val="en-NZ"/>
              </w:rPr>
            </w:pPr>
            <w:r w:rsidRPr="00AF7A93">
              <w:t>2.4</w:t>
            </w:r>
            <w:r w:rsidRPr="00AF7A93">
              <w:tab/>
              <w:t>Spell and pronounce complex legal terminol</w:t>
            </w:r>
            <w:r w:rsidRPr="00AF7A93">
              <w:t>ogy correctly.</w:t>
            </w:r>
          </w:p>
        </w:tc>
      </w:tr>
      <w:tr w:rsidTr="00AF7A93">
        <w:tblPrEx>
          <w:tblW w:w="0" w:type="auto"/>
          <w:tblLayout w:type="fixed"/>
          <w:tblCellMar>
            <w:left w:w="62" w:type="dxa"/>
            <w:right w:w="62" w:type="dxa"/>
          </w:tblCellMar>
          <w:tblLook w:val="0000"/>
        </w:tblPrEx>
        <w:trPr>
          <w:trHeight w:val="993"/>
        </w:trPr>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List"/>
              <w:rPr>
                <w:lang w:val="en-NZ"/>
              </w:rPr>
            </w:pPr>
            <w:r w:rsidRPr="00AF7A93">
              <w:rPr>
                <w:rStyle w:val="SpecialBold"/>
              </w:rPr>
              <w:t>3.</w:t>
            </w:r>
            <w:r w:rsidRPr="00AF7A93">
              <w:rPr>
                <w:rStyle w:val="SpecialBold"/>
              </w:rPr>
              <w:tab/>
              <w:t>Use appropriate oral or signed communication in legal contexts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List"/>
            </w:pPr>
            <w:r w:rsidRPr="00AF7A93">
              <w:t>3.1</w:t>
            </w:r>
            <w:r w:rsidRPr="00AF7A93">
              <w:tab/>
              <w:t>Receive and understand oral or signed questions and answers using complex English and LOTE legal terminology.</w:t>
            </w:r>
          </w:p>
          <w:p w:rsidR="00000000" w:rsidRPr="00AF7A93" w:rsidP="00AF7A93">
            <w:pPr>
              <w:pStyle w:val="List"/>
            </w:pPr>
            <w:r w:rsidRPr="00AF7A93">
              <w:t>3.2</w:t>
            </w:r>
            <w:r w:rsidRPr="00AF7A93">
              <w:tab/>
              <w:t>Seek clarification of use and meaning of terms and assoc</w:t>
            </w:r>
            <w:r w:rsidRPr="00AF7A93">
              <w:t>iated processes.</w:t>
            </w:r>
          </w:p>
          <w:p w:rsidR="00000000" w:rsidRPr="00AF7A93" w:rsidP="00AF7A93">
            <w:pPr>
              <w:pStyle w:val="List"/>
            </w:pPr>
            <w:r w:rsidRPr="00AF7A93">
              <w:t>3.3</w:t>
            </w:r>
            <w:r w:rsidRPr="00AF7A93">
              <w:tab/>
              <w:t>Use a range of complex English and LOTE legal vocabulary and expressions in interpreting.</w:t>
            </w:r>
          </w:p>
          <w:p w:rsidR="00000000" w:rsidRPr="00AF7A93" w:rsidP="00AF7A93">
            <w:pPr>
              <w:pStyle w:val="List"/>
            </w:pPr>
            <w:r w:rsidRPr="00AF7A93">
              <w:t>3.4</w:t>
            </w:r>
            <w:r w:rsidRPr="00AF7A93">
              <w:tab/>
              <w:t>Use prosodic features, gestures and body language appropriate to the legal and policing context.</w:t>
            </w:r>
          </w:p>
        </w:tc>
      </w:tr>
    </w:tbl>
    <w:p w:rsidR="00000000" w:rsidRPr="00AF7A93" w:rsidP="00AF7A93">
      <w:pPr>
        <w:pStyle w:val="BodyText"/>
      </w:pPr>
    </w:p>
    <w:p w:rsidR="00000000" w:rsidRPr="00AF7A93" w:rsidP="00AF7A93">
      <w:pPr>
        <w:pStyle w:val="AllowPageBreak"/>
      </w:pPr>
    </w:p>
    <w:p w:rsidR="00000000" w:rsidRPr="00AF7A93" w:rsidP="00AF7A93">
      <w:pPr>
        <w:pStyle w:val="Heading1"/>
      </w:pPr>
      <w:bookmarkStart w:id="5" w:name="O_829953"/>
      <w:bookmarkEnd w:id="5"/>
      <w:r w:rsidRPr="00AF7A93">
        <w:t>Foundation Skills</w:t>
      </w:r>
    </w:p>
    <w:p w:rsidR="00000000" w:rsidRPr="00AF7A93" w:rsidP="00304A66">
      <w:pPr>
        <w:pStyle w:val="BodyText"/>
      </w:pPr>
      <w:r w:rsidRPr="00AF7A93">
        <w:t>The foundation skills demands of this unit have been mapped for alignment with the Australian Core Skills Framework (ACSF). The following tables outline the performance levels indicated for successful attainment of the unit.</w:t>
      </w:r>
    </w:p>
    <w:p w:rsidR="00000000" w:rsidRPr="00AF7A93" w:rsidP="00AF7A93">
      <w:pPr>
        <w:pStyle w:val="BodyText"/>
        <w:keepNext/>
      </w:pPr>
    </w:p>
    <w:p w:rsidR="00000000" w:rsidRPr="00AF7A93" w:rsidP="00AF7A93">
      <w:pPr>
        <w:pStyle w:val="BodyText"/>
      </w:pPr>
      <w:bookmarkStart w:id="6" w:name="O_8420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4.25pt">
            <v:imagedata r:id="rId10" o:title=""/>
          </v:shape>
        </w:pict>
      </w:r>
      <w:bookmarkEnd w:id="6"/>
    </w:p>
    <w:p w:rsidR="00000000" w:rsidRPr="00AF7A93" w:rsidP="00AF7A93">
      <w:pPr>
        <w:pStyle w:val="BodyText"/>
      </w:pPr>
    </w:p>
    <w:p w:rsidR="00000000" w:rsidRPr="00AF7A93" w:rsidP="00304A66">
      <w:pPr>
        <w:pStyle w:val="BodyText"/>
      </w:pPr>
      <w:r w:rsidRPr="00AF7A93">
        <w:t>Further information on ACSF and the foundation skills underpinning this unit can be found in the Foundation Skills Guide on the GSA website.</w:t>
      </w:r>
    </w:p>
    <w:p w:rsidR="00000000" w:rsidRPr="00AF7A93" w:rsidP="00AF7A93">
      <w:pPr>
        <w:pStyle w:val="Heading1"/>
      </w:pPr>
      <w:bookmarkStart w:id="7" w:name="O_829955"/>
      <w:bookmarkEnd w:id="7"/>
      <w:r w:rsidRPr="00AF7A93">
        <w:t>Unit Mapping Information</w:t>
      </w:r>
    </w:p>
    <w:p w:rsidR="00000000" w:rsidRPr="00AF7A93" w:rsidP="00304A66">
      <w:pPr>
        <w:pStyle w:val="BodyText"/>
      </w:pPr>
      <w:r w:rsidRPr="00AF7A93">
        <w:t>No equivalent unit.</w:t>
      </w:r>
    </w:p>
    <w:p w:rsidR="00000000" w:rsidRPr="00AF7A93" w:rsidP="00AF7A93">
      <w:pPr>
        <w:pStyle w:val="Heading1"/>
      </w:pPr>
      <w:bookmarkStart w:id="8" w:name="O_829962"/>
      <w:bookmarkEnd w:id="8"/>
      <w:r w:rsidRPr="00AF7A93">
        <w:t>Links</w:t>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pPr>
      <w:r w:rsidRPr="00AF7A93">
        <w:t>Companion Volume implementation</w:t>
      </w:r>
      <w:r w:rsidRPr="00AF7A93">
        <w:t xml:space="preserve">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sectPr w:rsidSect="00AF7A93">
          <w:headerReference w:type="default" r:id="rId11"/>
          <w:footerReference w:type="default" r:id="rId12"/>
          <w:pgSz w:w="11908" w:h="16833"/>
          <w:pgMar w:top="1702" w:right="1418" w:bottom="1702" w:left="1418" w:header="992" w:footer="992" w:gutter="0"/>
          <w:cols w:space="720"/>
          <w:noEndnote/>
          <w:docGrid w:linePitch="299"/>
        </w:sectPr>
      </w:pPr>
    </w:p>
    <w:p w:rsidR="00000000" w:rsidRPr="00AF7A93" w:rsidP="00AF7A93">
      <w:pPr>
        <w:pStyle w:val="SuperHeading"/>
      </w:pPr>
      <w:r w:rsidRPr="00AF7A93">
        <w:t xml:space="preserve">Assessment </w:t>
      </w:r>
      <w:r w:rsidRPr="00AF7A93">
        <w:t>Requirements for PSPTIS093 Use complex legal terminology in interpreting (LOTE-English)</w:t>
      </w:r>
    </w:p>
    <w:p w:rsidR="00000000" w:rsidRPr="00AF7A93" w:rsidP="00AF7A93">
      <w:pPr>
        <w:pStyle w:val="Heading1"/>
      </w:pPr>
      <w:bookmarkStart w:id="9" w:name="O_829957"/>
      <w:bookmarkEnd w:id="9"/>
      <w:r w:rsidRPr="00AF7A93">
        <w:t>Modification History</w:t>
      </w:r>
    </w:p>
    <w:tbl>
      <w:tblPr>
        <w:tblW w:w="0" w:type="auto"/>
        <w:tblLayout w:type="fixed"/>
        <w:tblCellMar>
          <w:left w:w="62" w:type="dxa"/>
          <w:right w:w="62" w:type="dxa"/>
        </w:tblCellMar>
        <w:tblLook w:val="0000"/>
      </w:tblPr>
      <w:tblGrid>
        <w:gridCol w:w="1134"/>
        <w:gridCol w:w="7937"/>
      </w:tblGrid>
      <w:tr w:rsidTr="00304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TableHeading"/>
              <w:rPr>
                <w:lang w:val="en-NZ"/>
              </w:rPr>
            </w:pPr>
            <w:r w:rsidRPr="00AF7A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TableHeading"/>
              <w:rPr>
                <w:lang w:val="en-NZ"/>
              </w:rPr>
            </w:pPr>
            <w:r w:rsidRPr="00AF7A93">
              <w:t>Comments</w:t>
            </w:r>
          </w:p>
        </w:tc>
      </w:tr>
      <w:tr w:rsidTr="00304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93">
            <w:pPr>
              <w:pStyle w:val="BodyText"/>
              <w:rPr>
                <w:lang w:val="en-NZ"/>
              </w:rPr>
            </w:pPr>
            <w:r w:rsidRPr="00AF7A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93" w:rsidP="00AF7A93">
            <w:pPr>
              <w:pStyle w:val="BodyText"/>
            </w:pPr>
            <w:r w:rsidRPr="00AF7A93">
              <w:t xml:space="preserve">These Assessment Requirements were released in PSP Public Sector Training Package release 1.0 and meet the Standards for Training Packages. </w:t>
            </w:r>
          </w:p>
        </w:tc>
      </w:tr>
    </w:tbl>
    <w:p w:rsidR="00000000" w:rsidRPr="00AF7A93" w:rsidP="00AF7A93">
      <w:pPr>
        <w:pStyle w:val="BodyText"/>
      </w:pPr>
    </w:p>
    <w:p w:rsidR="00000000" w:rsidRPr="00AF7A93" w:rsidP="00AF7A93">
      <w:pPr>
        <w:pStyle w:val="AllowPageBreak"/>
      </w:pPr>
    </w:p>
    <w:p w:rsidR="00000000" w:rsidRPr="00AF7A93" w:rsidP="00AF7A93">
      <w:pPr>
        <w:pStyle w:val="Heading1"/>
      </w:pPr>
      <w:bookmarkStart w:id="10" w:name="O_829958"/>
      <w:bookmarkEnd w:id="10"/>
      <w:r w:rsidRPr="00AF7A93">
        <w:t>Performance Evidence</w:t>
      </w:r>
    </w:p>
    <w:p w:rsidR="00000000" w:rsidRPr="00AF7A93" w:rsidP="00304A66">
      <w:pPr>
        <w:pStyle w:val="BodyText"/>
      </w:pPr>
      <w:r w:rsidRPr="00AF7A93">
        <w:t>Evidence required to demonstrate competence must satisfy all of the require</w:t>
      </w:r>
      <w:r w:rsidRPr="00AF7A93">
        <w:t>ments of the elements and performance criteria. If not otherwise specified, the candidate must demonstrate evidence of performance of the following on at least two occasions.</w:t>
      </w:r>
    </w:p>
    <w:p w:rsidR="00000000" w:rsidRPr="00AF7A93" w:rsidP="00AF7A93">
      <w:pPr>
        <w:pStyle w:val="ListBullet"/>
      </w:pPr>
      <w:r w:rsidRPr="00AF7A93">
        <w:t xml:space="preserve">using social, cultural and professional conventions applicable to the languages </w:t>
      </w:r>
      <w:r w:rsidRPr="00AF7A93">
        <w:t>being used in legal and policing contexts, including:</w:t>
      </w:r>
    </w:p>
    <w:p w:rsidR="00000000" w:rsidRPr="00AF7A93" w:rsidP="00AF7A93">
      <w:pPr>
        <w:pStyle w:val="ListBullet2"/>
      </w:pPr>
      <w:r w:rsidRPr="00AF7A93">
        <w:t>customs, protocols and taboos</w:t>
      </w:r>
    </w:p>
    <w:p w:rsidR="00000000" w:rsidRPr="00AF7A93" w:rsidP="00AF7A93">
      <w:pPr>
        <w:pStyle w:val="ListBullet2"/>
      </w:pPr>
      <w:r w:rsidRPr="00AF7A93">
        <w:t>dialect, idiom, colloquialisms and language conventions</w:t>
      </w:r>
    </w:p>
    <w:p w:rsidR="00000000" w:rsidRPr="00AF7A93" w:rsidP="00AF7A93">
      <w:pPr>
        <w:pStyle w:val="ListBullet2"/>
      </w:pPr>
      <w:r w:rsidRPr="00AF7A93">
        <w:t>social conventions and consistent use of forms of address</w:t>
      </w:r>
    </w:p>
    <w:p w:rsidR="00000000" w:rsidRPr="00AF7A93" w:rsidP="00AF7A93">
      <w:pPr>
        <w:pStyle w:val="AllowPageBreak"/>
      </w:pPr>
    </w:p>
    <w:p w:rsidR="00000000" w:rsidRPr="00AF7A93" w:rsidP="00AF7A93">
      <w:pPr>
        <w:pStyle w:val="Heading1"/>
      </w:pPr>
      <w:bookmarkStart w:id="11" w:name="O_829959"/>
      <w:bookmarkEnd w:id="11"/>
      <w:r w:rsidRPr="00AF7A93">
        <w:t>Knowledge Evidence</w:t>
      </w:r>
    </w:p>
    <w:p w:rsidR="00000000" w:rsidRPr="00AF7A93" w:rsidP="00304A66">
      <w:pPr>
        <w:pStyle w:val="BodyText"/>
      </w:pPr>
      <w:r w:rsidRPr="00AF7A9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F7A93" w:rsidP="00AF7A93">
      <w:pPr>
        <w:pStyle w:val="ListBullet"/>
      </w:pPr>
      <w:r w:rsidRPr="00AF7A93">
        <w:t>areas of la</w:t>
      </w:r>
      <w:r w:rsidRPr="00AF7A93">
        <w:t>w</w:t>
      </w:r>
    </w:p>
    <w:p w:rsidR="00000000" w:rsidRPr="00AF7A93" w:rsidP="00AF7A93">
      <w:pPr>
        <w:pStyle w:val="ListBullet"/>
      </w:pPr>
      <w:r w:rsidRPr="00AF7A93">
        <w:t>upper court, review tribunals and complex legal processes</w:t>
      </w:r>
    </w:p>
    <w:p w:rsidR="00000000" w:rsidRPr="00AF7A93" w:rsidP="00AF7A93">
      <w:pPr>
        <w:pStyle w:val="ListBullet"/>
      </w:pPr>
      <w:r w:rsidRPr="00AF7A93">
        <w:t>legal and financial consequences of incorrect interpreting</w:t>
      </w:r>
    </w:p>
    <w:p w:rsidR="00000000" w:rsidRPr="00AF7A93" w:rsidP="00AF7A93">
      <w:pPr>
        <w:pStyle w:val="ListBullet"/>
      </w:pPr>
      <w:r w:rsidRPr="00AF7A93">
        <w:t>hierarchy of courts and tribunals</w:t>
      </w:r>
    </w:p>
    <w:p w:rsidR="00000000" w:rsidRPr="00AF7A93" w:rsidP="00AF7A93">
      <w:pPr>
        <w:pStyle w:val="ListBullet"/>
      </w:pPr>
      <w:r w:rsidRPr="00AF7A93">
        <w:t>key documentation relevant to policing, legal and judicial processes</w:t>
      </w:r>
    </w:p>
    <w:p w:rsidR="00000000" w:rsidRPr="00AF7A93" w:rsidP="00AF7A93">
      <w:pPr>
        <w:pStyle w:val="ListBullet"/>
      </w:pPr>
      <w:r w:rsidRPr="00AF7A93">
        <w:t>legal privilege</w:t>
      </w:r>
    </w:p>
    <w:p w:rsidR="00000000" w:rsidRPr="00AF7A93" w:rsidP="00AF7A93">
      <w:pPr>
        <w:pStyle w:val="ListBullet"/>
      </w:pPr>
      <w:r w:rsidRPr="00AF7A93">
        <w:t>legal systems, inc</w:t>
      </w:r>
      <w:r w:rsidRPr="00AF7A93">
        <w:t>luding common law and code law</w:t>
      </w:r>
    </w:p>
    <w:p w:rsidR="00000000" w:rsidRPr="00AF7A93" w:rsidP="00AF7A93">
      <w:pPr>
        <w:pStyle w:val="ListBullet"/>
      </w:pPr>
      <w:r w:rsidRPr="00AF7A93">
        <w:t>information sources for increasing legal knowledge and terminology</w:t>
      </w:r>
    </w:p>
    <w:p w:rsidR="00000000" w:rsidRPr="00AF7A93" w:rsidP="00AF7A93">
      <w:pPr>
        <w:pStyle w:val="ListBullet"/>
      </w:pPr>
      <w:r w:rsidRPr="00AF7A93">
        <w:t xml:space="preserve">legal principles relating to the role of the interpreter, including the right of a defendant to be ‘linguistically present’ </w:t>
      </w:r>
    </w:p>
    <w:p w:rsidR="00000000" w:rsidRPr="00AF7A93" w:rsidP="00AF7A93">
      <w:pPr>
        <w:pStyle w:val="ListBullet"/>
      </w:pPr>
      <w:r w:rsidRPr="00AF7A93">
        <w:t>procedures for preparing affidavits and other legal documentation and legal cases</w:t>
      </w:r>
    </w:p>
    <w:p w:rsidR="00000000" w:rsidRPr="00AF7A93" w:rsidP="00AF7A93">
      <w:pPr>
        <w:pStyle w:val="ListBullet"/>
      </w:pPr>
      <w:r w:rsidRPr="00AF7A93">
        <w:t>relevant legislation, government policies and court guidelines</w:t>
      </w:r>
    </w:p>
    <w:p w:rsidR="00000000" w:rsidRPr="00AF7A93" w:rsidP="00AF7A93">
      <w:pPr>
        <w:pStyle w:val="ListBullet"/>
      </w:pPr>
      <w:r w:rsidRPr="00AF7A93">
        <w:t>WHS relevant to working in legal and policing contexts, including personal safety and fatigue</w:t>
      </w:r>
    </w:p>
    <w:p w:rsidR="00000000" w:rsidRPr="00AF7A93" w:rsidP="00AF7A93">
      <w:pPr>
        <w:pStyle w:val="AllowPageBreak"/>
      </w:pPr>
    </w:p>
    <w:p w:rsidR="00000000" w:rsidRPr="00AF7A93" w:rsidP="00AF7A93">
      <w:pPr>
        <w:pStyle w:val="Heading1"/>
      </w:pPr>
      <w:bookmarkStart w:id="12" w:name="O_829960"/>
      <w:bookmarkEnd w:id="12"/>
      <w:r w:rsidRPr="00AF7A93">
        <w:t>Assessment Conditions</w:t>
      </w:r>
    </w:p>
    <w:p w:rsidR="00000000" w:rsidRPr="00AF7A93" w:rsidP="00304A66">
      <w:pPr>
        <w:pStyle w:val="BodyText"/>
      </w:pPr>
      <w:r w:rsidRPr="00AF7A93">
        <w:t xml:space="preserve">Assessment of this unit of competency must include interpreting in real or simulated complex dialogue or monologue settings in specialist legal and policing contexts. </w:t>
      </w:r>
    </w:p>
    <w:p w:rsidR="00000000" w:rsidRPr="00AF7A93" w:rsidP="00304A66">
      <w:pPr>
        <w:pStyle w:val="BodyText"/>
      </w:pPr>
      <w:r w:rsidRPr="00AF7A93">
        <w:t>Consideration must be given to holistic assessment for this unit.</w:t>
      </w:r>
      <w:r w:rsidRPr="00AF7A93">
        <w:t xml:space="preserve"> Refer to advice in the companion volumes.</w:t>
      </w:r>
    </w:p>
    <w:p w:rsidR="00304A66" w:rsidP="00304A66">
      <w:pPr>
        <w:pStyle w:val="BodyText"/>
      </w:pPr>
      <w:r w:rsidRPr="00AF7A93">
        <w:t>Assessors must satisfy the NVR/AQTF mandatory competency requirements for assessors.</w:t>
      </w:r>
    </w:p>
    <w:p w:rsidR="00000000" w:rsidRPr="00AF7A93" w:rsidP="00AF7A93">
      <w:pPr>
        <w:pStyle w:val="Heading1"/>
      </w:pPr>
      <w:bookmarkStart w:id="13" w:name="O_829963"/>
      <w:bookmarkEnd w:id="13"/>
      <w:r w:rsidRPr="00AF7A93">
        <w:t>Links</w:t>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304A66">
      <w:pPr>
        <w:pStyle w:val="BodyText"/>
      </w:pPr>
      <w:r w:rsidRPr="00AF7A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20FE">
        <w:rPr>
          <w:rStyle w:val="Hyperlink"/>
        </w:rPr>
        <w:t>https://vetnet.gov.au/Pages/TrainingDocs.aspx?q=bebbece7-ff48-4d2c-8876-405679019623</w:t>
      </w:r>
      <w:r>
        <w:fldChar w:fldCharType="end"/>
      </w:r>
    </w:p>
    <w:p w:rsidR="00000000" w:rsidRPr="00AF7A93" w:rsidP="00AF7A93"/>
    <w:sectPr w:rsidSect="00AF7A9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rsidRPr="00304A66" w:rsidP="00304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66" w:rsidP="00AF7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A66" w:rsidP="00AF7A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4A66" w:rsidP="00AF7A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rsidP="00AF7A93">
    <w:pPr>
      <w:pStyle w:val="Footer"/>
      <w:framePr w:wrap="around"/>
    </w:pPr>
    <w:r>
      <w:fldChar w:fldCharType="begin"/>
    </w:r>
    <w:r>
      <w:instrText xml:space="preserve"> DOCPROPERTY  Subject  \* MERGEFORMAT </w:instrText>
    </w:r>
    <w:r>
      <w:fldChar w:fldCharType="separate"/>
    </w:r>
    <w:r w:rsidR="00304A66">
      <w:t>Approved</w:t>
    </w:r>
    <w:r w:rsidR="00304A66">
      <w:fldChar w:fldCharType="end"/>
    </w:r>
    <w:r>
      <w:tab/>
      <w:t xml:space="preserve">Page </w:t>
    </w:r>
    <w:r>
      <w:fldChar w:fldCharType="begin"/>
    </w:r>
    <w:r>
      <w:instrText xml:space="preserve"> PAGE  \* Arabic  \* MERGEFORMAT </w:instrText>
    </w:r>
    <w:r>
      <w:fldChar w:fldCharType="separate"/>
    </w:r>
    <w:r w:rsidR="00304A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4A66">
      <w:rPr>
        <w:noProof/>
      </w:rPr>
      <w:t>4</w:t>
    </w:r>
    <w:r>
      <w:rPr>
        <w:noProof/>
      </w:rPr>
      <w:fldChar w:fldCharType="end"/>
    </w:r>
  </w:p>
  <w:p w:rsidR="00AF7A93" w:rsidP="00AF7A93">
    <w:pPr>
      <w:pStyle w:val="Footer"/>
      <w:framePr w:wrap="around"/>
    </w:pPr>
    <w:r>
      <w:t xml:space="preserve">© Commonwealth of Australia, </w:t>
    </w:r>
    <w:r>
      <w:fldChar w:fldCharType="begin"/>
    </w:r>
    <w:r>
      <w:instrText xml:space="preserve"> DATE  \@ "yyyy"  \* MERGEFORMAT </w:instrText>
    </w:r>
    <w:r>
      <w:fldChar w:fldCharType="separate"/>
    </w:r>
    <w:r w:rsidR="00304A66">
      <w:rPr>
        <w:noProof/>
      </w:rPr>
      <w:t>2025</w:t>
    </w:r>
    <w:r>
      <w:fldChar w:fldCharType="end"/>
    </w:r>
    <w:r>
      <w:tab/>
    </w:r>
    <w:r>
      <w:fldChar w:fldCharType="begin"/>
    </w:r>
    <w:r>
      <w:instrText xml:space="preserve"> DOCPROPERTY  Author  \* MERGEFORMAT </w:instrText>
    </w:r>
    <w:r>
      <w:fldChar w:fldCharType="separate"/>
    </w:r>
    <w:r w:rsidR="00304A66">
      <w:t>Public Skills Australia</w:t>
    </w:r>
    <w:r w:rsidR="00304A66">
      <w:fldChar w:fldCharType="end"/>
    </w:r>
  </w:p>
  <w:p w:rsidR="00AF7A93" w:rsidP="00AF7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A93" w:rsidRPr="00304A66" w:rsidP="00304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66" w:rsidRPr="002D2AF8" w:rsidP="00AF7A93">
    <w:pPr>
      <w:pStyle w:val="Header"/>
      <w:framePr w:wrap="around"/>
    </w:pPr>
    <w:r>
      <w:fldChar w:fldCharType="begin"/>
    </w:r>
    <w:r>
      <w:instrText xml:space="preserve"> TITLE   \* MERGEFORMAT </w:instrText>
    </w:r>
    <w:r>
      <w:fldChar w:fldCharType="separate"/>
    </w:r>
    <w:r>
      <w:t>PSPTIS093 Use complex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4A66" w:rsidP="00AF7A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93" w:rsidRPr="002D2AF8" w:rsidP="00AF7A93">
    <w:pPr>
      <w:pStyle w:val="Header"/>
      <w:framePr w:wrap="around"/>
    </w:pPr>
    <w:r>
      <w:fldChar w:fldCharType="begin"/>
    </w:r>
    <w:r>
      <w:instrText xml:space="preserve"> TITLE   \* MERGEFORMAT </w:instrText>
    </w:r>
    <w:r>
      <w:fldChar w:fldCharType="separate"/>
    </w:r>
    <w:r w:rsidR="00304A66">
      <w:t>PSPTIS093 Use complex legal terminology in interpreting (LOTE-English)</w:t>
    </w:r>
    <w:r w:rsidR="00304A66">
      <w:fldChar w:fldCharType="end"/>
    </w:r>
    <w:r>
      <w:tab/>
      <w:t xml:space="preserve">Date this document was generated: </w:t>
    </w:r>
    <w:r>
      <w:fldChar w:fldCharType="begin"/>
    </w:r>
    <w:r>
      <w:instrText xml:space="preserve"> CREATEDATE  \@ "d MMMM yyyy"  \* MERGEFORMAT </w:instrText>
    </w:r>
    <w:r>
      <w:fldChar w:fldCharType="separate"/>
    </w:r>
    <w:r w:rsidR="00304A66">
      <w:rPr>
        <w:noProof/>
      </w:rPr>
      <w:t>2 March 2025</w:t>
    </w:r>
    <w:r>
      <w:fldChar w:fldCharType="end"/>
    </w:r>
  </w:p>
  <w:p w:rsidR="00AF7A93" w:rsidP="00AF7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8D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86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6E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A93"/>
    <w:pPr>
      <w:spacing w:before="360" w:after="60"/>
      <w:outlineLvl w:val="0"/>
    </w:pPr>
    <w:rPr>
      <w:sz w:val="32"/>
    </w:rPr>
  </w:style>
  <w:style w:type="paragraph" w:styleId="Heading2">
    <w:name w:val="heading 2"/>
    <w:basedOn w:val="HeadingBase"/>
    <w:next w:val="BodyText"/>
    <w:link w:val="Heading2Char"/>
    <w:qFormat/>
    <w:rsid w:val="00AF7A93"/>
    <w:pPr>
      <w:keepLines/>
      <w:spacing w:before="240" w:after="120"/>
      <w:outlineLvl w:val="1"/>
    </w:pPr>
    <w:rPr>
      <w:sz w:val="28"/>
      <w:szCs w:val="40"/>
    </w:rPr>
  </w:style>
  <w:style w:type="paragraph" w:styleId="Heading3">
    <w:name w:val="heading 3"/>
    <w:basedOn w:val="HeadingBase"/>
    <w:next w:val="BodyText"/>
    <w:link w:val="Heading3Char"/>
    <w:qFormat/>
    <w:rsid w:val="00AF7A93"/>
    <w:pPr>
      <w:spacing w:before="180" w:after="120"/>
      <w:outlineLvl w:val="2"/>
    </w:pPr>
    <w:rPr>
      <w:spacing w:val="-10"/>
      <w:kern w:val="32"/>
    </w:rPr>
  </w:style>
  <w:style w:type="paragraph" w:styleId="Heading4">
    <w:name w:val="heading 4"/>
    <w:basedOn w:val="HeadingBase"/>
    <w:next w:val="BodyText"/>
    <w:link w:val="Heading4Char"/>
    <w:qFormat/>
    <w:rsid w:val="00AF7A93"/>
    <w:pPr>
      <w:spacing w:before="160" w:after="120"/>
      <w:outlineLvl w:val="3"/>
    </w:pPr>
    <w:rPr>
      <w:sz w:val="22"/>
    </w:rPr>
  </w:style>
  <w:style w:type="paragraph" w:styleId="Heading5">
    <w:name w:val="heading 5"/>
    <w:basedOn w:val="HeadingBase"/>
    <w:next w:val="Normal"/>
    <w:link w:val="Heading5Char"/>
    <w:qFormat/>
    <w:rsid w:val="00AF7A93"/>
    <w:pPr>
      <w:spacing w:before="80"/>
      <w:outlineLvl w:val="4"/>
    </w:pPr>
    <w:rPr>
      <w:color w:val="918585"/>
      <w:sz w:val="20"/>
    </w:rPr>
  </w:style>
  <w:style w:type="paragraph" w:styleId="Heading6">
    <w:name w:val="heading 6"/>
    <w:basedOn w:val="HeadingBase"/>
    <w:next w:val="Normal"/>
    <w:link w:val="Heading6Char"/>
    <w:qFormat/>
    <w:rsid w:val="00AF7A93"/>
    <w:pPr>
      <w:spacing w:before="60"/>
      <w:outlineLvl w:val="5"/>
    </w:pPr>
    <w:rPr>
      <w:color w:val="918585"/>
      <w:sz w:val="20"/>
    </w:rPr>
  </w:style>
  <w:style w:type="paragraph" w:styleId="Heading7">
    <w:name w:val="heading 7"/>
    <w:basedOn w:val="Normal"/>
    <w:next w:val="Normal"/>
    <w:link w:val="Heading7Char"/>
    <w:qFormat/>
    <w:rsid w:val="00AF7A93"/>
    <w:pPr>
      <w:ind w:left="720"/>
      <w:outlineLvl w:val="6"/>
    </w:pPr>
    <w:rPr>
      <w:i/>
    </w:rPr>
  </w:style>
  <w:style w:type="paragraph" w:styleId="Heading8">
    <w:name w:val="heading 8"/>
    <w:basedOn w:val="Normal"/>
    <w:next w:val="Normal"/>
    <w:link w:val="Heading8Char"/>
    <w:qFormat/>
    <w:rsid w:val="00AF7A93"/>
    <w:pPr>
      <w:ind w:left="720"/>
      <w:outlineLvl w:val="7"/>
    </w:pPr>
    <w:rPr>
      <w:i/>
    </w:rPr>
  </w:style>
  <w:style w:type="paragraph" w:styleId="Heading9">
    <w:name w:val="heading 9"/>
    <w:basedOn w:val="Normal"/>
    <w:next w:val="Normal"/>
    <w:link w:val="Heading9Char"/>
    <w:qFormat/>
    <w:rsid w:val="00AF7A93"/>
    <w:pPr>
      <w:ind w:left="720"/>
      <w:outlineLvl w:val="8"/>
    </w:pPr>
    <w:rPr>
      <w:i/>
    </w:rPr>
  </w:style>
  <w:style w:type="character" w:default="1" w:styleId="DefaultParagraphFont">
    <w:name w:val="Default Paragraph Font"/>
    <w:uiPriority w:val="1"/>
    <w:unhideWhenUsed/>
    <w:rsid w:val="00AF7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A93"/>
  </w:style>
  <w:style w:type="character" w:customStyle="1" w:styleId="Heading1Char">
    <w:name w:val="Heading 1 Char"/>
    <w:basedOn w:val="DefaultParagraphFont"/>
    <w:link w:val="Heading1"/>
    <w:rsid w:val="00AF7A93"/>
    <w:rPr>
      <w:rFonts w:ascii="Times New Roman" w:eastAsia="Times New Roman" w:hAnsi="Times New Roman" w:cs="Times New Roman"/>
      <w:b/>
      <w:sz w:val="32"/>
      <w:szCs w:val="20"/>
      <w:lang w:eastAsia="en-US"/>
    </w:rPr>
  </w:style>
  <w:style w:type="paragraph" w:styleId="BodyText">
    <w:name w:val="Body Text"/>
    <w:basedOn w:val="Normal"/>
    <w:link w:val="BodyTextChar"/>
    <w:rsid w:val="00AF7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A93"/>
    <w:rPr>
      <w:rFonts w:ascii="Times New Roman" w:eastAsia="Times New Roman" w:hAnsi="Times New Roman" w:cs="Times New Roman"/>
      <w:sz w:val="24"/>
      <w:lang w:eastAsia="en-US"/>
    </w:rPr>
  </w:style>
  <w:style w:type="paragraph" w:styleId="List">
    <w:name w:val="List"/>
    <w:basedOn w:val="BodyText"/>
    <w:next w:val="BodyText"/>
    <w:rsid w:val="00AF7A93"/>
    <w:pPr>
      <w:tabs>
        <w:tab w:val="left" w:pos="340"/>
      </w:tabs>
      <w:spacing w:before="60" w:after="60"/>
      <w:ind w:left="340" w:hanging="340"/>
    </w:pPr>
  </w:style>
  <w:style w:type="paragraph" w:styleId="ListBullet">
    <w:name w:val="List Bullet"/>
    <w:basedOn w:val="List"/>
    <w:rsid w:val="00AF7A93"/>
    <w:pPr>
      <w:numPr>
        <w:numId w:val="12"/>
      </w:numPr>
      <w:tabs>
        <w:tab w:val="clear" w:pos="340"/>
      </w:tabs>
      <w:spacing w:before="40" w:after="40"/>
    </w:pPr>
  </w:style>
  <w:style w:type="character" w:customStyle="1" w:styleId="SpecialBold">
    <w:name w:val="Special Bold"/>
    <w:basedOn w:val="DefaultParagraphFont"/>
    <w:rsid w:val="00AF7A93"/>
    <w:rPr>
      <w:b/>
      <w:spacing w:val="0"/>
    </w:rPr>
  </w:style>
  <w:style w:type="paragraph" w:styleId="ListBullet2">
    <w:name w:val="List Bullet 2"/>
    <w:basedOn w:val="List2"/>
    <w:rsid w:val="00AF7A93"/>
    <w:pPr>
      <w:numPr>
        <w:numId w:val="13"/>
      </w:numPr>
      <w:tabs>
        <w:tab w:val="clear" w:pos="680"/>
      </w:tabs>
    </w:pPr>
  </w:style>
  <w:style w:type="paragraph" w:customStyle="1" w:styleId="SuperHeading">
    <w:name w:val="SuperHeading"/>
    <w:basedOn w:val="Normal"/>
    <w:rsid w:val="00AF7A93"/>
    <w:pPr>
      <w:spacing w:before="240" w:after="120"/>
      <w:outlineLvl w:val="0"/>
    </w:pPr>
    <w:rPr>
      <w:rFonts w:ascii="Times New Roman" w:hAnsi="Times New Roman"/>
      <w:b/>
      <w:sz w:val="32"/>
    </w:rPr>
  </w:style>
  <w:style w:type="paragraph" w:customStyle="1" w:styleId="TableHeading">
    <w:name w:val="Table Heading"/>
    <w:basedOn w:val="HeadingBase"/>
    <w:rsid w:val="00AF7A93"/>
    <w:pPr>
      <w:keepLines/>
      <w:pBdr>
        <w:bottom w:val="single" w:sz="6" w:space="1" w:color="918585"/>
      </w:pBdr>
      <w:spacing w:before="240"/>
    </w:pPr>
  </w:style>
  <w:style w:type="paragraph" w:customStyle="1" w:styleId="AllowPageBreak">
    <w:name w:val="AllowPageBreak"/>
    <w:rsid w:val="00AF7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A93"/>
    <w:rPr>
      <w:rFonts w:ascii="Courier New" w:eastAsia="Times New Roman" w:hAnsi="Courier New" w:cs="Times New Roman"/>
      <w:i/>
      <w:szCs w:val="20"/>
      <w:lang w:eastAsia="en-US"/>
    </w:rPr>
  </w:style>
  <w:style w:type="paragraph" w:customStyle="1" w:styleId="HeadingBase">
    <w:name w:val="Heading Base"/>
    <w:rsid w:val="00AF7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A93"/>
    <w:pPr>
      <w:tabs>
        <w:tab w:val="right" w:leader="dot" w:pos="9072"/>
      </w:tabs>
      <w:ind w:left="567"/>
    </w:pPr>
    <w:rPr>
      <w:szCs w:val="22"/>
    </w:rPr>
  </w:style>
  <w:style w:type="paragraph" w:customStyle="1" w:styleId="TOCBase">
    <w:name w:val="TOC Base"/>
    <w:rsid w:val="00AF7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A93"/>
    <w:pPr>
      <w:tabs>
        <w:tab w:val="right" w:leader="dot" w:pos="9072"/>
      </w:tabs>
      <w:spacing w:before="40" w:after="40"/>
      <w:ind w:left="284"/>
    </w:pPr>
    <w:rPr>
      <w:rFonts w:ascii="Times New Roman" w:hAnsi="Times New Roman"/>
    </w:rPr>
  </w:style>
  <w:style w:type="paragraph" w:styleId="TOC1">
    <w:name w:val="toc 1"/>
    <w:basedOn w:val="TOCBase"/>
    <w:next w:val="Normal"/>
    <w:rsid w:val="00AF7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A93"/>
    <w:rPr>
      <w:rFonts w:ascii="Times New Roman" w:eastAsia="Times New Roman" w:hAnsi="Times New Roman" w:cs="Times New Roman"/>
      <w:sz w:val="16"/>
      <w:lang w:eastAsia="en-US"/>
    </w:rPr>
  </w:style>
  <w:style w:type="paragraph" w:styleId="Title">
    <w:name w:val="Title"/>
    <w:basedOn w:val="HeadingBase"/>
    <w:link w:val="TitleChar"/>
    <w:qFormat/>
    <w:rsid w:val="00AF7A93"/>
    <w:pPr>
      <w:spacing w:before="5040"/>
      <w:jc w:val="center"/>
    </w:pPr>
    <w:rPr>
      <w:sz w:val="48"/>
      <w:szCs w:val="72"/>
      <w:lang w:val="en-US"/>
    </w:rPr>
  </w:style>
  <w:style w:type="character" w:customStyle="1" w:styleId="TitleChar">
    <w:name w:val="Title Char"/>
    <w:basedOn w:val="DefaultParagraphFont"/>
    <w:link w:val="Title"/>
    <w:rsid w:val="00AF7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A93"/>
    <w:pPr>
      <w:tabs>
        <w:tab w:val="left" w:pos="3600"/>
        <w:tab w:val="left" w:pos="3958"/>
      </w:tabs>
    </w:pPr>
  </w:style>
  <w:style w:type="paragraph" w:customStyle="1" w:styleId="Note">
    <w:name w:val="Note"/>
    <w:basedOn w:val="BodyText"/>
    <w:rsid w:val="00AF7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A93"/>
    <w:pPr>
      <w:framePr w:wrap="auto" w:hAnchor="text" w:y="6049"/>
    </w:pPr>
    <w:rPr>
      <w:color w:val="000000"/>
      <w:sz w:val="40"/>
    </w:rPr>
  </w:style>
  <w:style w:type="paragraph" w:customStyle="1" w:styleId="TOCTitle">
    <w:name w:val="TOCTitle"/>
    <w:basedOn w:val="Heading1"/>
    <w:rsid w:val="00AF7A93"/>
    <w:pPr>
      <w:spacing w:after="240"/>
      <w:jc w:val="center"/>
      <w:outlineLvl w:val="9"/>
    </w:pPr>
    <w:rPr>
      <w:caps/>
    </w:rPr>
  </w:style>
  <w:style w:type="paragraph" w:customStyle="1" w:styleId="Version">
    <w:name w:val="Version"/>
    <w:rsid w:val="00AF7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A93"/>
    <w:pPr>
      <w:keepNext w:val="0"/>
      <w:tabs>
        <w:tab w:val="right" w:pos="4176"/>
      </w:tabs>
      <w:ind w:left="198" w:hanging="198"/>
    </w:pPr>
    <w:rPr>
      <w:rFonts w:ascii="Garamond" w:hAnsi="Garamond"/>
    </w:rPr>
  </w:style>
  <w:style w:type="paragraph" w:styleId="IndexHeading">
    <w:name w:val="index heading"/>
    <w:basedOn w:val="Normal"/>
    <w:next w:val="Index1"/>
    <w:semiHidden/>
    <w:rsid w:val="00AF7A93"/>
    <w:pPr>
      <w:spacing w:before="120" w:after="120"/>
    </w:pPr>
    <w:rPr>
      <w:rFonts w:ascii="Arial" w:hAnsi="Arial"/>
      <w:b/>
      <w:color w:val="918585"/>
      <w:sz w:val="24"/>
    </w:rPr>
  </w:style>
  <w:style w:type="paragraph" w:styleId="Header">
    <w:name w:val="header"/>
    <w:basedOn w:val="Normal"/>
    <w:link w:val="HeaderChar"/>
    <w:rsid w:val="00AF7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A93"/>
    <w:rPr>
      <w:rFonts w:ascii="Times New Roman" w:eastAsia="Times New Roman" w:hAnsi="Times New Roman" w:cs="Times New Roman"/>
      <w:sz w:val="16"/>
      <w:szCs w:val="20"/>
      <w:lang w:val="en-GB" w:eastAsia="en-US"/>
    </w:rPr>
  </w:style>
  <w:style w:type="paragraph" w:customStyle="1" w:styleId="Chapter">
    <w:name w:val="Chapter"/>
    <w:basedOn w:val="Normal"/>
    <w:rsid w:val="00AF7A93"/>
    <w:pPr>
      <w:spacing w:before="240"/>
    </w:pPr>
    <w:rPr>
      <w:rFonts w:ascii="Times New Roman" w:hAnsi="Times New Roman"/>
      <w:smallCaps/>
      <w:spacing w:val="80"/>
      <w:sz w:val="28"/>
    </w:rPr>
  </w:style>
  <w:style w:type="paragraph" w:customStyle="1" w:styleId="InChapter">
    <w:name w:val="InChapter"/>
    <w:basedOn w:val="Heading3"/>
    <w:rsid w:val="00AF7A93"/>
    <w:pPr>
      <w:spacing w:after="240"/>
      <w:outlineLvl w:val="9"/>
    </w:pPr>
    <w:rPr>
      <w:noProof/>
    </w:rPr>
  </w:style>
  <w:style w:type="paragraph" w:styleId="Index2">
    <w:name w:val="index 2"/>
    <w:basedOn w:val="Normal"/>
    <w:next w:val="Normal"/>
    <w:semiHidden/>
    <w:rsid w:val="00AF7A93"/>
    <w:pPr>
      <w:tabs>
        <w:tab w:val="right" w:pos="4176"/>
      </w:tabs>
      <w:ind w:left="568" w:hanging="284"/>
    </w:pPr>
    <w:rPr>
      <w:rFonts w:ascii="Garamond" w:hAnsi="Garamond"/>
    </w:rPr>
  </w:style>
  <w:style w:type="paragraph" w:customStyle="1" w:styleId="Byline">
    <w:name w:val="Byline"/>
    <w:rsid w:val="00AF7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A93"/>
    <w:pPr>
      <w:tabs>
        <w:tab w:val="clear" w:pos="3600"/>
        <w:tab w:val="clear" w:pos="3958"/>
      </w:tabs>
      <w:jc w:val="right"/>
    </w:pPr>
  </w:style>
  <w:style w:type="character" w:styleId="Emphasis">
    <w:name w:val="Emphasis"/>
    <w:basedOn w:val="DefaultParagraphFont"/>
    <w:qFormat/>
    <w:rsid w:val="00AF7A93"/>
    <w:rPr>
      <w:i/>
    </w:rPr>
  </w:style>
  <w:style w:type="paragraph" w:styleId="Caption">
    <w:name w:val="caption"/>
    <w:basedOn w:val="BodyText"/>
    <w:next w:val="Normal"/>
    <w:qFormat/>
    <w:rsid w:val="00AF7A93"/>
    <w:pPr>
      <w:framePr w:w="2268" w:hSpace="181" w:vSpace="181" w:wrap="around" w:vAnchor="text" w:hAnchor="page" w:x="1135" w:y="285" w:anchorLock="1"/>
    </w:pPr>
    <w:rPr>
      <w:i/>
    </w:rPr>
  </w:style>
  <w:style w:type="paragraph" w:customStyle="1" w:styleId="MiniTOCTitle">
    <w:name w:val="MiniTOCTitle"/>
    <w:basedOn w:val="Heading4"/>
    <w:rsid w:val="00AF7A93"/>
    <w:pPr>
      <w:spacing w:before="240"/>
      <w:outlineLvl w:val="9"/>
    </w:pPr>
    <w:rPr>
      <w:noProof/>
      <w:sz w:val="24"/>
    </w:rPr>
  </w:style>
  <w:style w:type="paragraph" w:customStyle="1" w:styleId="MiniTOCItem">
    <w:name w:val="MiniTOCItem"/>
    <w:basedOn w:val="ListBullet"/>
    <w:rsid w:val="00AF7A93"/>
    <w:pPr>
      <w:numPr>
        <w:numId w:val="0"/>
      </w:numPr>
      <w:tabs>
        <w:tab w:val="right" w:leader="dot" w:pos="6521"/>
      </w:tabs>
      <w:spacing w:before="0" w:after="0"/>
    </w:pPr>
  </w:style>
  <w:style w:type="paragraph" w:customStyle="1" w:styleId="TOFTitle">
    <w:name w:val="TOFTitle"/>
    <w:basedOn w:val="TOCTitle"/>
    <w:rsid w:val="00AF7A93"/>
  </w:style>
  <w:style w:type="paragraph" w:styleId="TableofFigures">
    <w:name w:val="table of figures"/>
    <w:basedOn w:val="Normal"/>
    <w:next w:val="Normal"/>
    <w:semiHidden/>
    <w:rsid w:val="00AF7A93"/>
    <w:pPr>
      <w:tabs>
        <w:tab w:val="right" w:leader="dot" w:pos="9072"/>
      </w:tabs>
      <w:ind w:left="970" w:hanging="403"/>
    </w:pPr>
    <w:rPr>
      <w:rFonts w:ascii="Times New Roman" w:hAnsi="Times New Roman"/>
      <w:b/>
    </w:rPr>
  </w:style>
  <w:style w:type="paragraph" w:styleId="ListNumber">
    <w:name w:val="List Number"/>
    <w:basedOn w:val="List"/>
    <w:rsid w:val="00AF7A93"/>
    <w:pPr>
      <w:numPr>
        <w:numId w:val="15"/>
      </w:numPr>
      <w:tabs>
        <w:tab w:val="clear" w:pos="340"/>
      </w:tabs>
    </w:pPr>
  </w:style>
  <w:style w:type="character" w:customStyle="1" w:styleId="WingdingSymbols">
    <w:name w:val="Wingding Symbols"/>
    <w:rsid w:val="00AF7A93"/>
    <w:rPr>
      <w:rFonts w:ascii="Wingdings" w:hAnsi="Wingdings"/>
    </w:rPr>
  </w:style>
  <w:style w:type="character" w:customStyle="1" w:styleId="HotSpot">
    <w:name w:val="HotSpot"/>
    <w:rsid w:val="00AF7A93"/>
    <w:rPr>
      <w:color w:val="0033CC"/>
      <w:u w:val="none"/>
    </w:rPr>
  </w:style>
  <w:style w:type="paragraph" w:customStyle="1" w:styleId="BodyTextRight">
    <w:name w:val="Body Text Right"/>
    <w:basedOn w:val="BodyText"/>
    <w:rsid w:val="00AF7A93"/>
    <w:pPr>
      <w:spacing w:before="0" w:after="0"/>
      <w:jc w:val="right"/>
    </w:pPr>
  </w:style>
  <w:style w:type="paragraph" w:styleId="Index3">
    <w:name w:val="index 3"/>
    <w:basedOn w:val="ListNumber2"/>
    <w:next w:val="Normal"/>
    <w:semiHidden/>
    <w:rsid w:val="00AF7A93"/>
    <w:pPr>
      <w:numPr>
        <w:numId w:val="0"/>
      </w:numPr>
      <w:tabs>
        <w:tab w:val="right" w:leader="dot" w:pos="4176"/>
      </w:tabs>
    </w:pPr>
  </w:style>
  <w:style w:type="paragraph" w:styleId="ListNumber2">
    <w:name w:val="List Number 2"/>
    <w:basedOn w:val="List2"/>
    <w:rsid w:val="00AF7A93"/>
    <w:pPr>
      <w:numPr>
        <w:numId w:val="10"/>
      </w:numPr>
      <w:tabs>
        <w:tab w:val="clear" w:pos="1060"/>
      </w:tabs>
    </w:pPr>
  </w:style>
  <w:style w:type="paragraph" w:customStyle="1" w:styleId="MarginNote">
    <w:name w:val="Margin Note"/>
    <w:basedOn w:val="BodyText"/>
    <w:rsid w:val="00AF7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A93"/>
    <w:rPr>
      <w:sz w:val="32"/>
    </w:rPr>
  </w:style>
  <w:style w:type="paragraph" w:customStyle="1" w:styleId="HeadingProcedure">
    <w:name w:val="Heading Procedure"/>
    <w:basedOn w:val="HeadingBase"/>
    <w:next w:val="Normal"/>
    <w:rsid w:val="00AF7A93"/>
    <w:pPr>
      <w:tabs>
        <w:tab w:val="left" w:pos="0"/>
      </w:tabs>
      <w:spacing w:before="120" w:after="60"/>
    </w:pPr>
    <w:rPr>
      <w:i/>
      <w:color w:val="918585"/>
      <w:sz w:val="22"/>
    </w:rPr>
  </w:style>
  <w:style w:type="paragraph" w:customStyle="1" w:styleId="TableBodyText">
    <w:name w:val="Table Body Text"/>
    <w:basedOn w:val="BodyText"/>
    <w:rsid w:val="00AF7A93"/>
    <w:pPr>
      <w:spacing w:before="60" w:after="60"/>
    </w:pPr>
  </w:style>
  <w:style w:type="paragraph" w:styleId="ListContinue">
    <w:name w:val="List Continue"/>
    <w:basedOn w:val="List"/>
    <w:rsid w:val="00AF7A93"/>
    <w:pPr>
      <w:ind w:firstLine="0"/>
    </w:pPr>
  </w:style>
  <w:style w:type="paragraph" w:customStyle="1" w:styleId="ListNote">
    <w:name w:val="List Note"/>
    <w:basedOn w:val="List"/>
    <w:rsid w:val="00AF7A93"/>
    <w:pPr>
      <w:pBdr>
        <w:top w:val="single" w:sz="6" w:space="2" w:color="918585"/>
        <w:bottom w:val="single" w:sz="6" w:space="2" w:color="918585"/>
      </w:pBdr>
      <w:tabs>
        <w:tab w:val="left" w:pos="1021"/>
      </w:tabs>
      <w:ind w:firstLine="0"/>
    </w:pPr>
  </w:style>
  <w:style w:type="paragraph" w:customStyle="1" w:styleId="Warning">
    <w:name w:val="Warning"/>
    <w:basedOn w:val="BodyText"/>
    <w:rsid w:val="00AF7A93"/>
    <w:pPr>
      <w:shd w:val="clear" w:color="auto" w:fill="D9D9D9"/>
      <w:tabs>
        <w:tab w:val="left" w:pos="992"/>
      </w:tabs>
      <w:ind w:left="119" w:right="119"/>
    </w:pPr>
    <w:rPr>
      <w:sz w:val="20"/>
    </w:rPr>
  </w:style>
  <w:style w:type="paragraph" w:customStyle="1" w:styleId="MarginIcons">
    <w:name w:val="Margin Icons"/>
    <w:basedOn w:val="BodyText"/>
    <w:rsid w:val="00AF7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A93"/>
    <w:rPr>
      <w:rFonts w:ascii="Courier New" w:hAnsi="Courier New"/>
    </w:rPr>
  </w:style>
  <w:style w:type="paragraph" w:customStyle="1" w:styleId="NoteBullet">
    <w:name w:val="Note Bullet"/>
    <w:basedOn w:val="Note"/>
    <w:rsid w:val="00AF7A93"/>
    <w:pPr>
      <w:tabs>
        <w:tab w:val="clear" w:pos="680"/>
      </w:tabs>
      <w:spacing w:before="60" w:after="60"/>
    </w:pPr>
  </w:style>
  <w:style w:type="paragraph" w:customStyle="1" w:styleId="SubHeading2">
    <w:name w:val="SubHeading2"/>
    <w:basedOn w:val="HeadingBase"/>
    <w:rsid w:val="00AF7A93"/>
    <w:pPr>
      <w:spacing w:before="240" w:after="60"/>
    </w:pPr>
    <w:rPr>
      <w:sz w:val="20"/>
    </w:rPr>
  </w:style>
  <w:style w:type="paragraph" w:customStyle="1" w:styleId="SubHeading1">
    <w:name w:val="SubHeading1"/>
    <w:basedOn w:val="HeadingBase"/>
    <w:rsid w:val="00AF7A93"/>
    <w:pPr>
      <w:spacing w:before="240" w:after="60"/>
    </w:pPr>
    <w:rPr>
      <w:color w:val="918585"/>
      <w:sz w:val="22"/>
    </w:rPr>
  </w:style>
  <w:style w:type="paragraph" w:customStyle="1" w:styleId="SideHeading">
    <w:name w:val="Side Heading"/>
    <w:basedOn w:val="HeadingBase"/>
    <w:rsid w:val="00AF7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A93"/>
    <w:pPr>
      <w:tabs>
        <w:tab w:val="num" w:pos="360"/>
      </w:tabs>
    </w:pPr>
  </w:style>
  <w:style w:type="paragraph" w:styleId="PlainText">
    <w:name w:val="Plain Text"/>
    <w:basedOn w:val="Normal"/>
    <w:link w:val="PlainTextChar"/>
    <w:rsid w:val="00AF7A93"/>
    <w:rPr>
      <w:sz w:val="20"/>
    </w:rPr>
  </w:style>
  <w:style w:type="character" w:customStyle="1" w:styleId="PlainTextChar">
    <w:name w:val="Plain Text Char"/>
    <w:basedOn w:val="DefaultParagraphFont"/>
    <w:link w:val="PlainText"/>
    <w:rsid w:val="00AF7A93"/>
    <w:rPr>
      <w:rFonts w:ascii="Courier New" w:eastAsia="Times New Roman" w:hAnsi="Courier New" w:cs="Times New Roman"/>
      <w:sz w:val="20"/>
      <w:szCs w:val="20"/>
      <w:lang w:eastAsia="en-US"/>
    </w:rPr>
  </w:style>
  <w:style w:type="character" w:customStyle="1" w:styleId="MenuOption">
    <w:name w:val="Menu Option"/>
    <w:basedOn w:val="DefaultParagraphFont"/>
    <w:rsid w:val="00AF7A93"/>
    <w:rPr>
      <w:b/>
      <w:smallCaps/>
    </w:rPr>
  </w:style>
  <w:style w:type="paragraph" w:customStyle="1" w:styleId="TableListNumber">
    <w:name w:val="Table List Number"/>
    <w:basedOn w:val="ListNumber"/>
    <w:rsid w:val="00AF7A93"/>
    <w:pPr>
      <w:numPr>
        <w:numId w:val="0"/>
      </w:numPr>
    </w:pPr>
  </w:style>
  <w:style w:type="paragraph" w:styleId="TOC4">
    <w:name w:val="toc 4"/>
    <w:basedOn w:val="TOCBase"/>
    <w:next w:val="Normal"/>
    <w:semiHidden/>
    <w:rsid w:val="00AF7A93"/>
    <w:pPr>
      <w:tabs>
        <w:tab w:val="right" w:leader="dot" w:pos="9071"/>
      </w:tabs>
      <w:ind w:left="1701"/>
    </w:pPr>
  </w:style>
  <w:style w:type="paragraph" w:customStyle="1" w:styleId="ListAlpha">
    <w:name w:val="List Alpha"/>
    <w:basedOn w:val="List"/>
    <w:rsid w:val="00AF7A93"/>
    <w:pPr>
      <w:numPr>
        <w:numId w:val="9"/>
      </w:numPr>
    </w:pPr>
  </w:style>
  <w:style w:type="paragraph" w:customStyle="1" w:styleId="ListAlpha2">
    <w:name w:val="List Alpha 2"/>
    <w:basedOn w:val="List2"/>
    <w:rsid w:val="00AF7A93"/>
    <w:pPr>
      <w:numPr>
        <w:numId w:val="8"/>
      </w:numPr>
    </w:pPr>
  </w:style>
  <w:style w:type="paragraph" w:styleId="List2">
    <w:name w:val="List 2"/>
    <w:basedOn w:val="BodyText"/>
    <w:rsid w:val="00AF7A93"/>
    <w:pPr>
      <w:tabs>
        <w:tab w:val="left" w:pos="680"/>
      </w:tabs>
      <w:spacing w:before="60" w:after="60"/>
      <w:ind w:left="680" w:hanging="340"/>
    </w:pPr>
  </w:style>
  <w:style w:type="paragraph" w:styleId="List3">
    <w:name w:val="List 3"/>
    <w:basedOn w:val="BodyText"/>
    <w:rsid w:val="00AF7A93"/>
    <w:pPr>
      <w:tabs>
        <w:tab w:val="left" w:pos="1021"/>
      </w:tabs>
      <w:spacing w:before="60" w:after="60"/>
      <w:ind w:left="1020" w:hanging="340"/>
    </w:pPr>
  </w:style>
  <w:style w:type="paragraph" w:styleId="List4">
    <w:name w:val="List 4"/>
    <w:basedOn w:val="BodyText"/>
    <w:rsid w:val="00AF7A93"/>
    <w:pPr>
      <w:tabs>
        <w:tab w:val="left" w:pos="1361"/>
      </w:tabs>
      <w:spacing w:before="60" w:after="60"/>
      <w:ind w:left="1361" w:hanging="340"/>
    </w:pPr>
  </w:style>
  <w:style w:type="paragraph" w:styleId="List5">
    <w:name w:val="List 5"/>
    <w:basedOn w:val="BodyText"/>
    <w:rsid w:val="00AF7A93"/>
    <w:pPr>
      <w:tabs>
        <w:tab w:val="left" w:pos="1701"/>
      </w:tabs>
      <w:spacing w:before="60" w:after="60"/>
      <w:ind w:left="1701" w:hanging="340"/>
    </w:pPr>
  </w:style>
  <w:style w:type="paragraph" w:styleId="ListBullet3">
    <w:name w:val="List Bullet 3"/>
    <w:basedOn w:val="List3"/>
    <w:rsid w:val="00AF7A93"/>
    <w:pPr>
      <w:numPr>
        <w:numId w:val="14"/>
      </w:numPr>
      <w:tabs>
        <w:tab w:val="clear" w:pos="1021"/>
      </w:tabs>
      <w:ind w:left="1037" w:hanging="357"/>
    </w:pPr>
  </w:style>
  <w:style w:type="paragraph" w:styleId="ListBullet4">
    <w:name w:val="List Bullet 4"/>
    <w:basedOn w:val="List4"/>
    <w:rsid w:val="00AF7A93"/>
    <w:pPr>
      <w:numPr>
        <w:numId w:val="3"/>
      </w:numPr>
      <w:tabs>
        <w:tab w:val="clear" w:pos="1361"/>
      </w:tabs>
    </w:pPr>
  </w:style>
  <w:style w:type="paragraph" w:styleId="ListBullet5">
    <w:name w:val="List Bullet 5"/>
    <w:basedOn w:val="List5"/>
    <w:rsid w:val="00AF7A93"/>
    <w:pPr>
      <w:numPr>
        <w:numId w:val="4"/>
      </w:numPr>
    </w:pPr>
  </w:style>
  <w:style w:type="paragraph" w:styleId="ListContinue2">
    <w:name w:val="List Continue 2"/>
    <w:basedOn w:val="List2"/>
    <w:rsid w:val="00AF7A93"/>
    <w:pPr>
      <w:ind w:firstLine="0"/>
    </w:pPr>
  </w:style>
  <w:style w:type="paragraph" w:styleId="ListContinue3">
    <w:name w:val="List Continue 3"/>
    <w:basedOn w:val="List3"/>
    <w:rsid w:val="00AF7A93"/>
    <w:pPr>
      <w:ind w:left="1021" w:firstLine="0"/>
    </w:pPr>
  </w:style>
  <w:style w:type="paragraph" w:styleId="ListContinue4">
    <w:name w:val="List Continue 4"/>
    <w:basedOn w:val="List4"/>
    <w:rsid w:val="00AF7A93"/>
    <w:pPr>
      <w:ind w:firstLine="0"/>
    </w:pPr>
  </w:style>
  <w:style w:type="paragraph" w:styleId="ListContinue5">
    <w:name w:val="List Continue 5"/>
    <w:basedOn w:val="List5"/>
    <w:rsid w:val="00AF7A93"/>
    <w:pPr>
      <w:ind w:firstLine="0"/>
    </w:pPr>
  </w:style>
  <w:style w:type="paragraph" w:styleId="ListNumber3">
    <w:name w:val="List Number 3"/>
    <w:basedOn w:val="List3"/>
    <w:rsid w:val="00AF7A93"/>
    <w:pPr>
      <w:numPr>
        <w:numId w:val="5"/>
      </w:numPr>
    </w:pPr>
  </w:style>
  <w:style w:type="paragraph" w:styleId="ListNumber4">
    <w:name w:val="List Number 4"/>
    <w:basedOn w:val="List4"/>
    <w:rsid w:val="00AF7A93"/>
    <w:pPr>
      <w:numPr>
        <w:numId w:val="6"/>
      </w:numPr>
    </w:pPr>
  </w:style>
  <w:style w:type="paragraph" w:styleId="ListNumber5">
    <w:name w:val="List Number 5"/>
    <w:basedOn w:val="List5"/>
    <w:rsid w:val="00AF7A93"/>
    <w:pPr>
      <w:numPr>
        <w:numId w:val="7"/>
      </w:numPr>
    </w:pPr>
  </w:style>
  <w:style w:type="paragraph" w:styleId="BlockText">
    <w:name w:val="Block Text"/>
    <w:basedOn w:val="Normal"/>
    <w:rsid w:val="00AF7A93"/>
    <w:pPr>
      <w:spacing w:after="120"/>
      <w:ind w:left="1440" w:right="1440"/>
    </w:pPr>
  </w:style>
  <w:style w:type="character" w:customStyle="1" w:styleId="Subscript">
    <w:name w:val="Subscript"/>
    <w:basedOn w:val="DefaultParagraphFont"/>
    <w:rsid w:val="00AF7A93"/>
    <w:rPr>
      <w:sz w:val="16"/>
      <w:vertAlign w:val="subscript"/>
    </w:rPr>
  </w:style>
  <w:style w:type="character" w:customStyle="1" w:styleId="Superscript">
    <w:name w:val="Superscript"/>
    <w:basedOn w:val="DefaultParagraphFont"/>
    <w:rsid w:val="00AF7A93"/>
    <w:rPr>
      <w:sz w:val="16"/>
      <w:vertAlign w:val="superscript"/>
    </w:rPr>
  </w:style>
  <w:style w:type="character" w:customStyle="1" w:styleId="Symbols">
    <w:name w:val="Symbols"/>
    <w:basedOn w:val="DefaultParagraphFont"/>
    <w:rsid w:val="00AF7A93"/>
    <w:rPr>
      <w:rFonts w:ascii="Symbol" w:hAnsi="Symbol"/>
    </w:rPr>
  </w:style>
  <w:style w:type="character" w:customStyle="1" w:styleId="MenuOptions">
    <w:name w:val="Menu Options"/>
    <w:basedOn w:val="DefaultParagraphFont"/>
    <w:rsid w:val="00AF7A93"/>
    <w:rPr>
      <w:rFonts w:ascii="Arial Narrow" w:hAnsi="Arial Narrow"/>
      <w:smallCaps/>
    </w:rPr>
  </w:style>
  <w:style w:type="character" w:customStyle="1" w:styleId="Buttons">
    <w:name w:val="Buttons"/>
    <w:basedOn w:val="DefaultParagraphFont"/>
    <w:rsid w:val="00AF7A93"/>
    <w:rPr>
      <w:b/>
    </w:rPr>
  </w:style>
  <w:style w:type="character" w:customStyle="1" w:styleId="Underlined">
    <w:name w:val="Underlined"/>
    <w:basedOn w:val="DefaultParagraphFont"/>
    <w:rsid w:val="00AF7A93"/>
    <w:rPr>
      <w:u w:val="single"/>
    </w:rPr>
  </w:style>
  <w:style w:type="paragraph" w:customStyle="1" w:styleId="TableBodyTextRight">
    <w:name w:val="Table Body Text Right"/>
    <w:basedOn w:val="TableBodyText"/>
    <w:rsid w:val="00AF7A93"/>
    <w:pPr>
      <w:widowControl w:val="0"/>
      <w:autoSpaceDE w:val="0"/>
      <w:autoSpaceDN w:val="0"/>
      <w:adjustRightInd w:val="0"/>
      <w:jc w:val="right"/>
    </w:pPr>
    <w:rPr>
      <w:rFonts w:cs="Arial"/>
      <w:szCs w:val="18"/>
    </w:rPr>
  </w:style>
  <w:style w:type="paragraph" w:customStyle="1" w:styleId="CopyrightText">
    <w:name w:val="Copyright Text"/>
    <w:basedOn w:val="BodyText"/>
    <w:rsid w:val="00AF7A93"/>
    <w:rPr>
      <w:sz w:val="18"/>
    </w:rPr>
  </w:style>
  <w:style w:type="paragraph" w:customStyle="1" w:styleId="BodySmallRight">
    <w:name w:val="Body Small Right"/>
    <w:basedOn w:val="BodyTextRight"/>
    <w:rsid w:val="00AF7A93"/>
    <w:rPr>
      <w:sz w:val="18"/>
      <w:szCs w:val="18"/>
    </w:rPr>
  </w:style>
  <w:style w:type="paragraph" w:customStyle="1" w:styleId="MarginEdition">
    <w:name w:val="Margin Edition"/>
    <w:basedOn w:val="MarginNote"/>
    <w:rsid w:val="00AF7A93"/>
    <w:pPr>
      <w:spacing w:before="0" w:after="0"/>
    </w:pPr>
    <w:rPr>
      <w:rFonts w:ascii="Times New Roman" w:hAnsi="Times New Roman"/>
      <w:color w:val="999999"/>
    </w:rPr>
  </w:style>
  <w:style w:type="paragraph" w:customStyle="1" w:styleId="Spacer">
    <w:name w:val="Spacer"/>
    <w:basedOn w:val="Normal"/>
    <w:rsid w:val="00AF7A93"/>
    <w:rPr>
      <w:sz w:val="2"/>
      <w:szCs w:val="2"/>
    </w:rPr>
  </w:style>
  <w:style w:type="character" w:customStyle="1" w:styleId="Small">
    <w:name w:val="Small"/>
    <w:basedOn w:val="DefaultParagraphFont"/>
    <w:rsid w:val="00AF7A93"/>
    <w:rPr>
      <w:sz w:val="16"/>
    </w:rPr>
  </w:style>
  <w:style w:type="paragraph" w:customStyle="1" w:styleId="WideTable">
    <w:name w:val="Wide Table"/>
    <w:basedOn w:val="Normal"/>
    <w:rsid w:val="00AF7A93"/>
    <w:pPr>
      <w:ind w:left="-1418"/>
    </w:pPr>
    <w:rPr>
      <w:sz w:val="2"/>
      <w:szCs w:val="2"/>
    </w:rPr>
  </w:style>
  <w:style w:type="character" w:styleId="PageNumber">
    <w:name w:val="page number"/>
    <w:basedOn w:val="DefaultParagraphFont"/>
    <w:rsid w:val="00AF7A93"/>
  </w:style>
  <w:style w:type="paragraph" w:styleId="Quote">
    <w:name w:val="Quote"/>
    <w:basedOn w:val="Heading1"/>
    <w:link w:val="QuoteChar"/>
    <w:qFormat/>
    <w:rsid w:val="00AF7A93"/>
    <w:rPr>
      <w:b w:val="0"/>
      <w:sz w:val="72"/>
      <w:szCs w:val="72"/>
      <w:lang w:val="en-NZ"/>
    </w:rPr>
  </w:style>
  <w:style w:type="character" w:customStyle="1" w:styleId="QuoteChar">
    <w:name w:val="Quote Char"/>
    <w:basedOn w:val="DefaultParagraphFont"/>
    <w:link w:val="Quote"/>
    <w:rsid w:val="00AF7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A93"/>
    <w:pPr>
      <w:pageBreakBefore/>
    </w:pPr>
  </w:style>
  <w:style w:type="paragraph" w:customStyle="1" w:styleId="Border">
    <w:name w:val="Border"/>
    <w:basedOn w:val="Normal"/>
    <w:qFormat/>
    <w:rsid w:val="00AF7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A93"/>
    <w:rPr>
      <w:b/>
      <w:bCs/>
      <w:i/>
      <w:iCs/>
      <w:color w:val="auto"/>
    </w:rPr>
  </w:style>
  <w:style w:type="paragraph" w:styleId="IntenseQuote">
    <w:name w:val="Intense Quote"/>
    <w:basedOn w:val="Normal"/>
    <w:next w:val="Normal"/>
    <w:link w:val="IntenseQuoteChar"/>
    <w:uiPriority w:val="30"/>
    <w:qFormat/>
    <w:rsid w:val="00AF7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A93"/>
    <w:rPr>
      <w:smallCaps/>
      <w:color w:val="auto"/>
      <w:u w:val="single"/>
    </w:rPr>
  </w:style>
  <w:style w:type="character" w:styleId="IntenseReference">
    <w:name w:val="Intense Reference"/>
    <w:basedOn w:val="DefaultParagraphFont"/>
    <w:uiPriority w:val="32"/>
    <w:qFormat/>
    <w:rsid w:val="00AF7A93"/>
    <w:rPr>
      <w:b/>
      <w:bCs/>
      <w:smallCaps/>
      <w:color w:val="auto"/>
      <w:spacing w:val="5"/>
      <w:u w:val="single"/>
    </w:rPr>
  </w:style>
  <w:style w:type="paragraph" w:customStyle="1" w:styleId="2ColumnHeading">
    <w:name w:val="2Column Heading"/>
    <w:basedOn w:val="BodyText"/>
    <w:qFormat/>
    <w:rsid w:val="00AF7A93"/>
    <w:pPr>
      <w:spacing w:after="60"/>
      <w:ind w:left="-2268"/>
    </w:pPr>
    <w:rPr>
      <w:b/>
    </w:rPr>
  </w:style>
  <w:style w:type="paragraph" w:customStyle="1" w:styleId="Heading1TOC">
    <w:name w:val="Heading1 TOC"/>
    <w:basedOn w:val="Normal"/>
    <w:qFormat/>
    <w:rsid w:val="00AF7A93"/>
    <w:pPr>
      <w:spacing w:before="240" w:after="120"/>
    </w:pPr>
    <w:rPr>
      <w:rFonts w:ascii="Times New Roman" w:hAnsi="Times New Roman"/>
      <w:b/>
      <w:sz w:val="32"/>
    </w:rPr>
  </w:style>
  <w:style w:type="paragraph" w:customStyle="1" w:styleId="Heading2TOC">
    <w:name w:val="Heading2 TOC"/>
    <w:basedOn w:val="Normal"/>
    <w:qFormat/>
    <w:rsid w:val="00AF7A93"/>
    <w:pPr>
      <w:spacing w:before="240" w:after="60"/>
    </w:pPr>
    <w:rPr>
      <w:rFonts w:ascii="Times New Roman" w:hAnsi="Times New Roman"/>
      <w:b/>
      <w:sz w:val="28"/>
    </w:rPr>
  </w:style>
  <w:style w:type="character" w:customStyle="1" w:styleId="Underline">
    <w:name w:val="Underline"/>
    <w:basedOn w:val="DefaultParagraphFont"/>
    <w:qFormat/>
    <w:rsid w:val="00AF7A93"/>
    <w:rPr>
      <w:u w:val="single"/>
    </w:rPr>
  </w:style>
  <w:style w:type="character" w:customStyle="1" w:styleId="BoldandItalics">
    <w:name w:val="Bold and Italics"/>
    <w:qFormat/>
    <w:rsid w:val="00AF7A93"/>
    <w:rPr>
      <w:b/>
      <w:i/>
      <w:u w:val="none"/>
    </w:rPr>
  </w:style>
  <w:style w:type="paragraph" w:styleId="BalloonText">
    <w:name w:val="Balloon Text"/>
    <w:basedOn w:val="Normal"/>
    <w:link w:val="BalloonTextChar"/>
    <w:rsid w:val="00AF7A93"/>
    <w:rPr>
      <w:rFonts w:ascii="Tahoma" w:hAnsi="Tahoma" w:cs="Tahoma"/>
      <w:sz w:val="16"/>
      <w:szCs w:val="16"/>
    </w:rPr>
  </w:style>
  <w:style w:type="character" w:customStyle="1" w:styleId="BalloonTextChar">
    <w:name w:val="Balloon Text Char"/>
    <w:basedOn w:val="DefaultParagraphFont"/>
    <w:link w:val="BalloonText"/>
    <w:rsid w:val="00AF7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A93"/>
    <w:rPr>
      <w:b/>
      <w:color w:val="660033"/>
      <w:spacing w:val="0"/>
    </w:rPr>
  </w:style>
  <w:style w:type="paragraph" w:customStyle="1" w:styleId="Nameditemlist">
    <w:name w:val="Named item list"/>
    <w:basedOn w:val="BodyText"/>
    <w:qFormat/>
    <w:rsid w:val="00AF7A93"/>
    <w:pPr>
      <w:tabs>
        <w:tab w:val="left" w:pos="2835"/>
      </w:tabs>
      <w:ind w:left="2835" w:hanging="2835"/>
    </w:pPr>
  </w:style>
  <w:style w:type="paragraph" w:customStyle="1" w:styleId="BodyTextnopadding">
    <w:name w:val="Body Text no padding"/>
    <w:basedOn w:val="BodyText"/>
    <w:qFormat/>
    <w:rsid w:val="00AF7A93"/>
    <w:pPr>
      <w:spacing w:before="0" w:after="0"/>
    </w:pPr>
  </w:style>
  <w:style w:type="paragraph" w:customStyle="1" w:styleId="BodyTextBold">
    <w:name w:val="Body Text Bold"/>
    <w:basedOn w:val="BodyText"/>
    <w:qFormat/>
    <w:rsid w:val="00AF7A93"/>
    <w:rPr>
      <w:b/>
    </w:rPr>
  </w:style>
  <w:style w:type="character" w:styleId="Hyperlink">
    <w:name w:val="Hyperlink"/>
    <w:basedOn w:val="DefaultParagraphFont"/>
    <w:uiPriority w:val="99"/>
    <w:unhideWhenUsed/>
    <w:rsid w:val="00304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6668</Characters>
  <Application>Microsoft Office Word</Application>
  <DocSecurity>0</DocSecurity>
  <Lines>185</Lines>
  <Paragraphs>103</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PSPTIS093 Use complex legal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