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22E" w:rsidP="00CB3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PSPSEC021 Undertake government security risk analysis</w:t>
      </w:r>
      <w:r>
        <w:fldChar w:fldCharType="end"/>
      </w:r>
    </w:p>
    <w:p w:rsidR="00CB322E" w:rsidP="00CB322E">
      <w:pPr>
        <w:pStyle w:val="Version"/>
        <w:sectPr w:rsidSect="00236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567" w:rsidP="00236567">
      <w:pPr>
        <w:pStyle w:val="SuperHeading"/>
      </w:pPr>
      <w:r w:rsidRPr="00236567">
        <w:t>PSPSEC021 Undertake government security risk analysis</w:t>
      </w:r>
    </w:p>
    <w:p w:rsidR="00000000" w:rsidRPr="00236567" w:rsidP="00236567">
      <w:pPr>
        <w:pStyle w:val="Heading1"/>
      </w:pPr>
      <w:bookmarkStart w:id="1" w:name="O_1217434"/>
      <w:bookmarkEnd w:id="1"/>
      <w:r w:rsidRPr="00236567">
        <w:t>Modification History</w:t>
      </w:r>
    </w:p>
    <w:p w:rsidR="00000000" w:rsidRPr="00236567" w:rsidP="00CB322E">
      <w:pPr>
        <w:pStyle w:val="BodyText"/>
      </w:pPr>
      <w:r w:rsidRPr="00236567">
        <w:t>Supersedes and is equivalent to PSPSEC005 Undertake government security risk analysis.</w:t>
      </w:r>
    </w:p>
    <w:p w:rsidR="00000000" w:rsidRPr="00236567" w:rsidP="00236567">
      <w:pPr>
        <w:pStyle w:val="Heading1"/>
      </w:pPr>
      <w:bookmarkStart w:id="2" w:name="O_1217435"/>
      <w:bookmarkEnd w:id="2"/>
      <w:r w:rsidRPr="00236567">
        <w:t>Application</w:t>
      </w:r>
    </w:p>
    <w:p w:rsidR="00000000" w:rsidRPr="00236567" w:rsidP="00CB322E">
      <w:pPr>
        <w:pStyle w:val="BodyText"/>
      </w:pPr>
      <w:r w:rsidRPr="00236567">
        <w:t>This unit describes the performance outcomes, skills and knowledge required to analyse risk against</w:t>
      </w:r>
      <w:r w:rsidRPr="00236567">
        <w:t xml:space="preserve"> an organisation</w:t>
      </w:r>
      <w:r>
        <w:t>’</w:t>
      </w:r>
      <w:r w:rsidRPr="00236567">
        <w:t xml:space="preserve">s operational environment. </w:t>
      </w:r>
    </w:p>
    <w:p w:rsidR="00000000" w:rsidRPr="00236567" w:rsidP="00CB322E">
      <w:pPr>
        <w:pStyle w:val="BodyText"/>
      </w:pPr>
      <w:r w:rsidRPr="00236567">
        <w:t>Those undertaking this unit work independently and as part of a team using support resources and performing complex tasks in a range of familiar and unfamiliar contexts.</w:t>
      </w:r>
    </w:p>
    <w:p w:rsidR="00000000" w:rsidRPr="00236567" w:rsidP="00CB322E">
      <w:pPr>
        <w:pStyle w:val="BodyText"/>
      </w:pPr>
      <w:r w:rsidRPr="00236567">
        <w:t>The skills in this unit must be applied i</w:t>
      </w:r>
      <w:r w:rsidRPr="00236567">
        <w:t>n accordance with Commonwealth and State or Territory legislation, Australian standards and industry codes of practice.</w:t>
      </w:r>
    </w:p>
    <w:p w:rsidR="00000000" w:rsidRPr="00236567" w:rsidP="00CB322E">
      <w:pPr>
        <w:pStyle w:val="BodyText"/>
      </w:pPr>
      <w:r w:rsidRPr="00236567">
        <w:t>No occupational licensing, certification or specific legislative requirements apply to this unit at the time of publication.</w:t>
      </w:r>
    </w:p>
    <w:p w:rsidR="00000000" w:rsidRPr="00236567" w:rsidP="00236567">
      <w:pPr>
        <w:pStyle w:val="Heading1"/>
      </w:pPr>
      <w:bookmarkStart w:id="3" w:name="O_1217436"/>
      <w:bookmarkEnd w:id="3"/>
      <w:r w:rsidRPr="00236567">
        <w:t>Pre-requisite Unit</w:t>
      </w:r>
    </w:p>
    <w:p w:rsidR="00000000" w:rsidRPr="00236567" w:rsidP="00CB322E">
      <w:pPr>
        <w:pStyle w:val="BodyText"/>
      </w:pPr>
      <w:r w:rsidRPr="00236567">
        <w:t xml:space="preserve">Nil </w:t>
      </w:r>
    </w:p>
    <w:p w:rsidR="00000000" w:rsidRPr="00236567" w:rsidP="00236567">
      <w:pPr>
        <w:pStyle w:val="Heading1"/>
      </w:pPr>
      <w:bookmarkStart w:id="4" w:name="O_1217437"/>
      <w:bookmarkEnd w:id="4"/>
      <w:r w:rsidRPr="00236567">
        <w:t>Competency Field</w:t>
      </w:r>
    </w:p>
    <w:p w:rsidR="00000000" w:rsidRPr="00236567" w:rsidP="00CB322E">
      <w:pPr>
        <w:pStyle w:val="BodyText"/>
      </w:pPr>
      <w:r w:rsidRPr="00236567">
        <w:t>Security</w:t>
      </w:r>
    </w:p>
    <w:p w:rsidR="00000000" w:rsidRPr="00236567" w:rsidP="00236567">
      <w:pPr>
        <w:pStyle w:val="Heading1"/>
      </w:pPr>
      <w:bookmarkStart w:id="5" w:name="O_1217439"/>
      <w:bookmarkEnd w:id="5"/>
      <w:r w:rsidRPr="002365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BodyText"/>
            </w:pPr>
            <w:r w:rsidRPr="0023656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rPr>
                <w:rStyle w:val="SpecialBold"/>
              </w:rPr>
              <w:t>PERFORMANCE</w:t>
            </w:r>
            <w:r w:rsidRPr="00236567">
              <w:t xml:space="preserve"> </w:t>
            </w:r>
            <w:r w:rsidRPr="00236567">
              <w:rPr>
                <w:rStyle w:val="SpecialBold"/>
              </w:rPr>
              <w:t>CRITERIA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BodyText"/>
            </w:pPr>
            <w:r w:rsidRPr="00236567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rPr>
                <w:rStyle w:val="Emphasis"/>
              </w:rPr>
              <w:t>Performance criteria describe the performance needed t</w:t>
            </w:r>
            <w:r w:rsidRPr="00236567">
              <w:rPr>
                <w:rStyle w:val="Emphasis"/>
              </w:rPr>
              <w:t>o demonstrate achievement of the element.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"/>
              <w:rPr>
                <w:lang w:val="en-NZ"/>
              </w:rPr>
            </w:pPr>
            <w:r w:rsidRPr="00236567">
              <w:t>1.  Establish security risk context.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"/>
            </w:pPr>
            <w:r w:rsidRPr="00236567">
              <w:t>1.1. Confirm strategic and organisational context and identify stakeholders and their expectations.</w:t>
            </w:r>
          </w:p>
          <w:p w:rsidR="00000000" w:rsidRPr="00236567" w:rsidP="00236567">
            <w:pPr>
              <w:pStyle w:val="List"/>
            </w:pPr>
            <w:r w:rsidRPr="00236567">
              <w:t>1.2. Identify current and relevant security risk criteria from the security plan.</w:t>
            </w:r>
          </w:p>
          <w:p w:rsidR="00000000" w:rsidP="00236567">
            <w:pPr>
              <w:pStyle w:val="List"/>
              <w:rPr>
                <w:lang w:val="en-NZ"/>
              </w:rPr>
            </w:pPr>
            <w:r w:rsidRPr="00236567">
              <w:t>1.3. Obtain information and resources to conduct the risk analysis.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"/>
              <w:rPr>
                <w:lang w:val="en-NZ"/>
              </w:rPr>
            </w:pPr>
            <w:r w:rsidRPr="00236567">
              <w:t>2.  Identify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"/>
            </w:pPr>
            <w:r w:rsidRPr="00236567">
              <w:t>2.1. Identify and record potential sources of security risk from the perspect</w:t>
            </w:r>
            <w:r w:rsidRPr="00236567">
              <w:t>ive of all stakeholders.</w:t>
            </w:r>
          </w:p>
          <w:p w:rsidR="00000000" w:rsidRPr="00236567" w:rsidP="00236567">
            <w:pPr>
              <w:pStyle w:val="List"/>
            </w:pPr>
            <w:r w:rsidRPr="00236567">
              <w:t>2.2. Use specified methodology and tools to identify risks.</w:t>
            </w:r>
          </w:p>
          <w:p w:rsidR="00000000" w:rsidP="00236567">
            <w:pPr>
              <w:pStyle w:val="List"/>
              <w:rPr>
                <w:lang w:val="en-NZ"/>
              </w:rPr>
            </w:pPr>
            <w:r w:rsidRPr="00236567">
              <w:t>2.3. Consult stakeholders during the risk identification process to finalise a list of risks.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"/>
              <w:rPr>
                <w:lang w:val="en-NZ"/>
              </w:rPr>
            </w:pPr>
            <w:r w:rsidRPr="00236567">
              <w:t>3.  Analyse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"/>
            </w:pPr>
            <w:r w:rsidRPr="00236567">
              <w:t>3.1. Identify threat assessments, current exposure and current security arrangements to estimate the likelihood of each risk event occurring.</w:t>
            </w:r>
          </w:p>
          <w:p w:rsidR="00000000" w:rsidRPr="00236567" w:rsidP="00236567">
            <w:pPr>
              <w:pStyle w:val="List"/>
            </w:pPr>
            <w:r w:rsidRPr="00236567">
              <w:t>3.2. Determine potential consequences of each risk including critical lead time for recovery.</w:t>
            </w:r>
          </w:p>
          <w:p w:rsidR="00000000" w:rsidP="00236567">
            <w:pPr>
              <w:pStyle w:val="List"/>
              <w:rPr>
                <w:lang w:val="en-NZ"/>
              </w:rPr>
            </w:pPr>
            <w:r w:rsidRPr="00236567">
              <w:t>3.3. Determine, docu</w:t>
            </w:r>
            <w:r w:rsidRPr="00236567">
              <w:t>ment and communicate risk ratings and include a rationale for each.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"/>
              <w:rPr>
                <w:lang w:val="en-NZ"/>
              </w:rPr>
            </w:pPr>
            <w:r w:rsidRPr="00236567">
              <w:t>4.  Evaluate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"/>
            </w:pPr>
            <w:r w:rsidRPr="00236567">
              <w:t>4.1. Assess risks against the organisation’s security risk criteria.</w:t>
            </w:r>
          </w:p>
          <w:p w:rsidR="00000000" w:rsidRPr="00236567" w:rsidP="00236567">
            <w:pPr>
              <w:pStyle w:val="List"/>
            </w:pPr>
            <w:r w:rsidRPr="00236567">
              <w:t>4.2. Prioritise risks for treatment.</w:t>
            </w:r>
          </w:p>
          <w:p w:rsidR="00000000" w:rsidP="00236567">
            <w:pPr>
              <w:pStyle w:val="List"/>
              <w:rPr>
                <w:lang w:val="en-NZ"/>
              </w:rPr>
            </w:pPr>
            <w:r w:rsidRPr="00236567">
              <w:t>4.3. Monitor risks until treatment measures have been</w:t>
            </w:r>
            <w:r w:rsidRPr="00236567">
              <w:t xml:space="preserve"> implemented.</w:t>
            </w:r>
          </w:p>
        </w:tc>
      </w:tr>
      <w:tr w:rsidTr="00CB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"/>
              <w:rPr>
                <w:lang w:val="en-NZ"/>
              </w:rPr>
            </w:pPr>
            <w:r w:rsidRPr="00236567">
              <w:t>5.  Compile security risk register.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"/>
            </w:pPr>
            <w:r w:rsidRPr="00236567">
              <w:t>5.1. Develop a security risk register that records identified risks, their nature and source.</w:t>
            </w:r>
          </w:p>
          <w:p w:rsidR="00000000" w:rsidRPr="00236567" w:rsidP="00236567">
            <w:pPr>
              <w:pStyle w:val="List"/>
            </w:pPr>
            <w:r w:rsidRPr="00236567">
              <w:t>5.2. Identify the consequences and likelihood of risks, and the adequacy of existing controls in the register.</w:t>
            </w:r>
          </w:p>
          <w:p w:rsidR="00000000" w:rsidRPr="00236567" w:rsidP="00236567">
            <w:pPr>
              <w:pStyle w:val="List"/>
            </w:pPr>
            <w:r w:rsidRPr="00236567">
              <w:t>5.3. Record risk ratings for identified risks in register.</w:t>
            </w:r>
          </w:p>
          <w:p w:rsidR="00000000" w:rsidRPr="00236567" w:rsidP="00236567">
            <w:pPr>
              <w:pStyle w:val="List"/>
            </w:pPr>
            <w:r w:rsidRPr="00236567">
              <w:t>5.4. Compile and maintain the security risk register to reflect changes in circumstances.</w:t>
            </w:r>
          </w:p>
          <w:p w:rsidR="00000000" w:rsidRPr="00236567" w:rsidP="00236567">
            <w:pPr>
              <w:pStyle w:val="List"/>
            </w:pPr>
            <w:r w:rsidRPr="00236567">
              <w:t>5.5. Refer risk register to management for decisions on action and treatment of risks.</w:t>
            </w:r>
          </w:p>
        </w:tc>
      </w:tr>
    </w:tbl>
    <w:p w:rsidR="00000000" w:rsidRPr="00236567" w:rsidP="00236567">
      <w:pPr>
        <w:pStyle w:val="BodyText"/>
      </w:pPr>
    </w:p>
    <w:p w:rsidR="00000000" w:rsidRPr="00236567" w:rsidP="00236567">
      <w:pPr>
        <w:pStyle w:val="AllowPageBreak"/>
      </w:pPr>
    </w:p>
    <w:p w:rsidR="00000000" w:rsidRPr="00236567" w:rsidP="00236567">
      <w:pPr>
        <w:pStyle w:val="Heading1"/>
      </w:pPr>
      <w:bookmarkStart w:id="6" w:name="O_1217440"/>
      <w:bookmarkEnd w:id="6"/>
      <w:r w:rsidRPr="002365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t>Foundation skills essential to performance in this unit, but not explicit in the performance criteria are listed here, along with a brief context statement.</w:t>
            </w:r>
          </w:p>
        </w:tc>
      </w:tr>
      <w:tr w:rsidTr="0023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BodyText"/>
            </w:pPr>
            <w:r w:rsidRPr="002365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rPr>
                <w:rStyle w:val="SpecialBold"/>
              </w:rPr>
              <w:t>DESCRIPTION</w:t>
            </w:r>
          </w:p>
        </w:tc>
      </w:tr>
      <w:tr w:rsidTr="0023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Bullet"/>
              <w:rPr>
                <w:lang w:val="en-NZ"/>
              </w:rPr>
            </w:pPr>
            <w:r w:rsidRPr="00236567">
              <w:t>interpr</w:t>
            </w:r>
            <w:r w:rsidRPr="00236567">
              <w:t>et legislation, regulations, policies, procedures and guidelines relating to government security risk analysis.</w:t>
            </w:r>
          </w:p>
        </w:tc>
      </w:tr>
      <w:tr w:rsidTr="0023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ListBullet"/>
              <w:rPr>
                <w:lang w:val="en-NZ"/>
              </w:rPr>
            </w:pPr>
            <w:r w:rsidRPr="00236567">
              <w:t>use effective communication with diverse stakeholders involving listening, questioning, paraphrasing, clarifying</w:t>
            </w:r>
            <w:r w:rsidRPr="00236567">
              <w:t>, summarising.</w:t>
            </w:r>
          </w:p>
        </w:tc>
      </w:tr>
      <w:tr w:rsidTr="0023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567">
            <w:pPr>
              <w:pStyle w:val="BodyText"/>
              <w:rPr>
                <w:lang w:val="en-NZ"/>
              </w:rPr>
            </w:pPr>
            <w:r w:rsidRPr="0023656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567" w:rsidP="00236567">
            <w:pPr>
              <w:pStyle w:val="ListBullet"/>
            </w:pPr>
            <w:r w:rsidRPr="00236567">
              <w:t>represent mathematical information relating to risk analysis in diverse formats.</w:t>
            </w:r>
          </w:p>
        </w:tc>
      </w:tr>
    </w:tbl>
    <w:p w:rsidR="00000000" w:rsidRPr="00236567" w:rsidP="00236567">
      <w:pPr>
        <w:pStyle w:val="BodyText"/>
      </w:pPr>
    </w:p>
    <w:p w:rsidR="00000000" w:rsidRPr="00236567" w:rsidP="00236567">
      <w:pPr>
        <w:pStyle w:val="AllowPageBreak"/>
      </w:pPr>
    </w:p>
    <w:p w:rsidR="00000000" w:rsidRPr="00236567" w:rsidP="00236567">
      <w:pPr>
        <w:pStyle w:val="Heading1"/>
      </w:pPr>
      <w:bookmarkStart w:id="7" w:name="O_1217442"/>
      <w:bookmarkEnd w:id="7"/>
      <w:r w:rsidRPr="00236567">
        <w:t>Unit Mapping Information</w:t>
      </w:r>
    </w:p>
    <w:p w:rsidR="00000000" w:rsidRPr="00236567" w:rsidP="00CB322E">
      <w:pPr>
        <w:pStyle w:val="BodyText"/>
      </w:pPr>
      <w:r w:rsidRPr="00236567">
        <w:t>Supersedes and is equivalent to PSPSEC005 Undertake government security risk analysis.</w:t>
      </w:r>
    </w:p>
    <w:p w:rsidR="00000000" w:rsidRPr="00236567" w:rsidP="00236567">
      <w:pPr>
        <w:pStyle w:val="Heading1"/>
      </w:pPr>
      <w:bookmarkStart w:id="8" w:name="O_1217449"/>
      <w:bookmarkEnd w:id="8"/>
      <w:r w:rsidRPr="00236567">
        <w:t>Links</w:t>
      </w:r>
    </w:p>
    <w:p w:rsidR="00000000" w:rsidRPr="00236567" w:rsidP="00CB322E">
      <w:pPr>
        <w:pStyle w:val="BodyText"/>
      </w:pPr>
      <w:r w:rsidRPr="00236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0C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6567" w:rsidP="00236567"/>
    <w:sectPr w:rsidSect="00236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67" w:rsidRPr="00CB322E" w:rsidP="00CB3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E" w:rsidP="00236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22E" w:rsidP="00236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322E" w:rsidP="00236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567" w:rsidRPr="00CB322E" w:rsidP="00CB3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2E" w:rsidRPr="002D2AF8" w:rsidP="00236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PSPSEC021 Undertake government security risk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B322E" w:rsidP="00236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0C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C3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567"/>
  </w:style>
  <w:style w:type="character" w:customStyle="1" w:styleId="Heading1Char">
    <w:name w:val="Heading 1 Char"/>
    <w:basedOn w:val="DefaultParagraphFont"/>
    <w:link w:val="Heading1"/>
    <w:rsid w:val="00236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5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5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567"/>
    <w:rPr>
      <w:b/>
      <w:spacing w:val="0"/>
    </w:rPr>
  </w:style>
  <w:style w:type="character" w:styleId="Emphasis">
    <w:name w:val="Emphasis"/>
    <w:basedOn w:val="DefaultParagraphFont"/>
    <w:qFormat/>
    <w:rsid w:val="00236567"/>
    <w:rPr>
      <w:i/>
    </w:rPr>
  </w:style>
  <w:style w:type="paragraph" w:customStyle="1" w:styleId="SuperHeading">
    <w:name w:val="SuperHeading"/>
    <w:basedOn w:val="Normal"/>
    <w:rsid w:val="00236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5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5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567"/>
  </w:style>
  <w:style w:type="paragraph" w:styleId="TableofFigures">
    <w:name w:val="table of figures"/>
    <w:basedOn w:val="Normal"/>
    <w:next w:val="Normal"/>
    <w:semiHidden/>
    <w:rsid w:val="00236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5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567"/>
    <w:rPr>
      <w:rFonts w:ascii="Wingdings" w:hAnsi="Wingdings"/>
    </w:rPr>
  </w:style>
  <w:style w:type="paragraph" w:customStyle="1" w:styleId="TableHeading">
    <w:name w:val="Table Heading"/>
    <w:basedOn w:val="HeadingBase"/>
    <w:rsid w:val="00236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567"/>
    <w:rPr>
      <w:color w:val="0033CC"/>
      <w:u w:val="none"/>
    </w:rPr>
  </w:style>
  <w:style w:type="paragraph" w:customStyle="1" w:styleId="BodyTextRight">
    <w:name w:val="Body Text Right"/>
    <w:basedOn w:val="BodyText"/>
    <w:rsid w:val="00236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5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567"/>
    <w:rPr>
      <w:sz w:val="32"/>
    </w:rPr>
  </w:style>
  <w:style w:type="paragraph" w:customStyle="1" w:styleId="HeadingProcedure">
    <w:name w:val="Heading Procedure"/>
    <w:basedOn w:val="HeadingBase"/>
    <w:next w:val="Normal"/>
    <w:rsid w:val="00236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567"/>
    <w:pPr>
      <w:spacing w:before="60" w:after="60"/>
    </w:pPr>
  </w:style>
  <w:style w:type="paragraph" w:styleId="ListContinue">
    <w:name w:val="List Continue"/>
    <w:basedOn w:val="List"/>
    <w:rsid w:val="00236567"/>
    <w:pPr>
      <w:ind w:firstLine="0"/>
    </w:pPr>
  </w:style>
  <w:style w:type="paragraph" w:customStyle="1" w:styleId="ListNote">
    <w:name w:val="List Note"/>
    <w:basedOn w:val="List"/>
    <w:rsid w:val="00236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567"/>
    <w:rPr>
      <w:rFonts w:ascii="Courier New" w:hAnsi="Courier New"/>
    </w:rPr>
  </w:style>
  <w:style w:type="paragraph" w:customStyle="1" w:styleId="NoteBullet">
    <w:name w:val="Note Bullet"/>
    <w:basedOn w:val="Note"/>
    <w:rsid w:val="00236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5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567"/>
    <w:rPr>
      <w:b/>
      <w:smallCaps/>
    </w:rPr>
  </w:style>
  <w:style w:type="paragraph" w:customStyle="1" w:styleId="TableListNumber">
    <w:name w:val="Table List Number"/>
    <w:basedOn w:val="ListNumber"/>
    <w:rsid w:val="00236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567"/>
    <w:pPr>
      <w:numPr>
        <w:numId w:val="8"/>
      </w:numPr>
    </w:pPr>
  </w:style>
  <w:style w:type="paragraph" w:customStyle="1" w:styleId="ListAlpha2">
    <w:name w:val="List Alpha 2"/>
    <w:basedOn w:val="List2"/>
    <w:rsid w:val="00236567"/>
    <w:pPr>
      <w:numPr>
        <w:numId w:val="7"/>
      </w:numPr>
    </w:pPr>
  </w:style>
  <w:style w:type="paragraph" w:styleId="List2">
    <w:name w:val="List 2"/>
    <w:basedOn w:val="BodyText"/>
    <w:rsid w:val="00236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5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5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567"/>
    <w:pPr>
      <w:numPr>
        <w:numId w:val="3"/>
      </w:numPr>
    </w:pPr>
  </w:style>
  <w:style w:type="paragraph" w:styleId="ListContinue2">
    <w:name w:val="List Continue 2"/>
    <w:basedOn w:val="List2"/>
    <w:rsid w:val="00236567"/>
    <w:pPr>
      <w:ind w:firstLine="0"/>
    </w:pPr>
  </w:style>
  <w:style w:type="paragraph" w:styleId="ListContinue3">
    <w:name w:val="List Continue 3"/>
    <w:basedOn w:val="List3"/>
    <w:rsid w:val="00236567"/>
    <w:pPr>
      <w:ind w:left="1021" w:firstLine="0"/>
    </w:pPr>
  </w:style>
  <w:style w:type="paragraph" w:styleId="ListContinue4">
    <w:name w:val="List Continue 4"/>
    <w:basedOn w:val="List4"/>
    <w:rsid w:val="00236567"/>
    <w:pPr>
      <w:ind w:firstLine="0"/>
    </w:pPr>
  </w:style>
  <w:style w:type="paragraph" w:styleId="ListContinue5">
    <w:name w:val="List Continue 5"/>
    <w:basedOn w:val="List5"/>
    <w:rsid w:val="00236567"/>
    <w:pPr>
      <w:ind w:firstLine="0"/>
    </w:pPr>
  </w:style>
  <w:style w:type="paragraph" w:styleId="ListNumber3">
    <w:name w:val="List Number 3"/>
    <w:basedOn w:val="List3"/>
    <w:rsid w:val="00236567"/>
    <w:pPr>
      <w:numPr>
        <w:numId w:val="4"/>
      </w:numPr>
    </w:pPr>
  </w:style>
  <w:style w:type="paragraph" w:styleId="ListNumber4">
    <w:name w:val="List Number 4"/>
    <w:basedOn w:val="List4"/>
    <w:rsid w:val="00236567"/>
    <w:pPr>
      <w:numPr>
        <w:numId w:val="5"/>
      </w:numPr>
    </w:pPr>
  </w:style>
  <w:style w:type="paragraph" w:styleId="ListNumber5">
    <w:name w:val="List Number 5"/>
    <w:basedOn w:val="List5"/>
    <w:rsid w:val="00236567"/>
    <w:pPr>
      <w:numPr>
        <w:numId w:val="6"/>
      </w:numPr>
    </w:pPr>
  </w:style>
  <w:style w:type="paragraph" w:styleId="BlockText">
    <w:name w:val="Block Text"/>
    <w:basedOn w:val="Normal"/>
    <w:rsid w:val="00236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567"/>
    <w:rPr>
      <w:sz w:val="16"/>
      <w:vertAlign w:val="superscript"/>
    </w:rPr>
  </w:style>
  <w:style w:type="character" w:customStyle="1" w:styleId="Symbols">
    <w:name w:val="Symbols"/>
    <w:basedOn w:val="DefaultParagraphFont"/>
    <w:rsid w:val="00236567"/>
    <w:rPr>
      <w:rFonts w:ascii="Symbol" w:hAnsi="Symbol"/>
    </w:rPr>
  </w:style>
  <w:style w:type="character" w:customStyle="1" w:styleId="MenuOptions">
    <w:name w:val="Menu Options"/>
    <w:basedOn w:val="DefaultParagraphFont"/>
    <w:rsid w:val="00236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567"/>
    <w:rPr>
      <w:b/>
    </w:rPr>
  </w:style>
  <w:style w:type="character" w:customStyle="1" w:styleId="Underlined">
    <w:name w:val="Underlined"/>
    <w:basedOn w:val="DefaultParagraphFont"/>
    <w:rsid w:val="00236567"/>
    <w:rPr>
      <w:u w:val="single"/>
    </w:rPr>
  </w:style>
  <w:style w:type="paragraph" w:customStyle="1" w:styleId="TableBodyTextRight">
    <w:name w:val="Table Body Text Right"/>
    <w:basedOn w:val="TableBodyText"/>
    <w:rsid w:val="00236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567"/>
    <w:rPr>
      <w:sz w:val="18"/>
    </w:rPr>
  </w:style>
  <w:style w:type="paragraph" w:customStyle="1" w:styleId="BodySmallRight">
    <w:name w:val="Body Small Right"/>
    <w:basedOn w:val="BodyTextRight"/>
    <w:rsid w:val="00236567"/>
    <w:rPr>
      <w:sz w:val="18"/>
      <w:szCs w:val="18"/>
    </w:rPr>
  </w:style>
  <w:style w:type="paragraph" w:customStyle="1" w:styleId="MarginEdition">
    <w:name w:val="Margin Edition"/>
    <w:basedOn w:val="MarginNote"/>
    <w:rsid w:val="00236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567"/>
    <w:rPr>
      <w:sz w:val="2"/>
      <w:szCs w:val="2"/>
    </w:rPr>
  </w:style>
  <w:style w:type="character" w:customStyle="1" w:styleId="Small">
    <w:name w:val="Small"/>
    <w:basedOn w:val="DefaultParagraphFont"/>
    <w:rsid w:val="00236567"/>
    <w:rPr>
      <w:sz w:val="16"/>
    </w:rPr>
  </w:style>
  <w:style w:type="paragraph" w:customStyle="1" w:styleId="WideTable">
    <w:name w:val="Wide Table"/>
    <w:basedOn w:val="Normal"/>
    <w:rsid w:val="00236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567"/>
  </w:style>
  <w:style w:type="paragraph" w:styleId="Quote">
    <w:name w:val="Quote"/>
    <w:basedOn w:val="Heading1"/>
    <w:link w:val="QuoteChar"/>
    <w:qFormat/>
    <w:rsid w:val="00236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567"/>
    <w:pPr>
      <w:pageBreakBefore/>
    </w:pPr>
  </w:style>
  <w:style w:type="paragraph" w:customStyle="1" w:styleId="Border">
    <w:name w:val="Border"/>
    <w:basedOn w:val="Normal"/>
    <w:qFormat/>
    <w:rsid w:val="00236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567"/>
    <w:rPr>
      <w:u w:val="single"/>
    </w:rPr>
  </w:style>
  <w:style w:type="character" w:customStyle="1" w:styleId="BoldandItalics">
    <w:name w:val="Bold and Italics"/>
    <w:qFormat/>
    <w:rsid w:val="00236567"/>
    <w:rPr>
      <w:b/>
      <w:i/>
      <w:u w:val="none"/>
    </w:rPr>
  </w:style>
  <w:style w:type="paragraph" w:styleId="BalloonText">
    <w:name w:val="Balloon Text"/>
    <w:basedOn w:val="Normal"/>
    <w:link w:val="BalloonTextChar"/>
    <w:rsid w:val="00236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567"/>
    <w:pPr>
      <w:spacing w:before="0" w:after="0"/>
    </w:pPr>
  </w:style>
  <w:style w:type="paragraph" w:customStyle="1" w:styleId="BodyTextBold">
    <w:name w:val="Body Text Bold"/>
    <w:basedOn w:val="BodyText"/>
    <w:qFormat/>
    <w:rsid w:val="00236567"/>
    <w:rPr>
      <w:b/>
    </w:rPr>
  </w:style>
  <w:style w:type="character" w:styleId="Hyperlink">
    <w:name w:val="Hyperlink"/>
    <w:basedOn w:val="DefaultParagraphFont"/>
    <w:uiPriority w:val="99"/>
    <w:unhideWhenUsed/>
    <w:rsid w:val="00CB3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3235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PSPSEC021 Undertake government security risk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