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8C5" w:rsidP="00C56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PSPSEC020 Conduct security awareness sessions</w:t>
      </w:r>
      <w:r>
        <w:fldChar w:fldCharType="end"/>
      </w:r>
    </w:p>
    <w:p w:rsidR="00C568C5" w:rsidP="00C568C5">
      <w:pPr>
        <w:pStyle w:val="Version"/>
        <w:sectPr w:rsidSect="00675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FA0" w:rsidP="00675FA0">
      <w:pPr>
        <w:pStyle w:val="SuperHeading"/>
      </w:pPr>
      <w:r w:rsidRPr="00675FA0">
        <w:t>PSPSEC020 Conduct security awareness sessions</w:t>
      </w:r>
    </w:p>
    <w:p w:rsidR="00000000" w:rsidRPr="00675FA0" w:rsidP="00675FA0">
      <w:pPr>
        <w:pStyle w:val="Heading1"/>
      </w:pPr>
      <w:bookmarkStart w:id="1" w:name="O_1217415"/>
      <w:bookmarkEnd w:id="1"/>
      <w:r w:rsidRPr="00675FA0">
        <w:t>Modification History</w:t>
      </w:r>
    </w:p>
    <w:p w:rsidR="00000000" w:rsidRPr="00675FA0" w:rsidP="00C568C5">
      <w:pPr>
        <w:pStyle w:val="BodyText"/>
      </w:pPr>
      <w:r w:rsidRPr="00675FA0">
        <w:t>Supersedes and is equivalent to PSPSEC003 Conduct security awareness sessions.</w:t>
      </w:r>
    </w:p>
    <w:p w:rsidR="00000000" w:rsidRPr="00675FA0" w:rsidP="00675FA0">
      <w:pPr>
        <w:pStyle w:val="Heading1"/>
      </w:pPr>
      <w:bookmarkStart w:id="2" w:name="O_1217416"/>
      <w:bookmarkEnd w:id="2"/>
      <w:r w:rsidRPr="00675FA0">
        <w:t>Application</w:t>
      </w:r>
    </w:p>
    <w:p w:rsidR="00000000" w:rsidRPr="00675FA0" w:rsidP="00C568C5">
      <w:pPr>
        <w:pStyle w:val="BodyText"/>
      </w:pPr>
      <w:r w:rsidRPr="00675FA0">
        <w:t>This unit describes the performance outcomes, skills and knowledge required to present information and awareness ses</w:t>
      </w:r>
      <w:r w:rsidRPr="00675FA0">
        <w:t xml:space="preserve">sions on government security management. </w:t>
      </w:r>
    </w:p>
    <w:p w:rsidR="00000000" w:rsidRPr="00675FA0" w:rsidP="00C568C5">
      <w:pPr>
        <w:pStyle w:val="BodyText"/>
      </w:pPr>
      <w:r w:rsidRPr="00675FA0">
        <w:t>This unit applies to those working in a security environment or other generalist or specialist public sector workplaces. They work independently and as part of a team, using support resources, and may have occasion</w:t>
      </w:r>
      <w:r w:rsidRPr="00675FA0">
        <w:t>al supervisory responsibilities. They perform complex tasks in a range of familiar and unfamiliar contexts.</w:t>
      </w:r>
    </w:p>
    <w:p w:rsidR="00000000" w:rsidRPr="00675FA0" w:rsidP="00C568C5">
      <w:pPr>
        <w:pStyle w:val="BodyText"/>
      </w:pPr>
      <w:r w:rsidRPr="00675FA0">
        <w:t xml:space="preserve">The skills in this unit must be applied in accordance with Commonwealth and State or Territory legislation, Australian standards and industry codes </w:t>
      </w:r>
      <w:r w:rsidRPr="00675FA0">
        <w:t>of practice.</w:t>
      </w:r>
    </w:p>
    <w:p w:rsidR="00000000" w:rsidRPr="00675FA0" w:rsidP="00C568C5">
      <w:pPr>
        <w:pStyle w:val="BodyText"/>
      </w:pPr>
      <w:r w:rsidRPr="00675FA0">
        <w:t>No occupational licensing, certification or specific legislative requirements apply to this unit at the time of publication.</w:t>
      </w:r>
    </w:p>
    <w:p w:rsidR="00000000" w:rsidRPr="00675FA0" w:rsidP="00675FA0">
      <w:pPr>
        <w:pStyle w:val="Heading1"/>
      </w:pPr>
      <w:bookmarkStart w:id="3" w:name="O_1217417"/>
      <w:bookmarkEnd w:id="3"/>
      <w:r w:rsidRPr="00675FA0">
        <w:t>Pre-requisite Unit</w:t>
      </w:r>
    </w:p>
    <w:p w:rsidR="00000000" w:rsidRPr="00675FA0" w:rsidP="00C568C5">
      <w:pPr>
        <w:pStyle w:val="BodyText"/>
      </w:pPr>
      <w:r w:rsidRPr="00675FA0">
        <w:t xml:space="preserve">Nil </w:t>
      </w:r>
    </w:p>
    <w:p w:rsidR="00000000" w:rsidRPr="00675FA0" w:rsidP="00675FA0">
      <w:pPr>
        <w:pStyle w:val="Heading1"/>
      </w:pPr>
      <w:bookmarkStart w:id="4" w:name="O_1217418"/>
      <w:bookmarkEnd w:id="4"/>
      <w:r w:rsidRPr="00675FA0">
        <w:t>Competency Field</w:t>
      </w:r>
    </w:p>
    <w:p w:rsidR="00000000" w:rsidRPr="00675FA0" w:rsidP="00C568C5">
      <w:pPr>
        <w:pStyle w:val="BodyText"/>
      </w:pPr>
      <w:r w:rsidRPr="00675FA0">
        <w:t>Security</w:t>
      </w:r>
    </w:p>
    <w:p w:rsidR="00000000" w:rsidRPr="00675FA0" w:rsidP="00675FA0">
      <w:pPr>
        <w:pStyle w:val="Heading1"/>
      </w:pPr>
      <w:bookmarkStart w:id="5" w:name="O_1217420"/>
      <w:bookmarkEnd w:id="5"/>
      <w:r w:rsidRPr="00675FA0">
        <w:t>Elements an</w:t>
      </w:r>
      <w:r w:rsidRPr="00675FA0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BodyText"/>
            </w:pPr>
            <w:r w:rsidRPr="00675F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BodyText"/>
              <w:rPr>
                <w:lang w:val="en-NZ"/>
              </w:rPr>
            </w:pPr>
            <w:r w:rsidRPr="00675FA0">
              <w:rPr>
                <w:rStyle w:val="SpecialBold"/>
              </w:rPr>
              <w:t>PERFORMANCE</w:t>
            </w:r>
            <w:r w:rsidRPr="00675FA0">
              <w:t xml:space="preserve"> </w:t>
            </w:r>
            <w:r w:rsidRPr="00675FA0">
              <w:rPr>
                <w:rStyle w:val="SpecialBold"/>
              </w:rPr>
              <w:t>CRITERIA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BodyText"/>
            </w:pPr>
            <w:r w:rsidRPr="00675F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BodyText"/>
              <w:rPr>
                <w:lang w:val="en-NZ"/>
              </w:rPr>
            </w:pPr>
            <w:r w:rsidRPr="00675F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List"/>
              <w:rPr>
                <w:lang w:val="en-NZ"/>
              </w:rPr>
            </w:pPr>
            <w:r w:rsidRPr="00675FA0">
              <w:t>1.  Prepare for security awareness presentation.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List"/>
            </w:pPr>
            <w:r w:rsidRPr="00675FA0">
              <w:t>1.1. Determine the required presentation outcomes reflecting identified needs of participants.</w:t>
            </w:r>
          </w:p>
          <w:p w:rsidR="00000000" w:rsidRPr="00675FA0" w:rsidP="00675FA0">
            <w:pPr>
              <w:pStyle w:val="List"/>
            </w:pPr>
            <w:r w:rsidRPr="00675FA0">
              <w:t>1.2. Select and document presentation methods to address identified outcomes, participant needs, equipment and resources.</w:t>
            </w:r>
          </w:p>
          <w:p w:rsidR="00000000" w:rsidRPr="00675FA0" w:rsidP="00675FA0">
            <w:pPr>
              <w:pStyle w:val="List"/>
            </w:pPr>
            <w:r w:rsidRPr="00675FA0">
              <w:t>1.3. Make provision for participant con</w:t>
            </w:r>
            <w:r w:rsidRPr="00675FA0">
              <w:t>tribution to the session.</w:t>
            </w:r>
          </w:p>
          <w:p w:rsidR="00000000" w:rsidRPr="00675FA0" w:rsidP="00675FA0">
            <w:pPr>
              <w:pStyle w:val="List"/>
            </w:pPr>
            <w:r w:rsidRPr="00675FA0">
              <w:t>1.4. Validate the content of materials prior to use.</w:t>
            </w:r>
          </w:p>
          <w:p w:rsidR="00000000" w:rsidRPr="00675FA0" w:rsidP="00675FA0">
            <w:pPr>
              <w:pStyle w:val="List"/>
            </w:pPr>
            <w:r w:rsidRPr="00675FA0">
              <w:t>1.5. Include examples and results of non-compliance in presentation materials.</w:t>
            </w:r>
          </w:p>
          <w:p w:rsidR="00000000" w:rsidRPr="00675FA0" w:rsidP="00675FA0">
            <w:pPr>
              <w:pStyle w:val="List"/>
            </w:pPr>
            <w:r w:rsidRPr="00675FA0">
              <w:t>1.6. Prepare information and resources to suit specified objectives, participant needs, group size</w:t>
            </w:r>
            <w:r w:rsidRPr="00675FA0">
              <w:t xml:space="preserve"> and venue.</w:t>
            </w:r>
          </w:p>
          <w:p w:rsidR="00000000" w:rsidP="00675FA0">
            <w:pPr>
              <w:pStyle w:val="List"/>
              <w:rPr>
                <w:lang w:val="en-NZ"/>
              </w:rPr>
            </w:pPr>
            <w:r w:rsidRPr="00675FA0">
              <w:t>1.7. Link the presentation to other elements of the organisation’s security awareness campaign.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List"/>
            </w:pPr>
            <w:r w:rsidRPr="00675FA0">
              <w:t>2.  Deliver session on security awareness.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List"/>
            </w:pPr>
            <w:r w:rsidRPr="00675FA0">
              <w:t xml:space="preserve">2.1. Facilitate opportunities for discussion of broad conceptual, ethical and legal issues surrounding </w:t>
            </w:r>
            <w:r w:rsidRPr="00675FA0">
              <w:t>government security management.</w:t>
            </w:r>
          </w:p>
          <w:p w:rsidR="00000000" w:rsidRPr="00675FA0" w:rsidP="00675FA0">
            <w:pPr>
              <w:pStyle w:val="List"/>
            </w:pPr>
            <w:r w:rsidRPr="00675FA0">
              <w:t>2.2. Explain information, activities and other aspects to participants according to their level of understanding and experience.</w:t>
            </w:r>
          </w:p>
          <w:p w:rsidR="00000000" w:rsidRPr="00675FA0" w:rsidP="00675FA0">
            <w:pPr>
              <w:pStyle w:val="List"/>
            </w:pPr>
            <w:r w:rsidRPr="00675FA0">
              <w:t>2.3. Use materials and presentation techniques adapted to participants.</w:t>
            </w:r>
          </w:p>
          <w:p w:rsidR="00000000" w:rsidRPr="00675FA0" w:rsidP="00675FA0">
            <w:pPr>
              <w:pStyle w:val="List"/>
            </w:pPr>
            <w:r w:rsidRPr="00675FA0">
              <w:t>2.4. Generate a positive perspective of the organisation</w:t>
            </w:r>
            <w:r>
              <w:t>’</w:t>
            </w:r>
            <w:r w:rsidRPr="00675FA0">
              <w:t>s security management and elicit feedback.</w:t>
            </w:r>
          </w:p>
          <w:p w:rsidR="00000000" w:rsidRPr="00675FA0" w:rsidP="00675FA0">
            <w:pPr>
              <w:pStyle w:val="List"/>
            </w:pPr>
            <w:r w:rsidRPr="00675FA0">
              <w:t>2.5. Use case studies to address urgency and levels of risk in security management.</w:t>
            </w:r>
          </w:p>
          <w:p w:rsidR="00000000" w:rsidP="00675FA0">
            <w:pPr>
              <w:pStyle w:val="List"/>
              <w:rPr>
                <w:lang w:val="en-NZ"/>
              </w:rPr>
            </w:pPr>
            <w:r w:rsidRPr="00675FA0">
              <w:t>2.6. Highlight models of excellence in government security management.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List"/>
              <w:rPr>
                <w:lang w:val="en-NZ"/>
              </w:rPr>
            </w:pPr>
            <w:r w:rsidRPr="00675FA0">
              <w:t>3.  Review security awareness session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List"/>
            </w:pPr>
            <w:r w:rsidRPr="00675FA0">
              <w:t>3.1. Encourage participant feedback on all aspects of security awareness sessions.</w:t>
            </w:r>
          </w:p>
          <w:p w:rsidR="00000000" w:rsidRPr="00675FA0" w:rsidP="00675FA0">
            <w:pPr>
              <w:pStyle w:val="List"/>
            </w:pPr>
            <w:r w:rsidRPr="00675FA0">
              <w:t>3.2. Review suitability of approach, content and outcomes, and consider changes required for future presentations.</w:t>
            </w:r>
          </w:p>
          <w:p w:rsidR="00000000" w:rsidRPr="00675FA0" w:rsidP="00675FA0">
            <w:pPr>
              <w:pStyle w:val="List"/>
            </w:pPr>
            <w:r w:rsidRPr="00675FA0">
              <w:t>3.3. Revie</w:t>
            </w:r>
            <w:r w:rsidRPr="00675FA0">
              <w:t>w own performance against objectives and in response to participant feedback and comments.</w:t>
            </w:r>
          </w:p>
          <w:p w:rsidR="00000000" w:rsidRPr="00675FA0" w:rsidP="00675FA0">
            <w:pPr>
              <w:pStyle w:val="List"/>
            </w:pPr>
            <w:r w:rsidRPr="00675FA0">
              <w:t>3.4. Give advice on possible future activities or amendments to security awareness strategy and programs, including high risk areas for security management.</w:t>
            </w:r>
          </w:p>
        </w:tc>
      </w:tr>
    </w:tbl>
    <w:p w:rsidR="00000000" w:rsidRPr="00675FA0" w:rsidP="00675FA0">
      <w:pPr>
        <w:pStyle w:val="BodyText"/>
      </w:pPr>
    </w:p>
    <w:p w:rsidR="00000000" w:rsidRPr="00675FA0" w:rsidP="00675FA0">
      <w:pPr>
        <w:pStyle w:val="AllowPageBreak"/>
      </w:pPr>
    </w:p>
    <w:p w:rsidR="00000000" w:rsidRPr="00675FA0" w:rsidP="00675FA0">
      <w:pPr>
        <w:pStyle w:val="Heading1"/>
      </w:pPr>
      <w:bookmarkStart w:id="6" w:name="O_1217421"/>
      <w:bookmarkEnd w:id="6"/>
      <w:r w:rsidRPr="00675F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BodyText"/>
              <w:rPr>
                <w:lang w:val="en-NZ"/>
              </w:rPr>
            </w:pPr>
            <w:r w:rsidRPr="00675FA0">
              <w:t>Foundation skills essential to performance in this unit, but not explicit in the performance criteria are listed here, along with a brief context statement.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BodyText"/>
            </w:pPr>
            <w:r w:rsidRPr="00675FA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BodyText"/>
              <w:rPr>
                <w:lang w:val="en-NZ"/>
              </w:rPr>
            </w:pPr>
            <w:r w:rsidRPr="00675FA0">
              <w:rPr>
                <w:rStyle w:val="SpecialBold"/>
              </w:rPr>
              <w:t>DESCRIPTION</w:t>
            </w:r>
          </w:p>
        </w:tc>
      </w:tr>
      <w:tr w:rsidTr="00675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FA0">
            <w:pPr>
              <w:pStyle w:val="BodyText"/>
              <w:rPr>
                <w:lang w:val="en-NZ"/>
              </w:rPr>
            </w:pPr>
            <w:r w:rsidRPr="00675FA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FA0" w:rsidP="00675FA0">
            <w:pPr>
              <w:pStyle w:val="ListBullet"/>
            </w:pPr>
            <w:r w:rsidRPr="00675FA0">
              <w:t>use communication styles to suit different audiences and purposes.</w:t>
            </w:r>
          </w:p>
        </w:tc>
      </w:tr>
    </w:tbl>
    <w:p w:rsidR="00000000" w:rsidRPr="00675FA0" w:rsidP="00675FA0">
      <w:pPr>
        <w:pStyle w:val="BodyText"/>
      </w:pPr>
    </w:p>
    <w:p w:rsidR="00000000" w:rsidRPr="00675FA0" w:rsidP="00675FA0">
      <w:pPr>
        <w:pStyle w:val="AllowPageBreak"/>
      </w:pPr>
    </w:p>
    <w:p w:rsidR="00000000" w:rsidRPr="00675FA0" w:rsidP="00675FA0">
      <w:pPr>
        <w:pStyle w:val="Heading1"/>
      </w:pPr>
      <w:bookmarkStart w:id="7" w:name="O_1217423"/>
      <w:bookmarkEnd w:id="7"/>
      <w:r w:rsidRPr="00675FA0">
        <w:t>Unit Mapping Information</w:t>
      </w:r>
    </w:p>
    <w:p w:rsidR="00000000" w:rsidRPr="00675FA0" w:rsidP="00C568C5">
      <w:pPr>
        <w:pStyle w:val="BodyText"/>
      </w:pPr>
      <w:r w:rsidRPr="00675FA0">
        <w:t>Supersedes and is equivalent to PSPSEC003 Conduct security awareness sessions.</w:t>
      </w:r>
    </w:p>
    <w:p w:rsidR="00000000" w:rsidRPr="00675FA0" w:rsidP="00675FA0">
      <w:pPr>
        <w:pStyle w:val="Heading1"/>
      </w:pPr>
      <w:bookmarkStart w:id="8" w:name="O_1217430"/>
      <w:bookmarkEnd w:id="8"/>
      <w:r w:rsidRPr="00675FA0">
        <w:t>Links</w:t>
      </w:r>
    </w:p>
    <w:p w:rsidR="00000000" w:rsidRPr="00675FA0" w:rsidP="00C568C5">
      <w:pPr>
        <w:pStyle w:val="BodyText"/>
      </w:pPr>
      <w:r w:rsidRPr="00675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4ED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75FA0" w:rsidP="00C568C5">
      <w:pPr>
        <w:pStyle w:val="BodyText"/>
        <w:sectPr w:rsidSect="00675F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FA0" w:rsidP="00675FA0">
      <w:pPr>
        <w:pStyle w:val="SuperHeading"/>
      </w:pPr>
      <w:r w:rsidRPr="00675FA0">
        <w:t>Assessment Requirements for PSPSEC020 Conduct security awarenes</w:t>
      </w:r>
      <w:r w:rsidRPr="00675FA0">
        <w:t>s sessions</w:t>
      </w:r>
    </w:p>
    <w:p w:rsidR="00000000" w:rsidRPr="00675FA0" w:rsidP="00675FA0">
      <w:pPr>
        <w:pStyle w:val="Heading1"/>
      </w:pPr>
      <w:bookmarkStart w:id="9" w:name="O_1217425"/>
      <w:bookmarkEnd w:id="9"/>
      <w:r w:rsidRPr="00675FA0">
        <w:t>Modification History</w:t>
      </w:r>
    </w:p>
    <w:p w:rsidR="00000000" w:rsidRPr="00675FA0" w:rsidP="00C568C5">
      <w:pPr>
        <w:pStyle w:val="BodyText"/>
      </w:pPr>
      <w:r w:rsidRPr="00675FA0">
        <w:t>Supersedes and is equivalent to PSPSEC003 Conduct security awareness sessions.</w:t>
      </w:r>
    </w:p>
    <w:p w:rsidR="00000000" w:rsidRPr="00675FA0" w:rsidP="00675FA0">
      <w:pPr>
        <w:pStyle w:val="Heading1"/>
      </w:pPr>
      <w:bookmarkStart w:id="10" w:name="O_1217426"/>
      <w:bookmarkEnd w:id="10"/>
      <w:r w:rsidRPr="00675FA0">
        <w:t>Performance Evidence</w:t>
      </w:r>
    </w:p>
    <w:p w:rsidR="00000000" w:rsidRPr="00675FA0" w:rsidP="00C568C5">
      <w:pPr>
        <w:pStyle w:val="BodyText"/>
      </w:pPr>
      <w:r w:rsidRPr="00675FA0">
        <w:t>Evidence of the ability to complete tasks outlined in elements and performance criteria of this unit in the context of the job role, and on at least two occasions:</w:t>
      </w:r>
    </w:p>
    <w:p w:rsidR="00000000" w:rsidRPr="00675FA0" w:rsidP="00675FA0">
      <w:pPr>
        <w:pStyle w:val="ListBullet"/>
      </w:pPr>
      <w:r w:rsidRPr="00675FA0">
        <w:t>deliver a session on security awareness to explain complex concepts and formal documents, i</w:t>
      </w:r>
      <w:r w:rsidRPr="00675FA0">
        <w:t>ncluding legislation, standards and codes of conduct about government security management</w:t>
      </w:r>
    </w:p>
    <w:p w:rsidR="00000000" w:rsidRPr="00675FA0" w:rsidP="00675FA0">
      <w:pPr>
        <w:pStyle w:val="ListBullet"/>
      </w:pPr>
      <w:r w:rsidRPr="00675FA0">
        <w:t>mentor staff with individual requirements to maximise security awareness</w:t>
      </w:r>
    </w:p>
    <w:p w:rsidR="00000000" w:rsidRPr="00675FA0" w:rsidP="00675FA0">
      <w:pPr>
        <w:pStyle w:val="ListBullet"/>
      </w:pPr>
      <w:r w:rsidRPr="00675FA0">
        <w:t>design and contribute to awareness sessions delivered by specialists.</w:t>
      </w:r>
    </w:p>
    <w:p w:rsidR="00000000" w:rsidRPr="00675FA0" w:rsidP="00675FA0">
      <w:pPr>
        <w:pStyle w:val="AllowPageBreak"/>
      </w:pPr>
    </w:p>
    <w:p w:rsidR="00000000" w:rsidRPr="00675FA0" w:rsidP="00675FA0">
      <w:pPr>
        <w:pStyle w:val="Heading1"/>
      </w:pPr>
      <w:bookmarkStart w:id="11" w:name="O_1217427"/>
      <w:bookmarkEnd w:id="11"/>
      <w:r w:rsidRPr="00675FA0">
        <w:t>Knowledge Evidence</w:t>
      </w:r>
    </w:p>
    <w:p w:rsidR="00000000" w:rsidRPr="00675FA0" w:rsidP="00C568C5">
      <w:pPr>
        <w:pStyle w:val="BodyText"/>
      </w:pPr>
      <w:r w:rsidRPr="00675FA0">
        <w:t>Demonstrated knowledge required to complete the tasks outlined in elements and performance criteria of this unit:</w:t>
      </w:r>
    </w:p>
    <w:p w:rsidR="00000000" w:rsidRPr="00675FA0" w:rsidP="00675FA0">
      <w:pPr>
        <w:pStyle w:val="ListBullet"/>
      </w:pPr>
      <w:r w:rsidRPr="00675FA0">
        <w:t>legislation, regulations, policies, procedures and guidelines relating to government security management</w:t>
      </w:r>
    </w:p>
    <w:p w:rsidR="00000000" w:rsidRPr="00675FA0" w:rsidP="00675FA0">
      <w:pPr>
        <w:pStyle w:val="ListBullet"/>
      </w:pPr>
      <w:r w:rsidRPr="00675FA0">
        <w:t>cross jurisdictio</w:t>
      </w:r>
      <w:r w:rsidRPr="00675FA0">
        <w:t>nal protocols</w:t>
      </w:r>
    </w:p>
    <w:p w:rsidR="00000000" w:rsidRPr="00675FA0" w:rsidP="00675FA0">
      <w:pPr>
        <w:pStyle w:val="ListBullet"/>
      </w:pPr>
      <w:r w:rsidRPr="00675FA0">
        <w:t>organisational structure and core business</w:t>
      </w:r>
    </w:p>
    <w:p w:rsidR="00000000" w:rsidRPr="00675FA0" w:rsidP="00675FA0">
      <w:pPr>
        <w:pStyle w:val="ListBullet"/>
      </w:pPr>
      <w:r w:rsidRPr="00675FA0">
        <w:t>organisational strategic objectives and processes related to security management</w:t>
      </w:r>
    </w:p>
    <w:p w:rsidR="00000000" w:rsidRPr="00675FA0" w:rsidP="00675FA0">
      <w:pPr>
        <w:pStyle w:val="ListBullet"/>
      </w:pPr>
      <w:r w:rsidRPr="00675FA0">
        <w:t>national strategic objectives relating to government security management</w:t>
      </w:r>
    </w:p>
    <w:p w:rsidR="00000000" w:rsidRPr="00675FA0" w:rsidP="00675FA0">
      <w:pPr>
        <w:pStyle w:val="ListBullet"/>
      </w:pPr>
      <w:r w:rsidRPr="00675FA0">
        <w:t>adult learning principles and audience requir</w:t>
      </w:r>
      <w:r w:rsidRPr="00675FA0">
        <w:t>ements</w:t>
      </w:r>
    </w:p>
    <w:p w:rsidR="00000000" w:rsidRPr="00675FA0" w:rsidP="00675FA0">
      <w:pPr>
        <w:pStyle w:val="ListBullet"/>
      </w:pPr>
      <w:r w:rsidRPr="00675FA0">
        <w:t>security constraints</w:t>
      </w:r>
    </w:p>
    <w:p w:rsidR="00000000" w:rsidRPr="00675FA0" w:rsidP="00675FA0">
      <w:pPr>
        <w:pStyle w:val="ListBullet"/>
      </w:pPr>
      <w:r w:rsidRPr="00675FA0">
        <w:t>public sector values and codes of conduct</w:t>
      </w:r>
    </w:p>
    <w:p w:rsidR="00000000" w:rsidRPr="00675FA0" w:rsidP="00675FA0">
      <w:pPr>
        <w:pStyle w:val="ListBullet"/>
      </w:pPr>
      <w:r w:rsidRPr="00675FA0">
        <w:t>anti-discrimination and inclusive work practice principles.</w:t>
      </w:r>
    </w:p>
    <w:p w:rsidR="00000000" w:rsidRPr="00675FA0" w:rsidP="00675FA0">
      <w:pPr>
        <w:pStyle w:val="AllowPageBreak"/>
      </w:pPr>
    </w:p>
    <w:p w:rsidR="00000000" w:rsidRPr="00675FA0" w:rsidP="00675FA0">
      <w:pPr>
        <w:pStyle w:val="Heading1"/>
      </w:pPr>
      <w:bookmarkStart w:id="12" w:name="O_1217428"/>
      <w:bookmarkEnd w:id="12"/>
      <w:r w:rsidRPr="00675FA0">
        <w:t>Assessment Conditions</w:t>
      </w:r>
    </w:p>
    <w:p w:rsidR="00000000" w:rsidRPr="00675FA0" w:rsidP="00C568C5">
      <w:pPr>
        <w:pStyle w:val="BodyText"/>
      </w:pPr>
      <w:r w:rsidRPr="00675FA0">
        <w:t>Skills must be demonstrated in the workplace or in a simulated environment that refle</w:t>
      </w:r>
      <w:r w:rsidRPr="00675FA0">
        <w:t>cts workplace conditions.</w:t>
      </w:r>
    </w:p>
    <w:p w:rsidR="00000000" w:rsidRPr="00675FA0" w:rsidP="00C568C5">
      <w:pPr>
        <w:pStyle w:val="BodyText"/>
      </w:pPr>
      <w:r w:rsidRPr="00675FA0">
        <w:t>Assessment must ensure access to:</w:t>
      </w:r>
    </w:p>
    <w:p w:rsidR="00000000" w:rsidRPr="00675FA0" w:rsidP="00675FA0">
      <w:pPr>
        <w:pStyle w:val="ListBullet"/>
      </w:pPr>
      <w:r w:rsidRPr="00675FA0">
        <w:t>legislation, regulations, policies, procedures and guidelines relating to government security management</w:t>
      </w:r>
    </w:p>
    <w:p w:rsidR="00000000" w:rsidRPr="00675FA0" w:rsidP="00675FA0">
      <w:pPr>
        <w:pStyle w:val="ListBullet"/>
      </w:pPr>
      <w:r w:rsidRPr="00675FA0">
        <w:t>organisational strategic objectives and processes related to security management</w:t>
      </w:r>
    </w:p>
    <w:p w:rsidR="00000000" w:rsidRPr="00675FA0" w:rsidP="00675FA0">
      <w:pPr>
        <w:pStyle w:val="ListBullet"/>
      </w:pPr>
      <w:r w:rsidRPr="00675FA0">
        <w:t>resources and equipment required of the working environment.</w:t>
      </w:r>
    </w:p>
    <w:p w:rsidR="00000000" w:rsidRPr="00675FA0" w:rsidP="00C568C5">
      <w:pPr>
        <w:pStyle w:val="BodyText"/>
      </w:pPr>
      <w:r w:rsidRPr="00675FA0">
        <w:t>Assessors must satisfy the Standards for Registered Training Organisations’ requirements for assessors.</w:t>
      </w:r>
    </w:p>
    <w:p w:rsidR="00000000" w:rsidRPr="00675FA0" w:rsidP="00675FA0">
      <w:pPr>
        <w:pStyle w:val="Heading1"/>
      </w:pPr>
      <w:bookmarkStart w:id="13" w:name="O_1217431"/>
      <w:bookmarkEnd w:id="13"/>
      <w:r w:rsidRPr="00675FA0">
        <w:t>Links</w:t>
      </w:r>
    </w:p>
    <w:p w:rsidR="00000000" w:rsidRPr="00675FA0" w:rsidP="00C568C5">
      <w:pPr>
        <w:pStyle w:val="BodyText"/>
      </w:pPr>
      <w:r w:rsidRPr="00675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4ED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75FA0" w:rsidP="00675FA0"/>
    <w:sectPr w:rsidSect="00675F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 w:rsidRPr="00C568C5" w:rsidP="00C56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5" w:rsidP="00675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8C5" w:rsidP="00675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568C5" w:rsidP="00675F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 w:rsidP="00675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68C5">
      <w:t>Approved</w:t>
    </w:r>
    <w:r w:rsidR="00C568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68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68C5">
      <w:rPr>
        <w:noProof/>
      </w:rPr>
      <w:t>4</w:t>
    </w:r>
    <w:r>
      <w:rPr>
        <w:noProof/>
      </w:rPr>
      <w:fldChar w:fldCharType="end"/>
    </w:r>
  </w:p>
  <w:p w:rsidR="00675FA0" w:rsidP="00675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68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68C5">
      <w:t>Public Skills Australia</w:t>
    </w:r>
    <w:r w:rsidR="00C568C5">
      <w:fldChar w:fldCharType="end"/>
    </w:r>
  </w:p>
  <w:p w:rsidR="00675FA0" w:rsidP="00675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FA0" w:rsidRPr="00C568C5" w:rsidP="00C56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C5" w:rsidRPr="002D2AF8" w:rsidP="00675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PSPSEC020 Conduct security awareness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68C5" w:rsidP="00675F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FA0" w:rsidRPr="002D2AF8" w:rsidP="00675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68C5">
      <w:t>PSPSEC020 Conduct security awareness sessions</w:t>
    </w:r>
    <w:r w:rsidR="00C568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68C5">
      <w:rPr>
        <w:noProof/>
      </w:rPr>
      <w:t>2 March 2025</w:t>
    </w:r>
    <w:r>
      <w:fldChar w:fldCharType="end"/>
    </w:r>
  </w:p>
  <w:p w:rsidR="00675FA0" w:rsidP="00675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E0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83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FA0"/>
  </w:style>
  <w:style w:type="character" w:customStyle="1" w:styleId="Heading1Char">
    <w:name w:val="Heading 1 Char"/>
    <w:basedOn w:val="DefaultParagraphFont"/>
    <w:link w:val="Heading1"/>
    <w:rsid w:val="00675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F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F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F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FA0"/>
    <w:rPr>
      <w:b/>
      <w:spacing w:val="0"/>
    </w:rPr>
  </w:style>
  <w:style w:type="character" w:styleId="Emphasis">
    <w:name w:val="Emphasis"/>
    <w:basedOn w:val="DefaultParagraphFont"/>
    <w:qFormat/>
    <w:rsid w:val="00675FA0"/>
    <w:rPr>
      <w:i/>
    </w:rPr>
  </w:style>
  <w:style w:type="paragraph" w:customStyle="1" w:styleId="SuperHeading">
    <w:name w:val="SuperHeading"/>
    <w:basedOn w:val="Normal"/>
    <w:rsid w:val="00675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F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F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FA0"/>
  </w:style>
  <w:style w:type="paragraph" w:styleId="TableofFigures">
    <w:name w:val="table of figures"/>
    <w:basedOn w:val="Normal"/>
    <w:next w:val="Normal"/>
    <w:semiHidden/>
    <w:rsid w:val="00675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F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FA0"/>
    <w:rPr>
      <w:rFonts w:ascii="Wingdings" w:hAnsi="Wingdings"/>
    </w:rPr>
  </w:style>
  <w:style w:type="paragraph" w:customStyle="1" w:styleId="TableHeading">
    <w:name w:val="Table Heading"/>
    <w:basedOn w:val="HeadingBase"/>
    <w:rsid w:val="00675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FA0"/>
    <w:rPr>
      <w:color w:val="0033CC"/>
      <w:u w:val="none"/>
    </w:rPr>
  </w:style>
  <w:style w:type="paragraph" w:customStyle="1" w:styleId="BodyTextRight">
    <w:name w:val="Body Text Right"/>
    <w:basedOn w:val="BodyText"/>
    <w:rsid w:val="00675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F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FA0"/>
    <w:rPr>
      <w:sz w:val="32"/>
    </w:rPr>
  </w:style>
  <w:style w:type="paragraph" w:customStyle="1" w:styleId="HeadingProcedure">
    <w:name w:val="Heading Procedure"/>
    <w:basedOn w:val="HeadingBase"/>
    <w:next w:val="Normal"/>
    <w:rsid w:val="00675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FA0"/>
    <w:pPr>
      <w:spacing w:before="60" w:after="60"/>
    </w:pPr>
  </w:style>
  <w:style w:type="paragraph" w:styleId="ListContinue">
    <w:name w:val="List Continue"/>
    <w:basedOn w:val="List"/>
    <w:rsid w:val="00675FA0"/>
    <w:pPr>
      <w:ind w:firstLine="0"/>
    </w:pPr>
  </w:style>
  <w:style w:type="paragraph" w:customStyle="1" w:styleId="ListNote">
    <w:name w:val="List Note"/>
    <w:basedOn w:val="List"/>
    <w:rsid w:val="00675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FA0"/>
    <w:rPr>
      <w:rFonts w:ascii="Courier New" w:hAnsi="Courier New"/>
    </w:rPr>
  </w:style>
  <w:style w:type="paragraph" w:customStyle="1" w:styleId="NoteBullet">
    <w:name w:val="Note Bullet"/>
    <w:basedOn w:val="Note"/>
    <w:rsid w:val="00675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F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FA0"/>
    <w:rPr>
      <w:b/>
      <w:smallCaps/>
    </w:rPr>
  </w:style>
  <w:style w:type="paragraph" w:customStyle="1" w:styleId="TableListNumber">
    <w:name w:val="Table List Number"/>
    <w:basedOn w:val="ListNumber"/>
    <w:rsid w:val="00675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FA0"/>
    <w:pPr>
      <w:numPr>
        <w:numId w:val="8"/>
      </w:numPr>
    </w:pPr>
  </w:style>
  <w:style w:type="paragraph" w:customStyle="1" w:styleId="ListAlpha2">
    <w:name w:val="List Alpha 2"/>
    <w:basedOn w:val="List2"/>
    <w:rsid w:val="00675FA0"/>
    <w:pPr>
      <w:numPr>
        <w:numId w:val="7"/>
      </w:numPr>
    </w:pPr>
  </w:style>
  <w:style w:type="paragraph" w:styleId="List2">
    <w:name w:val="List 2"/>
    <w:basedOn w:val="BodyText"/>
    <w:rsid w:val="00675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F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F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FA0"/>
    <w:pPr>
      <w:numPr>
        <w:numId w:val="3"/>
      </w:numPr>
    </w:pPr>
  </w:style>
  <w:style w:type="paragraph" w:styleId="ListContinue2">
    <w:name w:val="List Continue 2"/>
    <w:basedOn w:val="List2"/>
    <w:rsid w:val="00675FA0"/>
    <w:pPr>
      <w:ind w:firstLine="0"/>
    </w:pPr>
  </w:style>
  <w:style w:type="paragraph" w:styleId="ListContinue3">
    <w:name w:val="List Continue 3"/>
    <w:basedOn w:val="List3"/>
    <w:rsid w:val="00675FA0"/>
    <w:pPr>
      <w:ind w:left="1021" w:firstLine="0"/>
    </w:pPr>
  </w:style>
  <w:style w:type="paragraph" w:styleId="ListContinue4">
    <w:name w:val="List Continue 4"/>
    <w:basedOn w:val="List4"/>
    <w:rsid w:val="00675FA0"/>
    <w:pPr>
      <w:ind w:firstLine="0"/>
    </w:pPr>
  </w:style>
  <w:style w:type="paragraph" w:styleId="ListContinue5">
    <w:name w:val="List Continue 5"/>
    <w:basedOn w:val="List5"/>
    <w:rsid w:val="00675FA0"/>
    <w:pPr>
      <w:ind w:firstLine="0"/>
    </w:pPr>
  </w:style>
  <w:style w:type="paragraph" w:styleId="ListNumber3">
    <w:name w:val="List Number 3"/>
    <w:basedOn w:val="List3"/>
    <w:rsid w:val="00675FA0"/>
    <w:pPr>
      <w:numPr>
        <w:numId w:val="4"/>
      </w:numPr>
    </w:pPr>
  </w:style>
  <w:style w:type="paragraph" w:styleId="ListNumber4">
    <w:name w:val="List Number 4"/>
    <w:basedOn w:val="List4"/>
    <w:rsid w:val="00675FA0"/>
    <w:pPr>
      <w:numPr>
        <w:numId w:val="5"/>
      </w:numPr>
    </w:pPr>
  </w:style>
  <w:style w:type="paragraph" w:styleId="ListNumber5">
    <w:name w:val="List Number 5"/>
    <w:basedOn w:val="List5"/>
    <w:rsid w:val="00675FA0"/>
    <w:pPr>
      <w:numPr>
        <w:numId w:val="6"/>
      </w:numPr>
    </w:pPr>
  </w:style>
  <w:style w:type="paragraph" w:styleId="BlockText">
    <w:name w:val="Block Text"/>
    <w:basedOn w:val="Normal"/>
    <w:rsid w:val="00675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FA0"/>
    <w:rPr>
      <w:sz w:val="16"/>
      <w:vertAlign w:val="superscript"/>
    </w:rPr>
  </w:style>
  <w:style w:type="character" w:customStyle="1" w:styleId="Symbols">
    <w:name w:val="Symbols"/>
    <w:basedOn w:val="DefaultParagraphFont"/>
    <w:rsid w:val="00675FA0"/>
    <w:rPr>
      <w:rFonts w:ascii="Symbol" w:hAnsi="Symbol"/>
    </w:rPr>
  </w:style>
  <w:style w:type="character" w:customStyle="1" w:styleId="MenuOptions">
    <w:name w:val="Menu Options"/>
    <w:basedOn w:val="DefaultParagraphFont"/>
    <w:rsid w:val="00675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FA0"/>
    <w:rPr>
      <w:b/>
    </w:rPr>
  </w:style>
  <w:style w:type="character" w:customStyle="1" w:styleId="Underlined">
    <w:name w:val="Underlined"/>
    <w:basedOn w:val="DefaultParagraphFont"/>
    <w:rsid w:val="00675FA0"/>
    <w:rPr>
      <w:u w:val="single"/>
    </w:rPr>
  </w:style>
  <w:style w:type="paragraph" w:customStyle="1" w:styleId="TableBodyTextRight">
    <w:name w:val="Table Body Text Right"/>
    <w:basedOn w:val="TableBodyText"/>
    <w:rsid w:val="00675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FA0"/>
    <w:rPr>
      <w:sz w:val="18"/>
    </w:rPr>
  </w:style>
  <w:style w:type="paragraph" w:customStyle="1" w:styleId="BodySmallRight">
    <w:name w:val="Body Small Right"/>
    <w:basedOn w:val="BodyTextRight"/>
    <w:rsid w:val="00675FA0"/>
    <w:rPr>
      <w:sz w:val="18"/>
      <w:szCs w:val="18"/>
    </w:rPr>
  </w:style>
  <w:style w:type="paragraph" w:customStyle="1" w:styleId="MarginEdition">
    <w:name w:val="Margin Edition"/>
    <w:basedOn w:val="MarginNote"/>
    <w:rsid w:val="00675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FA0"/>
    <w:rPr>
      <w:sz w:val="2"/>
      <w:szCs w:val="2"/>
    </w:rPr>
  </w:style>
  <w:style w:type="character" w:customStyle="1" w:styleId="Small">
    <w:name w:val="Small"/>
    <w:basedOn w:val="DefaultParagraphFont"/>
    <w:rsid w:val="00675FA0"/>
    <w:rPr>
      <w:sz w:val="16"/>
    </w:rPr>
  </w:style>
  <w:style w:type="paragraph" w:customStyle="1" w:styleId="WideTable">
    <w:name w:val="Wide Table"/>
    <w:basedOn w:val="Normal"/>
    <w:rsid w:val="00675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FA0"/>
  </w:style>
  <w:style w:type="paragraph" w:styleId="Quote">
    <w:name w:val="Quote"/>
    <w:basedOn w:val="Heading1"/>
    <w:link w:val="QuoteChar"/>
    <w:qFormat/>
    <w:rsid w:val="00675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FA0"/>
    <w:pPr>
      <w:pageBreakBefore/>
    </w:pPr>
  </w:style>
  <w:style w:type="paragraph" w:customStyle="1" w:styleId="Border">
    <w:name w:val="Border"/>
    <w:basedOn w:val="Normal"/>
    <w:qFormat/>
    <w:rsid w:val="00675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FA0"/>
    <w:rPr>
      <w:u w:val="single"/>
    </w:rPr>
  </w:style>
  <w:style w:type="character" w:customStyle="1" w:styleId="BoldandItalics">
    <w:name w:val="Bold and Italics"/>
    <w:qFormat/>
    <w:rsid w:val="00675FA0"/>
    <w:rPr>
      <w:b/>
      <w:i/>
      <w:u w:val="none"/>
    </w:rPr>
  </w:style>
  <w:style w:type="paragraph" w:styleId="BalloonText">
    <w:name w:val="Balloon Text"/>
    <w:basedOn w:val="Normal"/>
    <w:link w:val="BalloonTextChar"/>
    <w:rsid w:val="00675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FA0"/>
    <w:pPr>
      <w:spacing w:before="0" w:after="0"/>
    </w:pPr>
  </w:style>
  <w:style w:type="paragraph" w:customStyle="1" w:styleId="BodyTextBold">
    <w:name w:val="Body Text Bold"/>
    <w:basedOn w:val="BodyText"/>
    <w:qFormat/>
    <w:rsid w:val="00675FA0"/>
    <w:rPr>
      <w:b/>
    </w:rPr>
  </w:style>
  <w:style w:type="character" w:styleId="Hyperlink">
    <w:name w:val="Hyperlink"/>
    <w:basedOn w:val="DefaultParagraphFont"/>
    <w:uiPriority w:val="99"/>
    <w:unhideWhenUsed/>
    <w:rsid w:val="00C56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5122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PSPSEC020 Conduct security awareness sessions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