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0E2" w:rsidP="00433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PSPSEC012 Develop security risk management plans</w:t>
      </w:r>
      <w:r>
        <w:fldChar w:fldCharType="end"/>
      </w:r>
    </w:p>
    <w:p w:rsidR="004330E2" w:rsidP="004330E2">
      <w:pPr>
        <w:pStyle w:val="Version"/>
        <w:sectPr w:rsidSect="001B3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CC3" w:rsidP="001B3CC3">
      <w:pPr>
        <w:pStyle w:val="SuperHeading"/>
      </w:pPr>
      <w:r w:rsidRPr="001B3CC3">
        <w:t>PSPSEC012 Develop security risk management plans</w:t>
      </w:r>
    </w:p>
    <w:p w:rsidR="00000000" w:rsidRPr="001B3CC3" w:rsidP="001B3CC3">
      <w:pPr>
        <w:pStyle w:val="Heading1"/>
      </w:pPr>
      <w:bookmarkStart w:id="1" w:name="O_827134"/>
      <w:bookmarkEnd w:id="1"/>
      <w:r w:rsidRPr="001B3C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33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TableHeading"/>
              <w:rPr>
                <w:lang w:val="en-NZ"/>
              </w:rPr>
            </w:pPr>
            <w:r w:rsidRPr="001B3CC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TableHeading"/>
              <w:rPr>
                <w:lang w:val="en-NZ"/>
              </w:rPr>
            </w:pPr>
            <w:r w:rsidRPr="001B3CC3">
              <w:t>Comments</w:t>
            </w:r>
          </w:p>
        </w:tc>
      </w:tr>
      <w:tr w:rsidTr="00433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BodyText"/>
              <w:rPr>
                <w:lang w:val="en-NZ"/>
              </w:rPr>
            </w:pPr>
            <w:r w:rsidRPr="001B3CC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C3" w:rsidP="001B3CC3">
            <w:pPr>
              <w:pStyle w:val="BodyText"/>
            </w:pPr>
            <w:r w:rsidRPr="001B3CC3">
              <w:t xml:space="preserve">This unit was released in PSP Public Sector Training Package release 1.0 and meets the Standards for Training Packages. </w:t>
            </w:r>
          </w:p>
          <w:p w:rsidR="00000000" w:rsidRPr="001B3CC3" w:rsidP="001B3CC3">
            <w:pPr>
              <w:pStyle w:val="BodyText"/>
            </w:pPr>
          </w:p>
          <w:p w:rsidR="00000000" w:rsidRPr="001B3CC3" w:rsidP="001B3CC3">
            <w:pPr>
              <w:pStyle w:val="BodyText"/>
            </w:pPr>
            <w:r w:rsidRPr="001B3CC3">
              <w:t>This unit supersedes and is equivalent to PSPSEC502A Develop security risk management</w:t>
            </w:r>
            <w:r w:rsidRPr="001B3CC3">
              <w:t xml:space="preserve"> plans.</w:t>
            </w:r>
          </w:p>
          <w:p w:rsidR="00000000" w:rsidRPr="001B3CC3" w:rsidP="001B3CC3">
            <w:pPr>
              <w:pStyle w:val="BodyText"/>
            </w:pPr>
          </w:p>
          <w:p w:rsidR="00000000" w:rsidRPr="001B3CC3" w:rsidP="001B3CC3">
            <w:pPr>
              <w:pStyle w:val="ListBullet"/>
            </w:pPr>
            <w:r w:rsidRPr="001B3CC3">
              <w:t>Unit code updated</w:t>
            </w:r>
          </w:p>
          <w:p w:rsidR="00000000" w:rsidRPr="001B3CC3" w:rsidP="001B3CC3">
            <w:pPr>
              <w:pStyle w:val="ListBullet"/>
            </w:pPr>
            <w:r w:rsidRPr="001B3CC3">
              <w:t>Content and formatting updated to comply with new standards</w:t>
            </w:r>
          </w:p>
          <w:p w:rsidR="00000000" w:rsidRPr="001B3CC3" w:rsidP="001B3CC3">
            <w:pPr>
              <w:pStyle w:val="ListBullet"/>
            </w:pPr>
            <w:r w:rsidRPr="001B3CC3">
              <w:t>All PC transitioned from passive to active voice</w:t>
            </w:r>
          </w:p>
          <w:p w:rsidR="00000000" w:rsidRPr="001B3CC3" w:rsidP="001B3CC3">
            <w:pPr>
              <w:pStyle w:val="ListBullet"/>
            </w:pPr>
            <w:r w:rsidRPr="001B3CC3">
              <w:t>PC 2.1 and 2.2 merged</w:t>
            </w:r>
          </w:p>
        </w:tc>
      </w:tr>
    </w:tbl>
    <w:p w:rsidR="00000000" w:rsidRPr="001B3CC3" w:rsidP="001B3CC3">
      <w:pPr>
        <w:pStyle w:val="BodyText"/>
      </w:pPr>
    </w:p>
    <w:p w:rsidR="00000000" w:rsidRPr="001B3CC3" w:rsidP="001B3CC3">
      <w:pPr>
        <w:pStyle w:val="AllowPageBreak"/>
      </w:pPr>
    </w:p>
    <w:p w:rsidR="00000000" w:rsidRPr="001B3CC3" w:rsidP="001B3CC3">
      <w:pPr>
        <w:pStyle w:val="Heading1"/>
      </w:pPr>
      <w:bookmarkStart w:id="2" w:name="O_827135"/>
      <w:bookmarkEnd w:id="2"/>
      <w:r w:rsidRPr="001B3CC3">
        <w:t>Application</w:t>
      </w:r>
    </w:p>
    <w:p w:rsidR="00000000" w:rsidRPr="001B3CC3" w:rsidP="004330E2">
      <w:pPr>
        <w:pStyle w:val="BodyText"/>
      </w:pPr>
      <w:r w:rsidRPr="001B3CC3">
        <w:t>This unit describes the skills required to treat security risks through the development of a security risk management plan. It includes identifying security countermeasures and developing a plan with schedule for implementing, monitoring and evaluating sec</w:t>
      </w:r>
      <w:r w:rsidRPr="001B3CC3">
        <w:t>urity strategies.</w:t>
      </w:r>
    </w:p>
    <w:p w:rsidR="00000000" w:rsidRPr="001B3CC3" w:rsidP="004330E2">
      <w:pPr>
        <w:pStyle w:val="BodyText"/>
      </w:pPr>
      <w:r w:rsidRPr="001B3CC3">
        <w:t>This unit applies to those working in a security role with some responsibility for addressing organisational risk.</w:t>
      </w:r>
    </w:p>
    <w:p w:rsidR="00000000" w:rsidRPr="001B3CC3" w:rsidP="004330E2">
      <w:pPr>
        <w:pStyle w:val="BodyText"/>
      </w:pPr>
      <w:r w:rsidRPr="001B3CC3">
        <w:t>The skills and knowledge described in this unit must be applied within the legislative, regulatory and policy environment</w:t>
      </w:r>
      <w:r w:rsidRPr="001B3CC3">
        <w:t xml:space="preserve"> in which they are carried out. Organisational policies and procedures must be consulted and adhered to, particularly those related to developing risk management plans.</w:t>
      </w:r>
    </w:p>
    <w:p w:rsidR="00000000" w:rsidRPr="001B3CC3" w:rsidP="004330E2">
      <w:pPr>
        <w:pStyle w:val="BodyText"/>
      </w:pPr>
      <w:r w:rsidRPr="001B3CC3">
        <w:t>Those undertaking this unit would work autonomously occasionally accessing and evaluat</w:t>
      </w:r>
      <w:r w:rsidRPr="001B3CC3">
        <w:t>ing support from a broad range of sources. They would perform complex tasks in a range of familiar and unfamiliar contexts.</w:t>
      </w:r>
    </w:p>
    <w:p w:rsidR="004330E2" w:rsidP="004330E2">
      <w:pPr>
        <w:pStyle w:val="BodyText"/>
      </w:pPr>
      <w:r w:rsidRPr="001B3CC3">
        <w:t>No licensing, legislative or certification requirements apply to unit at the time of publication.</w:t>
      </w:r>
    </w:p>
    <w:p w:rsidR="00000000" w:rsidRPr="001B3CC3" w:rsidP="001B3CC3">
      <w:pPr>
        <w:pStyle w:val="Heading1"/>
      </w:pPr>
      <w:bookmarkStart w:id="3" w:name="O_827137"/>
      <w:bookmarkEnd w:id="3"/>
      <w:r w:rsidRPr="001B3CC3">
        <w:t>Competency Field</w:t>
      </w:r>
    </w:p>
    <w:p w:rsidR="00000000" w:rsidRPr="001B3CC3" w:rsidP="004330E2">
      <w:pPr>
        <w:pStyle w:val="BodyText"/>
      </w:pPr>
      <w:r w:rsidRPr="001B3CC3">
        <w:t>Security</w:t>
      </w:r>
    </w:p>
    <w:p w:rsidR="00000000" w:rsidRPr="001B3CC3" w:rsidP="001B3CC3">
      <w:pPr>
        <w:pStyle w:val="Heading1"/>
      </w:pPr>
      <w:bookmarkStart w:id="4" w:name="O_827140"/>
      <w:bookmarkEnd w:id="4"/>
      <w:r w:rsidRPr="001B3C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4"/>
        <w:gridCol w:w="6432"/>
      </w:tblGrid>
      <w:tr w:rsidTr="004330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TableHeading"/>
              <w:rPr>
                <w:lang w:val="en-NZ"/>
              </w:rPr>
            </w:pPr>
            <w:r w:rsidRPr="001B3CC3">
              <w:t>ELEMENTS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TableHeading"/>
              <w:rPr>
                <w:lang w:val="en-NZ"/>
              </w:rPr>
            </w:pPr>
            <w:r w:rsidRPr="001B3CC3">
              <w:t>PERFORMANCE CRITERIA</w:t>
            </w:r>
          </w:p>
        </w:tc>
      </w:tr>
      <w:tr w:rsidTr="004330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BodyText"/>
              <w:rPr>
                <w:lang w:val="en-NZ"/>
              </w:rPr>
            </w:pPr>
            <w:r w:rsidRPr="001B3CC3">
              <w:t>Elements describe the essential outcomes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BodyText"/>
              <w:rPr>
                <w:lang w:val="en-NZ"/>
              </w:rPr>
            </w:pPr>
            <w:r w:rsidRPr="001B3CC3">
              <w:t xml:space="preserve">Performance criteria describe the performance needed to demonstrate achievement of the element. Where bold </w:t>
            </w:r>
            <w:r w:rsidRPr="001B3CC3">
              <w:t>italicised text is used, further information is detailed in the range of conditions section.</w:t>
            </w:r>
          </w:p>
        </w:tc>
      </w:tr>
      <w:tr w:rsidTr="004330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List"/>
              <w:rPr>
                <w:lang w:val="en-NZ"/>
              </w:rPr>
            </w:pPr>
            <w:r w:rsidRPr="001B3CC3">
              <w:rPr>
                <w:rStyle w:val="SpecialBold"/>
              </w:rPr>
              <w:t>1.</w:t>
            </w:r>
            <w:r w:rsidRPr="001B3CC3">
              <w:rPr>
                <w:rStyle w:val="SpecialBold"/>
              </w:rPr>
              <w:tab/>
              <w:t>Identify counter-measures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C3" w:rsidP="001B3CC3">
            <w:pPr>
              <w:pStyle w:val="List"/>
            </w:pPr>
            <w:r w:rsidRPr="001B3CC3">
              <w:t>1.1</w:t>
            </w:r>
            <w:r w:rsidRPr="001B3CC3">
              <w:tab/>
              <w:t>Review documented risks and threats and validate management decisions on acceptable and unacceptable risks.</w:t>
            </w:r>
          </w:p>
          <w:p w:rsidR="00000000" w:rsidRPr="001B3CC3" w:rsidP="001B3CC3">
            <w:pPr>
              <w:pStyle w:val="List"/>
            </w:pPr>
            <w:r w:rsidRPr="001B3CC3">
              <w:t>1.2</w:t>
            </w:r>
            <w:r w:rsidRPr="001B3CC3">
              <w:tab/>
              <w:t>Determine treatme</w:t>
            </w:r>
            <w:r w:rsidRPr="001B3CC3">
              <w:t>nt options and countermeasures to reduce the likelihood of occurrence or consequences of the risk.</w:t>
            </w:r>
          </w:p>
          <w:p w:rsidR="00000000" w:rsidRPr="001B3CC3" w:rsidP="001B3CC3">
            <w:pPr>
              <w:pStyle w:val="List"/>
            </w:pPr>
            <w:r w:rsidRPr="001B3CC3">
              <w:t>1.3</w:t>
            </w:r>
            <w:r w:rsidRPr="001B3CC3">
              <w:tab/>
              <w:t>Propose treatments which include continuity plans where appropriate.</w:t>
            </w:r>
          </w:p>
          <w:p w:rsidR="00000000" w:rsidRPr="001B3CC3" w:rsidP="001B3CC3">
            <w:pPr>
              <w:pStyle w:val="List"/>
            </w:pPr>
            <w:r w:rsidRPr="001B3CC3">
              <w:t>1.4</w:t>
            </w:r>
            <w:r w:rsidRPr="001B3CC3">
              <w:tab/>
              <w:t xml:space="preserve">Propose treatments which match the level and type of risk and importance of the </w:t>
            </w:r>
            <w:r w:rsidRPr="001B3CC3">
              <w:t>function or resource.</w:t>
            </w:r>
          </w:p>
          <w:p w:rsidR="00000000" w:rsidRPr="001B3CC3" w:rsidP="001B3CC3">
            <w:pPr>
              <w:pStyle w:val="List"/>
            </w:pPr>
            <w:r w:rsidRPr="001B3CC3">
              <w:t>1.5</w:t>
            </w:r>
            <w:r w:rsidRPr="001B3CC3">
              <w:tab/>
              <w:t>Conduct a cost-benefit analysis to determine countermeasures.</w:t>
            </w:r>
          </w:p>
          <w:p w:rsidR="00000000" w:rsidP="001B3CC3">
            <w:pPr>
              <w:pStyle w:val="List"/>
              <w:rPr>
                <w:lang w:val="en-NZ"/>
              </w:rPr>
            </w:pPr>
            <w:r w:rsidRPr="001B3CC3">
              <w:t>1.6</w:t>
            </w:r>
            <w:r w:rsidRPr="001B3CC3">
              <w:tab/>
              <w:t>Consult stakeholders on the cost-benefit analysis and determine and submit countermeasures for prioritising.</w:t>
            </w:r>
          </w:p>
        </w:tc>
      </w:tr>
      <w:tr w:rsidTr="004330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C3">
            <w:pPr>
              <w:pStyle w:val="List"/>
              <w:rPr>
                <w:lang w:val="en-NZ"/>
              </w:rPr>
            </w:pPr>
            <w:r w:rsidRPr="001B3CC3">
              <w:rPr>
                <w:rStyle w:val="SpecialBold"/>
              </w:rPr>
              <w:t>2.</w:t>
            </w:r>
            <w:r w:rsidRPr="001B3CC3">
              <w:rPr>
                <w:rStyle w:val="SpecialBold"/>
              </w:rPr>
              <w:tab/>
              <w:t>Develop security plan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C3" w:rsidP="001B3CC3">
            <w:pPr>
              <w:pStyle w:val="List"/>
            </w:pPr>
            <w:r w:rsidRPr="001B3CC3">
              <w:t>2.1</w:t>
            </w:r>
            <w:r w:rsidRPr="001B3CC3">
              <w:tab/>
            </w:r>
            <w:r w:rsidRPr="001B3CC3">
              <w:t>Prepare a security plan containing explanatory information on the importance of security and the organisation’s security objectives in achieving corporate and business objectives.</w:t>
            </w:r>
          </w:p>
          <w:p w:rsidR="00000000" w:rsidRPr="001B3CC3" w:rsidP="001B3CC3">
            <w:pPr>
              <w:pStyle w:val="List"/>
            </w:pPr>
            <w:r w:rsidRPr="001B3CC3">
              <w:t>2.2</w:t>
            </w:r>
            <w:r w:rsidRPr="001B3CC3">
              <w:tab/>
              <w:t>Summarise the threat assessments undertaken, current exposure and curren</w:t>
            </w:r>
            <w:r w:rsidRPr="001B3CC3">
              <w:t>t protective security arrangements in the plan.</w:t>
            </w:r>
          </w:p>
          <w:p w:rsidR="00000000" w:rsidRPr="001B3CC3" w:rsidP="001B3CC3">
            <w:pPr>
              <w:pStyle w:val="List"/>
            </w:pPr>
            <w:r w:rsidRPr="001B3CC3">
              <w:t>2.3</w:t>
            </w:r>
            <w:r w:rsidRPr="001B3CC3">
              <w:tab/>
              <w:t>Outline security strategies for implementing, monitoring and evaluating countermeasures.</w:t>
            </w:r>
          </w:p>
          <w:p w:rsidR="00000000" w:rsidRPr="001B3CC3" w:rsidP="001B3CC3">
            <w:pPr>
              <w:pStyle w:val="List"/>
            </w:pPr>
            <w:r w:rsidRPr="001B3CC3">
              <w:t>2.4</w:t>
            </w:r>
            <w:r w:rsidRPr="001B3CC3">
              <w:tab/>
              <w:t>Include timeframes and security budget for implementing countermeasures including assigned responsibilities and</w:t>
            </w:r>
            <w:r w:rsidRPr="001B3CC3">
              <w:t xml:space="preserve"> methodologies to be used.</w:t>
            </w:r>
          </w:p>
          <w:p w:rsidR="00000000" w:rsidRPr="001B3CC3" w:rsidP="001B3CC3">
            <w:pPr>
              <w:pStyle w:val="List"/>
            </w:pPr>
            <w:r w:rsidRPr="001B3CC3">
              <w:t>2.5</w:t>
            </w:r>
            <w:r w:rsidRPr="001B3CC3">
              <w:tab/>
              <w:t>Submit security plan for approval and communicate to stakeholders.</w:t>
            </w:r>
          </w:p>
        </w:tc>
      </w:tr>
    </w:tbl>
    <w:p w:rsidR="00000000" w:rsidRPr="001B3CC3" w:rsidP="001B3CC3">
      <w:pPr>
        <w:pStyle w:val="BodyText"/>
      </w:pPr>
    </w:p>
    <w:p w:rsidR="00000000" w:rsidRPr="001B3CC3" w:rsidP="001B3CC3">
      <w:pPr>
        <w:pStyle w:val="AllowPageBreak"/>
      </w:pPr>
    </w:p>
    <w:p w:rsidR="00000000" w:rsidRPr="001B3CC3" w:rsidP="001B3CC3">
      <w:pPr>
        <w:pStyle w:val="Heading1"/>
      </w:pPr>
      <w:bookmarkStart w:id="5" w:name="O_827141"/>
      <w:bookmarkEnd w:id="5"/>
      <w:r w:rsidRPr="001B3CC3">
        <w:t>Foundation Skills</w:t>
      </w:r>
    </w:p>
    <w:p w:rsidR="00000000" w:rsidRPr="001B3CC3" w:rsidP="004330E2">
      <w:pPr>
        <w:pStyle w:val="BodyText"/>
      </w:pPr>
      <w:r w:rsidRPr="001B3CC3">
        <w:t>The foundation skills demands of this unit have been mapped for alignment with the Australian Core Skills Framework (ACSF</w:t>
      </w:r>
      <w:r w:rsidRPr="001B3CC3">
        <w:t>). The following tables outline the performance levels indicated for successful attainment of the unit.</w:t>
      </w:r>
    </w:p>
    <w:p w:rsidR="00000000" w:rsidRPr="001B3CC3" w:rsidP="001B3CC3">
      <w:pPr>
        <w:pStyle w:val="BodyText"/>
        <w:keepNext/>
      </w:pPr>
    </w:p>
    <w:p w:rsidR="00000000" w:rsidRPr="001B3CC3" w:rsidP="001B3CC3">
      <w:pPr>
        <w:pStyle w:val="BodyText"/>
      </w:pPr>
      <w:bookmarkStart w:id="6" w:name="O_83896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9pt;width:464.25pt">
            <v:imagedata r:id="rId10" o:title=""/>
          </v:shape>
        </w:pict>
      </w:r>
      <w:bookmarkEnd w:id="6"/>
    </w:p>
    <w:p w:rsidR="00000000" w:rsidRPr="001B3CC3" w:rsidP="001B3CC3">
      <w:pPr>
        <w:pStyle w:val="BodyText"/>
      </w:pPr>
    </w:p>
    <w:p w:rsidR="00000000" w:rsidRPr="001B3CC3" w:rsidP="004330E2">
      <w:pPr>
        <w:pStyle w:val="BodyText"/>
      </w:pPr>
      <w:r w:rsidRPr="001B3CC3">
        <w:t>Further infor</w:t>
      </w:r>
      <w:r w:rsidRPr="001B3CC3">
        <w:t>mation on ACSF and the foundation skills underpinning this unit can be found in the Foundation Skills Guide on the GSA website.</w:t>
      </w:r>
    </w:p>
    <w:p w:rsidR="00000000" w:rsidRPr="001B3CC3" w:rsidP="001B3CC3">
      <w:pPr>
        <w:pStyle w:val="Heading1"/>
      </w:pPr>
      <w:bookmarkStart w:id="7" w:name="O_827143"/>
      <w:bookmarkEnd w:id="7"/>
      <w:r w:rsidRPr="001B3CC3">
        <w:t>Unit Mapping Information</w:t>
      </w:r>
    </w:p>
    <w:p w:rsidR="00000000" w:rsidRPr="001B3CC3" w:rsidP="004330E2">
      <w:pPr>
        <w:pStyle w:val="BodyText"/>
      </w:pPr>
      <w:r w:rsidRPr="001B3CC3">
        <w:t xml:space="preserve">This unit supersedes and is equivalent to PSPSEC502A Develop security risk management </w:t>
      </w:r>
      <w:r w:rsidRPr="001B3CC3">
        <w:t>plans.</w:t>
      </w:r>
    </w:p>
    <w:p w:rsidR="00000000" w:rsidRPr="001B3CC3" w:rsidP="001B3CC3">
      <w:pPr>
        <w:pStyle w:val="Heading1"/>
      </w:pPr>
      <w:bookmarkStart w:id="8" w:name="O_827152"/>
      <w:bookmarkEnd w:id="8"/>
      <w:r w:rsidRPr="001B3CC3">
        <w:t>Links</w:t>
      </w:r>
    </w:p>
    <w:p w:rsidR="00000000" w:rsidRPr="001B3CC3" w:rsidP="004330E2">
      <w:pPr>
        <w:pStyle w:val="BodyText"/>
      </w:pPr>
      <w:r w:rsidRPr="001B3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83B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3CC3" w:rsidP="004330E2">
      <w:pPr>
        <w:pStyle w:val="BodyText"/>
      </w:pPr>
      <w:r w:rsidRPr="001B3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83B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3CC3" w:rsidP="004330E2">
      <w:pPr>
        <w:pStyle w:val="BodyText"/>
      </w:pPr>
      <w:r w:rsidRPr="001B3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83B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3CC3" w:rsidP="004330E2">
      <w:pPr>
        <w:pStyle w:val="BodyText"/>
      </w:pPr>
      <w:r w:rsidRPr="001B3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83B5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B3CC3" w:rsidP="001B3CC3"/>
    <w:sectPr w:rsidSect="001B3CC3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C3" w:rsidRPr="004330E2" w:rsidP="00433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E2" w:rsidP="001B3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0E2" w:rsidP="001B3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30E2" w:rsidP="001B3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CC3" w:rsidRPr="004330E2" w:rsidP="004330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0E2" w:rsidRPr="002D2AF8" w:rsidP="001B3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PSPSEC012 Develop security risk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330E2" w:rsidP="001B3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2A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D64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CC3"/>
  </w:style>
  <w:style w:type="character" w:customStyle="1" w:styleId="Heading1Char">
    <w:name w:val="Heading 1 Char"/>
    <w:basedOn w:val="DefaultParagraphFont"/>
    <w:link w:val="Heading1"/>
    <w:rsid w:val="001B3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C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3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3C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CC3"/>
    <w:rPr>
      <w:b/>
      <w:spacing w:val="0"/>
    </w:rPr>
  </w:style>
  <w:style w:type="paragraph" w:customStyle="1" w:styleId="SuperHeading">
    <w:name w:val="SuperHeading"/>
    <w:basedOn w:val="Normal"/>
    <w:rsid w:val="001B3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3C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3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C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3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C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CC3"/>
    <w:rPr>
      <w:i/>
    </w:rPr>
  </w:style>
  <w:style w:type="paragraph" w:styleId="Caption">
    <w:name w:val="caption"/>
    <w:basedOn w:val="BodyText"/>
    <w:next w:val="Normal"/>
    <w:qFormat/>
    <w:rsid w:val="001B3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CC3"/>
  </w:style>
  <w:style w:type="paragraph" w:styleId="TableofFigures">
    <w:name w:val="table of figures"/>
    <w:basedOn w:val="Normal"/>
    <w:next w:val="Normal"/>
    <w:semiHidden/>
    <w:rsid w:val="001B3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C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CC3"/>
    <w:rPr>
      <w:rFonts w:ascii="Wingdings" w:hAnsi="Wingdings"/>
    </w:rPr>
  </w:style>
  <w:style w:type="character" w:customStyle="1" w:styleId="HotSpot">
    <w:name w:val="HotSpot"/>
    <w:rsid w:val="001B3CC3"/>
    <w:rPr>
      <w:color w:val="0033CC"/>
      <w:u w:val="none"/>
    </w:rPr>
  </w:style>
  <w:style w:type="paragraph" w:customStyle="1" w:styleId="BodyTextRight">
    <w:name w:val="Body Text Right"/>
    <w:basedOn w:val="BodyText"/>
    <w:rsid w:val="001B3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CC3"/>
    <w:rPr>
      <w:sz w:val="32"/>
    </w:rPr>
  </w:style>
  <w:style w:type="paragraph" w:customStyle="1" w:styleId="HeadingProcedure">
    <w:name w:val="Heading Procedure"/>
    <w:basedOn w:val="HeadingBase"/>
    <w:next w:val="Normal"/>
    <w:rsid w:val="001B3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CC3"/>
    <w:pPr>
      <w:spacing w:before="60" w:after="60"/>
    </w:pPr>
  </w:style>
  <w:style w:type="paragraph" w:styleId="ListContinue">
    <w:name w:val="List Continue"/>
    <w:basedOn w:val="List"/>
    <w:rsid w:val="001B3CC3"/>
    <w:pPr>
      <w:ind w:firstLine="0"/>
    </w:pPr>
  </w:style>
  <w:style w:type="paragraph" w:customStyle="1" w:styleId="ListNote">
    <w:name w:val="List Note"/>
    <w:basedOn w:val="List"/>
    <w:rsid w:val="001B3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CC3"/>
    <w:rPr>
      <w:rFonts w:ascii="Courier New" w:hAnsi="Courier New"/>
    </w:rPr>
  </w:style>
  <w:style w:type="paragraph" w:customStyle="1" w:styleId="NoteBullet">
    <w:name w:val="Note Bullet"/>
    <w:basedOn w:val="Note"/>
    <w:rsid w:val="001B3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C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CC3"/>
    <w:rPr>
      <w:b/>
      <w:smallCaps/>
    </w:rPr>
  </w:style>
  <w:style w:type="paragraph" w:customStyle="1" w:styleId="TableListNumber">
    <w:name w:val="Table List Number"/>
    <w:basedOn w:val="ListNumber"/>
    <w:rsid w:val="001B3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CC3"/>
    <w:pPr>
      <w:numPr>
        <w:numId w:val="8"/>
      </w:numPr>
    </w:pPr>
  </w:style>
  <w:style w:type="paragraph" w:customStyle="1" w:styleId="ListAlpha2">
    <w:name w:val="List Alpha 2"/>
    <w:basedOn w:val="List2"/>
    <w:rsid w:val="001B3CC3"/>
    <w:pPr>
      <w:numPr>
        <w:numId w:val="7"/>
      </w:numPr>
    </w:pPr>
  </w:style>
  <w:style w:type="paragraph" w:styleId="List2">
    <w:name w:val="List 2"/>
    <w:basedOn w:val="BodyText"/>
    <w:rsid w:val="001B3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C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CC3"/>
    <w:pPr>
      <w:numPr>
        <w:numId w:val="3"/>
      </w:numPr>
    </w:pPr>
  </w:style>
  <w:style w:type="paragraph" w:styleId="ListContinue2">
    <w:name w:val="List Continue 2"/>
    <w:basedOn w:val="List2"/>
    <w:rsid w:val="001B3CC3"/>
    <w:pPr>
      <w:ind w:firstLine="0"/>
    </w:pPr>
  </w:style>
  <w:style w:type="paragraph" w:styleId="ListContinue3">
    <w:name w:val="List Continue 3"/>
    <w:basedOn w:val="List3"/>
    <w:rsid w:val="001B3CC3"/>
    <w:pPr>
      <w:ind w:left="1021" w:firstLine="0"/>
    </w:pPr>
  </w:style>
  <w:style w:type="paragraph" w:styleId="ListContinue4">
    <w:name w:val="List Continue 4"/>
    <w:basedOn w:val="List4"/>
    <w:rsid w:val="001B3CC3"/>
    <w:pPr>
      <w:ind w:firstLine="0"/>
    </w:pPr>
  </w:style>
  <w:style w:type="paragraph" w:styleId="ListContinue5">
    <w:name w:val="List Continue 5"/>
    <w:basedOn w:val="List5"/>
    <w:rsid w:val="001B3CC3"/>
    <w:pPr>
      <w:ind w:firstLine="0"/>
    </w:pPr>
  </w:style>
  <w:style w:type="paragraph" w:styleId="ListNumber3">
    <w:name w:val="List Number 3"/>
    <w:basedOn w:val="List3"/>
    <w:rsid w:val="001B3CC3"/>
    <w:pPr>
      <w:numPr>
        <w:numId w:val="4"/>
      </w:numPr>
    </w:pPr>
  </w:style>
  <w:style w:type="paragraph" w:styleId="ListNumber4">
    <w:name w:val="List Number 4"/>
    <w:basedOn w:val="List4"/>
    <w:rsid w:val="001B3CC3"/>
    <w:pPr>
      <w:numPr>
        <w:numId w:val="5"/>
      </w:numPr>
    </w:pPr>
  </w:style>
  <w:style w:type="paragraph" w:styleId="ListNumber5">
    <w:name w:val="List Number 5"/>
    <w:basedOn w:val="List5"/>
    <w:rsid w:val="001B3CC3"/>
    <w:pPr>
      <w:numPr>
        <w:numId w:val="6"/>
      </w:numPr>
    </w:pPr>
  </w:style>
  <w:style w:type="paragraph" w:styleId="BlockText">
    <w:name w:val="Block Text"/>
    <w:basedOn w:val="Normal"/>
    <w:rsid w:val="001B3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CC3"/>
    <w:rPr>
      <w:sz w:val="16"/>
      <w:vertAlign w:val="superscript"/>
    </w:rPr>
  </w:style>
  <w:style w:type="character" w:customStyle="1" w:styleId="Symbols">
    <w:name w:val="Symbols"/>
    <w:basedOn w:val="DefaultParagraphFont"/>
    <w:rsid w:val="001B3CC3"/>
    <w:rPr>
      <w:rFonts w:ascii="Symbol" w:hAnsi="Symbol"/>
    </w:rPr>
  </w:style>
  <w:style w:type="character" w:customStyle="1" w:styleId="MenuOptions">
    <w:name w:val="Menu Options"/>
    <w:basedOn w:val="DefaultParagraphFont"/>
    <w:rsid w:val="001B3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CC3"/>
    <w:rPr>
      <w:b/>
    </w:rPr>
  </w:style>
  <w:style w:type="character" w:customStyle="1" w:styleId="Underlined">
    <w:name w:val="Underlined"/>
    <w:basedOn w:val="DefaultParagraphFont"/>
    <w:rsid w:val="001B3CC3"/>
    <w:rPr>
      <w:u w:val="single"/>
    </w:rPr>
  </w:style>
  <w:style w:type="paragraph" w:customStyle="1" w:styleId="TableBodyTextRight">
    <w:name w:val="Table Body Text Right"/>
    <w:basedOn w:val="TableBodyText"/>
    <w:rsid w:val="001B3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CC3"/>
    <w:rPr>
      <w:sz w:val="18"/>
    </w:rPr>
  </w:style>
  <w:style w:type="paragraph" w:customStyle="1" w:styleId="BodySmallRight">
    <w:name w:val="Body Small Right"/>
    <w:basedOn w:val="BodyTextRight"/>
    <w:rsid w:val="001B3CC3"/>
    <w:rPr>
      <w:sz w:val="18"/>
      <w:szCs w:val="18"/>
    </w:rPr>
  </w:style>
  <w:style w:type="paragraph" w:customStyle="1" w:styleId="MarginEdition">
    <w:name w:val="Margin Edition"/>
    <w:basedOn w:val="MarginNote"/>
    <w:rsid w:val="001B3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CC3"/>
    <w:rPr>
      <w:sz w:val="2"/>
      <w:szCs w:val="2"/>
    </w:rPr>
  </w:style>
  <w:style w:type="character" w:customStyle="1" w:styleId="Small">
    <w:name w:val="Small"/>
    <w:basedOn w:val="DefaultParagraphFont"/>
    <w:rsid w:val="001B3CC3"/>
    <w:rPr>
      <w:sz w:val="16"/>
    </w:rPr>
  </w:style>
  <w:style w:type="paragraph" w:customStyle="1" w:styleId="WideTable">
    <w:name w:val="Wide Table"/>
    <w:basedOn w:val="Normal"/>
    <w:rsid w:val="001B3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CC3"/>
  </w:style>
  <w:style w:type="paragraph" w:styleId="Quote">
    <w:name w:val="Quote"/>
    <w:basedOn w:val="Heading1"/>
    <w:link w:val="QuoteChar"/>
    <w:qFormat/>
    <w:rsid w:val="001B3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CC3"/>
    <w:pPr>
      <w:pageBreakBefore/>
    </w:pPr>
  </w:style>
  <w:style w:type="paragraph" w:customStyle="1" w:styleId="Border">
    <w:name w:val="Border"/>
    <w:basedOn w:val="Normal"/>
    <w:qFormat/>
    <w:rsid w:val="001B3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CC3"/>
    <w:rPr>
      <w:u w:val="single"/>
    </w:rPr>
  </w:style>
  <w:style w:type="character" w:customStyle="1" w:styleId="BoldandItalics">
    <w:name w:val="Bold and Italics"/>
    <w:qFormat/>
    <w:rsid w:val="001B3CC3"/>
    <w:rPr>
      <w:b/>
      <w:i/>
      <w:u w:val="none"/>
    </w:rPr>
  </w:style>
  <w:style w:type="paragraph" w:styleId="BalloonText">
    <w:name w:val="Balloon Text"/>
    <w:basedOn w:val="Normal"/>
    <w:link w:val="BalloonTextChar"/>
    <w:rsid w:val="001B3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CC3"/>
    <w:pPr>
      <w:spacing w:before="0" w:after="0"/>
    </w:pPr>
  </w:style>
  <w:style w:type="paragraph" w:customStyle="1" w:styleId="BodyTextBold">
    <w:name w:val="Body Text Bold"/>
    <w:basedOn w:val="BodyText"/>
    <w:qFormat/>
    <w:rsid w:val="001B3CC3"/>
    <w:rPr>
      <w:b/>
    </w:rPr>
  </w:style>
  <w:style w:type="character" w:styleId="Hyperlink">
    <w:name w:val="Hyperlink"/>
    <w:basedOn w:val="DefaultParagraphFont"/>
    <w:uiPriority w:val="99"/>
    <w:unhideWhenUsed/>
    <w:rsid w:val="00433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4078</Characters>
  <Application>Microsoft Office Word</Application>
  <DocSecurity>0</DocSecurity>
  <Lines>116</Lines>
  <Paragraphs>62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PSPSEC012 Develop security risk management plans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2024-11-07T11:23:00Z</dcterms:created>
  <dcterms:modified xsi:type="dcterms:W3CDTF">2024-11-07T11:23:00Z</dcterms:modified>
</cp:coreProperties>
</file>